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B4C907">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4</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1C23F935">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52D58C64">
      <w:pPr>
        <w:pStyle w:val="24"/>
        <w:bidi w:val="0"/>
      </w:pPr>
      <w:bookmarkStart w:id="0" w:name="_Toc1104"/>
      <w:r>
        <w:rPr>
          <w:rFonts w:hint="eastAsia"/>
          <w:lang w:val="en-US" w:eastAsia="zh-CN"/>
        </w:rPr>
        <w:t>万洲奇智（青岛）信息科技有限</w:t>
      </w:r>
      <w:r>
        <w:t>公司</w:t>
      </w:r>
      <w:bookmarkEnd w:id="0"/>
    </w:p>
    <w:p w14:paraId="63B384B8">
      <w:pPr>
        <w:pStyle w:val="25"/>
        <w:bidi w:val="0"/>
        <w:rPr>
          <w:rFonts w:hint="default"/>
          <w:lang w:val="en-US"/>
        </w:rPr>
      </w:pPr>
      <w:bookmarkStart w:id="1" w:name="_Toc3013"/>
      <w:r>
        <w:rPr>
          <w:rFonts w:hint="eastAsia"/>
          <w:lang w:val="en-US" w:eastAsia="zh-CN"/>
        </w:rPr>
        <w:t>内部审核管理制度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703EDB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4DD872CA">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1068373775"/>
                <w:vertAlign w:val="baseline"/>
                <w:lang w:val="en-US" w:eastAsia="zh-CN"/>
              </w:rPr>
              <w:t>孙</w:t>
            </w:r>
            <w:r>
              <w:rPr>
                <w:rFonts w:hint="eastAsia"/>
                <w:spacing w:val="0"/>
                <w:kern w:val="0"/>
                <w:u w:val="single"/>
                <w:fitText w:val="630" w:id="1068373775"/>
                <w:vertAlign w:val="baseline"/>
                <w:lang w:val="en-US" w:eastAsia="zh-CN"/>
              </w:rPr>
              <w:t>文</w:t>
            </w:r>
          </w:p>
        </w:tc>
        <w:tc>
          <w:tcPr>
            <w:tcW w:w="4261" w:type="dxa"/>
          </w:tcPr>
          <w:p w14:paraId="20BDA9B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0DD3C6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757FCD5B">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345F1997">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75CC2C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7EA77906">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6DF49722">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65AEF413">
      <w:r>
        <w:br w:type="page"/>
      </w:r>
    </w:p>
    <w:p w14:paraId="7142C629">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52CFECC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352FF049">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1A3D15E0">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79F20733">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35A74C01">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3FFFA83B">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220189D9">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5B4DE1A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CECE5F6">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3A0BC8B3">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2B30D2EE">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7392EE39">
            <w:pPr>
              <w:spacing w:before="172" w:line="228" w:lineRule="auto"/>
              <w:ind w:left="313"/>
              <w:rPr>
                <w:rFonts w:hint="eastAsia" w:ascii="宋体" w:hAnsi="宋体" w:eastAsia="宋体" w:cs="宋体"/>
                <w:sz w:val="20"/>
                <w:szCs w:val="20"/>
                <w:lang w:val="en-US" w:eastAsia="zh-CN"/>
              </w:rPr>
            </w:pPr>
            <w:r>
              <w:rPr>
                <w:rFonts w:hint="eastAsia"/>
                <w:spacing w:val="105"/>
                <w:kern w:val="0"/>
                <w:u w:val="single"/>
                <w:fitText w:val="630" w:id="1068373775"/>
                <w:vertAlign w:val="baseline"/>
                <w:lang w:val="en-US" w:eastAsia="zh-CN"/>
              </w:rPr>
              <w:t>孙</w:t>
            </w:r>
            <w:r>
              <w:rPr>
                <w:rFonts w:hint="eastAsia"/>
                <w:spacing w:val="0"/>
                <w:kern w:val="0"/>
                <w:u w:val="single"/>
                <w:fitText w:val="630" w:id="1068373775"/>
                <w:vertAlign w:val="baseline"/>
                <w:lang w:val="en-US" w:eastAsia="zh-CN"/>
              </w:rPr>
              <w:t>文</w:t>
            </w:r>
          </w:p>
        </w:tc>
        <w:tc>
          <w:tcPr>
            <w:tcW w:w="1150" w:type="dxa"/>
          </w:tcPr>
          <w:p w14:paraId="033A3C91">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44A201CC">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F92898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635F354">
            <w:pPr>
              <w:pStyle w:val="27"/>
            </w:pPr>
          </w:p>
        </w:tc>
        <w:tc>
          <w:tcPr>
            <w:tcW w:w="919" w:type="dxa"/>
          </w:tcPr>
          <w:p w14:paraId="4FC38200">
            <w:pPr>
              <w:pStyle w:val="27"/>
            </w:pPr>
          </w:p>
        </w:tc>
        <w:tc>
          <w:tcPr>
            <w:tcW w:w="2289" w:type="dxa"/>
          </w:tcPr>
          <w:p w14:paraId="05728378">
            <w:pPr>
              <w:pStyle w:val="27"/>
            </w:pPr>
          </w:p>
        </w:tc>
        <w:tc>
          <w:tcPr>
            <w:tcW w:w="1148" w:type="dxa"/>
          </w:tcPr>
          <w:p w14:paraId="3F73BF1C">
            <w:pPr>
              <w:spacing w:before="172" w:line="228" w:lineRule="auto"/>
              <w:ind w:left="313"/>
            </w:pPr>
          </w:p>
        </w:tc>
        <w:tc>
          <w:tcPr>
            <w:tcW w:w="1150" w:type="dxa"/>
          </w:tcPr>
          <w:p w14:paraId="046CC179">
            <w:pPr>
              <w:spacing w:before="172" w:line="228" w:lineRule="auto"/>
              <w:ind w:left="313"/>
            </w:pPr>
          </w:p>
        </w:tc>
        <w:tc>
          <w:tcPr>
            <w:tcW w:w="1240" w:type="dxa"/>
          </w:tcPr>
          <w:p w14:paraId="3CF1BE7A">
            <w:pPr>
              <w:pStyle w:val="27"/>
            </w:pPr>
          </w:p>
        </w:tc>
      </w:tr>
      <w:tr w14:paraId="2ADDB31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4ABE98B">
            <w:pPr>
              <w:pStyle w:val="27"/>
            </w:pPr>
          </w:p>
        </w:tc>
        <w:tc>
          <w:tcPr>
            <w:tcW w:w="919" w:type="dxa"/>
          </w:tcPr>
          <w:p w14:paraId="261D7BA1">
            <w:pPr>
              <w:pStyle w:val="27"/>
            </w:pPr>
          </w:p>
        </w:tc>
        <w:tc>
          <w:tcPr>
            <w:tcW w:w="2289" w:type="dxa"/>
          </w:tcPr>
          <w:p w14:paraId="54F18A00">
            <w:pPr>
              <w:pStyle w:val="27"/>
            </w:pPr>
          </w:p>
        </w:tc>
        <w:tc>
          <w:tcPr>
            <w:tcW w:w="1148" w:type="dxa"/>
          </w:tcPr>
          <w:p w14:paraId="67C12451">
            <w:pPr>
              <w:spacing w:before="173" w:line="229" w:lineRule="auto"/>
              <w:ind w:left="314"/>
            </w:pPr>
          </w:p>
        </w:tc>
        <w:tc>
          <w:tcPr>
            <w:tcW w:w="1150" w:type="dxa"/>
          </w:tcPr>
          <w:p w14:paraId="3DCA8801">
            <w:pPr>
              <w:spacing w:before="173" w:line="229" w:lineRule="auto"/>
              <w:ind w:left="314"/>
            </w:pPr>
          </w:p>
        </w:tc>
        <w:tc>
          <w:tcPr>
            <w:tcW w:w="1240" w:type="dxa"/>
          </w:tcPr>
          <w:p w14:paraId="755E227F">
            <w:pPr>
              <w:pStyle w:val="27"/>
            </w:pPr>
          </w:p>
        </w:tc>
      </w:tr>
      <w:tr w14:paraId="6666C05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7CB2A7A4">
            <w:pPr>
              <w:pStyle w:val="27"/>
            </w:pPr>
          </w:p>
        </w:tc>
        <w:tc>
          <w:tcPr>
            <w:tcW w:w="919" w:type="dxa"/>
          </w:tcPr>
          <w:p w14:paraId="7F9380A8">
            <w:pPr>
              <w:pStyle w:val="27"/>
            </w:pPr>
          </w:p>
        </w:tc>
        <w:tc>
          <w:tcPr>
            <w:tcW w:w="2289" w:type="dxa"/>
          </w:tcPr>
          <w:p w14:paraId="2FA0657D">
            <w:pPr>
              <w:pStyle w:val="27"/>
            </w:pPr>
          </w:p>
        </w:tc>
        <w:tc>
          <w:tcPr>
            <w:tcW w:w="1148" w:type="dxa"/>
          </w:tcPr>
          <w:p w14:paraId="3545B8A3">
            <w:pPr>
              <w:pStyle w:val="27"/>
            </w:pPr>
          </w:p>
        </w:tc>
        <w:tc>
          <w:tcPr>
            <w:tcW w:w="1150" w:type="dxa"/>
          </w:tcPr>
          <w:p w14:paraId="4E22CD0F">
            <w:pPr>
              <w:pStyle w:val="27"/>
            </w:pPr>
          </w:p>
        </w:tc>
        <w:tc>
          <w:tcPr>
            <w:tcW w:w="1240" w:type="dxa"/>
          </w:tcPr>
          <w:p w14:paraId="5A082596">
            <w:pPr>
              <w:pStyle w:val="27"/>
            </w:pPr>
          </w:p>
        </w:tc>
      </w:tr>
      <w:tr w14:paraId="7F04685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E70E563">
            <w:pPr>
              <w:pStyle w:val="27"/>
            </w:pPr>
          </w:p>
        </w:tc>
        <w:tc>
          <w:tcPr>
            <w:tcW w:w="919" w:type="dxa"/>
          </w:tcPr>
          <w:p w14:paraId="3679FF89">
            <w:pPr>
              <w:pStyle w:val="27"/>
            </w:pPr>
          </w:p>
        </w:tc>
        <w:tc>
          <w:tcPr>
            <w:tcW w:w="2289" w:type="dxa"/>
          </w:tcPr>
          <w:p w14:paraId="55AE63BD">
            <w:pPr>
              <w:pStyle w:val="27"/>
            </w:pPr>
          </w:p>
        </w:tc>
        <w:tc>
          <w:tcPr>
            <w:tcW w:w="1148" w:type="dxa"/>
          </w:tcPr>
          <w:p w14:paraId="44E6823F">
            <w:pPr>
              <w:pStyle w:val="27"/>
            </w:pPr>
          </w:p>
        </w:tc>
        <w:tc>
          <w:tcPr>
            <w:tcW w:w="1150" w:type="dxa"/>
          </w:tcPr>
          <w:p w14:paraId="7B60FB73">
            <w:pPr>
              <w:pStyle w:val="27"/>
            </w:pPr>
          </w:p>
        </w:tc>
        <w:tc>
          <w:tcPr>
            <w:tcW w:w="1240" w:type="dxa"/>
          </w:tcPr>
          <w:p w14:paraId="2728867D">
            <w:pPr>
              <w:pStyle w:val="27"/>
            </w:pPr>
          </w:p>
        </w:tc>
      </w:tr>
      <w:tr w14:paraId="5E250AF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78CF160E">
            <w:pPr>
              <w:pStyle w:val="27"/>
            </w:pPr>
          </w:p>
        </w:tc>
        <w:tc>
          <w:tcPr>
            <w:tcW w:w="919" w:type="dxa"/>
          </w:tcPr>
          <w:p w14:paraId="5B5B8932">
            <w:pPr>
              <w:pStyle w:val="27"/>
            </w:pPr>
          </w:p>
        </w:tc>
        <w:tc>
          <w:tcPr>
            <w:tcW w:w="2289" w:type="dxa"/>
          </w:tcPr>
          <w:p w14:paraId="17751957">
            <w:pPr>
              <w:pStyle w:val="27"/>
            </w:pPr>
          </w:p>
        </w:tc>
        <w:tc>
          <w:tcPr>
            <w:tcW w:w="1148" w:type="dxa"/>
          </w:tcPr>
          <w:p w14:paraId="30B128FF">
            <w:pPr>
              <w:pStyle w:val="27"/>
            </w:pPr>
          </w:p>
        </w:tc>
        <w:tc>
          <w:tcPr>
            <w:tcW w:w="1150" w:type="dxa"/>
          </w:tcPr>
          <w:p w14:paraId="43999458">
            <w:pPr>
              <w:pStyle w:val="27"/>
            </w:pPr>
          </w:p>
        </w:tc>
        <w:tc>
          <w:tcPr>
            <w:tcW w:w="1240" w:type="dxa"/>
          </w:tcPr>
          <w:p w14:paraId="6BEC7078">
            <w:pPr>
              <w:pStyle w:val="27"/>
            </w:pPr>
          </w:p>
        </w:tc>
      </w:tr>
    </w:tbl>
    <w:p w14:paraId="38511C0C">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5022AD35">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3E8BD7A9">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_Toc1104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_Toc1104 \h </w:instrText>
          </w:r>
          <w:r>
            <w:fldChar w:fldCharType="separate"/>
          </w:r>
          <w:r>
            <w:t>1</w:t>
          </w:r>
          <w:r>
            <w:fldChar w:fldCharType="end"/>
          </w:r>
          <w:r>
            <w:rPr>
              <w:rFonts w:hint="eastAsia" w:ascii="宋体" w:hAnsi="宋体" w:eastAsia="宋体" w:cs="宋体"/>
              <w:szCs w:val="24"/>
            </w:rPr>
            <w:fldChar w:fldCharType="end"/>
          </w:r>
        </w:p>
        <w:p w14:paraId="5E58329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_Toc3013 </w:instrText>
          </w:r>
          <w:r>
            <w:rPr>
              <w:rFonts w:hint="eastAsia" w:ascii="宋体" w:hAnsi="宋体" w:eastAsia="宋体" w:cs="宋体"/>
              <w:szCs w:val="24"/>
            </w:rPr>
            <w:fldChar w:fldCharType="separate"/>
          </w:r>
          <w:r>
            <w:rPr>
              <w:rFonts w:hint="eastAsia"/>
              <w:lang w:val="en-US" w:eastAsia="zh-CN"/>
            </w:rPr>
            <w:t>内部审核管理制度</w:t>
          </w:r>
          <w:r>
            <w:tab/>
          </w:r>
          <w:r>
            <w:fldChar w:fldCharType="begin"/>
          </w:r>
          <w:r>
            <w:instrText xml:space="preserve"> PAGEREF _Toc3013 \h </w:instrText>
          </w:r>
          <w:r>
            <w:fldChar w:fldCharType="separate"/>
          </w:r>
          <w:r>
            <w:t>1</w:t>
          </w:r>
          <w:r>
            <w:fldChar w:fldCharType="end"/>
          </w:r>
          <w:r>
            <w:rPr>
              <w:rFonts w:hint="eastAsia" w:ascii="宋体" w:hAnsi="宋体" w:eastAsia="宋体" w:cs="宋体"/>
              <w:szCs w:val="24"/>
            </w:rPr>
            <w:fldChar w:fldCharType="end"/>
          </w:r>
        </w:p>
        <w:p w14:paraId="34497F2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_Toc18380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_Toc18380 \h </w:instrText>
          </w:r>
          <w:r>
            <w:fldChar w:fldCharType="separate"/>
          </w:r>
          <w:r>
            <w:t>4</w:t>
          </w:r>
          <w:r>
            <w:fldChar w:fldCharType="end"/>
          </w:r>
          <w:r>
            <w:rPr>
              <w:rFonts w:hint="eastAsia" w:ascii="宋体" w:hAnsi="宋体" w:eastAsia="宋体" w:cs="宋体"/>
              <w:szCs w:val="24"/>
            </w:rPr>
            <w:fldChar w:fldCharType="end"/>
          </w:r>
        </w:p>
        <w:p w14:paraId="4E9FBCA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_Toc28149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bookmarkStart w:id="19" w:name="_GoBack"/>
          <w:bookmarkEnd w:id="19"/>
          <w:r>
            <w:fldChar w:fldCharType="begin"/>
          </w:r>
          <w:r>
            <w:instrText xml:space="preserve"> PAGEREF _Toc28149 \h </w:instrText>
          </w:r>
          <w:r>
            <w:fldChar w:fldCharType="separate"/>
          </w:r>
          <w:r>
            <w:t>4</w:t>
          </w:r>
          <w:r>
            <w:fldChar w:fldCharType="end"/>
          </w:r>
          <w:r>
            <w:rPr>
              <w:rFonts w:hint="eastAsia" w:ascii="宋体" w:hAnsi="宋体" w:eastAsia="宋体" w:cs="宋体"/>
              <w:szCs w:val="24"/>
            </w:rPr>
            <w:fldChar w:fldCharType="end"/>
          </w:r>
        </w:p>
        <w:p w14:paraId="0D8FF7E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_Toc14444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_Toc14444 \h </w:instrText>
          </w:r>
          <w:r>
            <w:fldChar w:fldCharType="separate"/>
          </w:r>
          <w:r>
            <w:t>4</w:t>
          </w:r>
          <w:r>
            <w:fldChar w:fldCharType="end"/>
          </w:r>
          <w:r>
            <w:rPr>
              <w:rFonts w:hint="eastAsia" w:ascii="宋体" w:hAnsi="宋体" w:eastAsia="宋体" w:cs="宋体"/>
              <w:szCs w:val="24"/>
            </w:rPr>
            <w:fldChar w:fldCharType="end"/>
          </w:r>
        </w:p>
        <w:p w14:paraId="7156A8E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_Toc32544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_Toc32544 \h </w:instrText>
          </w:r>
          <w:r>
            <w:fldChar w:fldCharType="separate"/>
          </w:r>
          <w:r>
            <w:t>4</w:t>
          </w:r>
          <w:r>
            <w:fldChar w:fldCharType="end"/>
          </w:r>
          <w:r>
            <w:rPr>
              <w:rFonts w:hint="eastAsia" w:ascii="宋体" w:hAnsi="宋体" w:eastAsia="宋体" w:cs="宋体"/>
              <w:szCs w:val="24"/>
            </w:rPr>
            <w:fldChar w:fldCharType="end"/>
          </w:r>
        </w:p>
        <w:p w14:paraId="3AA1BF3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_Toc25065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总经理</w:t>
          </w:r>
          <w:r>
            <w:tab/>
          </w:r>
          <w:r>
            <w:fldChar w:fldCharType="begin"/>
          </w:r>
          <w:r>
            <w:instrText xml:space="preserve"> PAGEREF _Toc25065 \h </w:instrText>
          </w:r>
          <w:r>
            <w:fldChar w:fldCharType="separate"/>
          </w:r>
          <w:r>
            <w:t>4</w:t>
          </w:r>
          <w:r>
            <w:fldChar w:fldCharType="end"/>
          </w:r>
          <w:r>
            <w:rPr>
              <w:rFonts w:hint="eastAsia" w:ascii="宋体" w:hAnsi="宋体" w:eastAsia="宋体" w:cs="宋体"/>
              <w:szCs w:val="24"/>
            </w:rPr>
            <w:fldChar w:fldCharType="end"/>
          </w:r>
        </w:p>
        <w:p w14:paraId="7022E6E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_Toc22859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质量部</w:t>
          </w:r>
          <w:r>
            <w:tab/>
          </w:r>
          <w:r>
            <w:fldChar w:fldCharType="begin"/>
          </w:r>
          <w:r>
            <w:instrText xml:space="preserve"> PAGEREF _Toc22859 \h </w:instrText>
          </w:r>
          <w:r>
            <w:fldChar w:fldCharType="separate"/>
          </w:r>
          <w:r>
            <w:t>4</w:t>
          </w:r>
          <w:r>
            <w:fldChar w:fldCharType="end"/>
          </w:r>
          <w:r>
            <w:rPr>
              <w:rFonts w:hint="eastAsia" w:ascii="宋体" w:hAnsi="宋体" w:eastAsia="宋体" w:cs="宋体"/>
              <w:szCs w:val="24"/>
            </w:rPr>
            <w:fldChar w:fldCharType="end"/>
          </w:r>
        </w:p>
        <w:p w14:paraId="51C4D21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_Toc1695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其他运维部门</w:t>
          </w:r>
          <w:r>
            <w:tab/>
          </w:r>
          <w:r>
            <w:fldChar w:fldCharType="begin"/>
          </w:r>
          <w:r>
            <w:instrText xml:space="preserve"> PAGEREF _Toc1695 \h </w:instrText>
          </w:r>
          <w:r>
            <w:fldChar w:fldCharType="separate"/>
          </w:r>
          <w:r>
            <w:t>4</w:t>
          </w:r>
          <w:r>
            <w:fldChar w:fldCharType="end"/>
          </w:r>
          <w:r>
            <w:rPr>
              <w:rFonts w:hint="eastAsia" w:ascii="宋体" w:hAnsi="宋体" w:eastAsia="宋体" w:cs="宋体"/>
              <w:szCs w:val="24"/>
            </w:rPr>
            <w:fldChar w:fldCharType="end"/>
          </w:r>
        </w:p>
        <w:p w14:paraId="7EED3B5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_Toc11303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内部审核工作流程</w:t>
          </w:r>
          <w:r>
            <w:tab/>
          </w:r>
          <w:r>
            <w:fldChar w:fldCharType="begin"/>
          </w:r>
          <w:r>
            <w:instrText xml:space="preserve"> PAGEREF _Toc11303 \h </w:instrText>
          </w:r>
          <w:r>
            <w:fldChar w:fldCharType="separate"/>
          </w:r>
          <w:r>
            <w:t>5</w:t>
          </w:r>
          <w:r>
            <w:fldChar w:fldCharType="end"/>
          </w:r>
          <w:r>
            <w:rPr>
              <w:rFonts w:hint="eastAsia" w:ascii="宋体" w:hAnsi="宋体" w:eastAsia="宋体" w:cs="宋体"/>
              <w:szCs w:val="24"/>
            </w:rPr>
            <w:fldChar w:fldCharType="end"/>
          </w:r>
        </w:p>
        <w:p w14:paraId="0B8DEEB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_Toc15154 </w:instrText>
          </w:r>
          <w:r>
            <w:rPr>
              <w:rFonts w:hint="eastAsia" w:ascii="宋体" w:hAnsi="宋体" w:eastAsia="宋体" w:cs="宋体"/>
              <w:szCs w:val="24"/>
            </w:rPr>
            <w:fldChar w:fldCharType="separate"/>
          </w:r>
          <w:r>
            <w:rPr>
              <w:rFonts w:hint="default"/>
            </w:rPr>
            <w:t xml:space="preserve">5.1. </w:t>
          </w:r>
          <w:r>
            <w:t>内部审核策划</w:t>
          </w:r>
          <w:r>
            <w:tab/>
          </w:r>
          <w:r>
            <w:fldChar w:fldCharType="begin"/>
          </w:r>
          <w:r>
            <w:instrText xml:space="preserve"> PAGEREF _Toc15154 \h </w:instrText>
          </w:r>
          <w:r>
            <w:fldChar w:fldCharType="separate"/>
          </w:r>
          <w:r>
            <w:t>5</w:t>
          </w:r>
          <w:r>
            <w:fldChar w:fldCharType="end"/>
          </w:r>
          <w:r>
            <w:rPr>
              <w:rFonts w:hint="eastAsia" w:ascii="宋体" w:hAnsi="宋体" w:eastAsia="宋体" w:cs="宋体"/>
              <w:szCs w:val="24"/>
            </w:rPr>
            <w:fldChar w:fldCharType="end"/>
          </w:r>
        </w:p>
        <w:p w14:paraId="0A622B2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_Toc13975 </w:instrText>
          </w:r>
          <w:r>
            <w:rPr>
              <w:rFonts w:hint="eastAsia" w:ascii="宋体" w:hAnsi="宋体" w:eastAsia="宋体" w:cs="宋体"/>
              <w:szCs w:val="24"/>
            </w:rPr>
            <w:fldChar w:fldCharType="separate"/>
          </w:r>
          <w:r>
            <w:rPr>
              <w:rFonts w:hint="default"/>
            </w:rPr>
            <w:t xml:space="preserve">5.2. </w:t>
          </w:r>
          <w:r>
            <w:t>内部审核实施</w:t>
          </w:r>
          <w:r>
            <w:tab/>
          </w:r>
          <w:r>
            <w:fldChar w:fldCharType="begin"/>
          </w:r>
          <w:r>
            <w:instrText xml:space="preserve"> PAGEREF _Toc13975 \h </w:instrText>
          </w:r>
          <w:r>
            <w:fldChar w:fldCharType="separate"/>
          </w:r>
          <w:r>
            <w:t>5</w:t>
          </w:r>
          <w:r>
            <w:fldChar w:fldCharType="end"/>
          </w:r>
          <w:r>
            <w:rPr>
              <w:rFonts w:hint="eastAsia" w:ascii="宋体" w:hAnsi="宋体" w:eastAsia="宋体" w:cs="宋体"/>
              <w:szCs w:val="24"/>
            </w:rPr>
            <w:fldChar w:fldCharType="end"/>
          </w:r>
        </w:p>
        <w:p w14:paraId="4FBD878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_Toc5252 </w:instrText>
          </w:r>
          <w:r>
            <w:rPr>
              <w:rFonts w:hint="eastAsia" w:ascii="宋体" w:hAnsi="宋体" w:eastAsia="宋体" w:cs="宋体"/>
              <w:szCs w:val="24"/>
            </w:rPr>
            <w:fldChar w:fldCharType="separate"/>
          </w:r>
          <w:r>
            <w:rPr>
              <w:rFonts w:hint="default"/>
            </w:rPr>
            <w:t xml:space="preserve">5.3. </w:t>
          </w:r>
          <w:r>
            <w:t>纠正措施与跟踪实施</w:t>
          </w:r>
          <w:r>
            <w:tab/>
          </w:r>
          <w:r>
            <w:fldChar w:fldCharType="begin"/>
          </w:r>
          <w:r>
            <w:instrText xml:space="preserve"> PAGEREF _Toc5252 \h </w:instrText>
          </w:r>
          <w:r>
            <w:fldChar w:fldCharType="separate"/>
          </w:r>
          <w:r>
            <w:t>6</w:t>
          </w:r>
          <w:r>
            <w:fldChar w:fldCharType="end"/>
          </w:r>
          <w:r>
            <w:rPr>
              <w:rFonts w:hint="eastAsia" w:ascii="宋体" w:hAnsi="宋体" w:eastAsia="宋体" w:cs="宋体"/>
              <w:szCs w:val="24"/>
            </w:rPr>
            <w:fldChar w:fldCharType="end"/>
          </w:r>
        </w:p>
        <w:p w14:paraId="444EA9C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_Toc27994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_Toc27994 \h </w:instrText>
          </w:r>
          <w:r>
            <w:fldChar w:fldCharType="separate"/>
          </w:r>
          <w:r>
            <w:t>7</w:t>
          </w:r>
          <w:r>
            <w:fldChar w:fldCharType="end"/>
          </w:r>
          <w:r>
            <w:rPr>
              <w:rFonts w:hint="eastAsia" w:ascii="宋体" w:hAnsi="宋体" w:eastAsia="宋体" w:cs="宋体"/>
              <w:szCs w:val="24"/>
            </w:rPr>
            <w:fldChar w:fldCharType="end"/>
          </w:r>
        </w:p>
        <w:p w14:paraId="53799A3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_Toc8758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_Toc8758 \h </w:instrText>
          </w:r>
          <w:r>
            <w:fldChar w:fldCharType="separate"/>
          </w:r>
          <w:r>
            <w:t>7</w:t>
          </w:r>
          <w:r>
            <w:fldChar w:fldCharType="end"/>
          </w:r>
          <w:r>
            <w:rPr>
              <w:rFonts w:hint="eastAsia" w:ascii="宋体" w:hAnsi="宋体" w:eastAsia="宋体" w:cs="宋体"/>
              <w:szCs w:val="24"/>
            </w:rPr>
            <w:fldChar w:fldCharType="end"/>
          </w:r>
        </w:p>
        <w:p w14:paraId="5D292CD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_Toc16381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_Toc16381 \h </w:instrText>
          </w:r>
          <w:r>
            <w:fldChar w:fldCharType="separate"/>
          </w:r>
          <w:r>
            <w:t>7</w:t>
          </w:r>
          <w:r>
            <w:fldChar w:fldCharType="end"/>
          </w:r>
          <w:r>
            <w:rPr>
              <w:rFonts w:hint="eastAsia" w:ascii="宋体" w:hAnsi="宋体" w:eastAsia="宋体" w:cs="宋体"/>
              <w:szCs w:val="24"/>
            </w:rPr>
            <w:fldChar w:fldCharType="end"/>
          </w:r>
        </w:p>
        <w:p w14:paraId="7663714D">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16AFACFF">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7F7B7CCB">
      <w:pPr>
        <w:pStyle w:val="28"/>
        <w:bidi w:val="0"/>
      </w:pPr>
      <w:bookmarkStart w:id="2" w:name="_Toc18380"/>
      <w:r>
        <w:t>目的</w:t>
      </w:r>
      <w:bookmarkEnd w:id="2"/>
    </w:p>
    <w:p w14:paraId="0B361A70">
      <w:pPr>
        <w:pStyle w:val="29"/>
        <w:bidi w:val="0"/>
        <w:rPr>
          <w:rFonts w:hint="eastAsia"/>
          <w:lang w:val="en-US" w:eastAsia="zh-CN"/>
        </w:rPr>
      </w:pPr>
      <w:r>
        <w:t>审核ITSS运维服务能力管理体系所涉及部门开展的活动及其结果是否符合要求，确保ITSS运维服务能力管理体系持续有效地运行及改进提供有效依据</w:t>
      </w:r>
      <w:r>
        <w:rPr>
          <w:rFonts w:hint="eastAsia"/>
          <w:lang w:eastAsia="zh-CN"/>
        </w:rPr>
        <w:t>。</w:t>
      </w:r>
    </w:p>
    <w:p w14:paraId="69BE34AE">
      <w:pPr>
        <w:pStyle w:val="28"/>
        <w:bidi w:val="0"/>
        <w:rPr>
          <w:rFonts w:hint="eastAsia"/>
          <w:lang w:val="en-US" w:eastAsia="zh-CN"/>
        </w:rPr>
      </w:pPr>
      <w:bookmarkStart w:id="3" w:name="_Toc28149"/>
      <w:r>
        <w:rPr>
          <w:rFonts w:hint="eastAsia"/>
          <w:lang w:val="en-US" w:eastAsia="zh-CN"/>
        </w:rPr>
        <w:t>原则</w:t>
      </w:r>
      <w:bookmarkEnd w:id="3"/>
    </w:p>
    <w:p w14:paraId="165FF879">
      <w:pPr>
        <w:pStyle w:val="29"/>
        <w:bidi w:val="0"/>
        <w:rPr>
          <w:rFonts w:hint="eastAsia"/>
          <w:lang w:val="en-US" w:eastAsia="zh-CN"/>
        </w:rPr>
      </w:pPr>
      <w:r>
        <w:t>ITSS内部审核应遵循系统性、客观性和改进性三大核心原则。审核工作需基于事实证据，通过独立、公正的评估，全面检查运维服务管理体系中各项过程、活动与ITSS标准及公司自身要求的符合性；审核过程本身应做到计划周密、程序规范，确保覆盖所有关键环节和相关部门，从而准确识别体系运行中的优势与待改进点，并将审核结果作为管理评审和持续优化的重要输入，最终推动服务能力和管理成熟度的螺旋式提升。</w:t>
      </w:r>
    </w:p>
    <w:p w14:paraId="4A742F4C">
      <w:pPr>
        <w:pStyle w:val="28"/>
        <w:bidi w:val="0"/>
      </w:pPr>
      <w:bookmarkStart w:id="4" w:name="_Toc14444"/>
      <w:r>
        <w:rPr>
          <w:rFonts w:hint="eastAsia"/>
          <w:lang w:val="en-US" w:eastAsia="zh-CN"/>
        </w:rPr>
        <w:t>适用</w:t>
      </w:r>
      <w:r>
        <w:t>范围</w:t>
      </w:r>
      <w:bookmarkEnd w:id="4"/>
    </w:p>
    <w:p w14:paraId="3B647CC6">
      <w:pPr>
        <w:pStyle w:val="29"/>
        <w:bidi w:val="0"/>
      </w:pPr>
      <w:r>
        <w:t>本</w:t>
      </w:r>
      <w:r>
        <w:rPr>
          <w:rFonts w:hint="eastAsia"/>
          <w:lang w:val="en-US" w:eastAsia="zh-CN"/>
        </w:rPr>
        <w:t>制度</w:t>
      </w:r>
      <w:r>
        <w:t>适用于对</w:t>
      </w:r>
      <w:r>
        <w:rPr>
          <w:rFonts w:hint="eastAsia"/>
          <w:lang w:val="en-US" w:eastAsia="zh-CN"/>
        </w:rPr>
        <w:t>I</w:t>
      </w:r>
      <w:r>
        <w:t>TSS运维服务能力管理体系内部审核的管理。</w:t>
      </w:r>
    </w:p>
    <w:p w14:paraId="2052B806">
      <w:pPr>
        <w:pStyle w:val="28"/>
        <w:bidi w:val="0"/>
        <w:rPr>
          <w:rFonts w:hint="eastAsia"/>
          <w:lang w:val="en-US" w:eastAsia="zh-CN"/>
        </w:rPr>
      </w:pPr>
      <w:bookmarkStart w:id="5" w:name="_Toc32544"/>
      <w:r>
        <w:rPr>
          <w:rFonts w:hint="eastAsia"/>
          <w:lang w:val="en-US" w:eastAsia="zh-CN"/>
        </w:rPr>
        <w:t>岗位职责</w:t>
      </w:r>
      <w:bookmarkEnd w:id="5"/>
    </w:p>
    <w:p w14:paraId="651AB7BD">
      <w:pPr>
        <w:pStyle w:val="30"/>
        <w:bidi w:val="0"/>
        <w:rPr>
          <w:rFonts w:hint="default"/>
          <w:lang w:val="en-US" w:eastAsia="zh-CN"/>
        </w:rPr>
      </w:pPr>
      <w:bookmarkStart w:id="6" w:name="_Toc25065"/>
      <w:r>
        <w:rPr>
          <w:rFonts w:hint="eastAsia"/>
          <w:lang w:val="en-US" w:eastAsia="zh-CN"/>
        </w:rPr>
        <w:t>总经理</w:t>
      </w:r>
      <w:bookmarkEnd w:id="6"/>
    </w:p>
    <w:p w14:paraId="13AAD2FA">
      <w:pPr>
        <w:pStyle w:val="29"/>
        <w:bidi w:val="0"/>
        <w:rPr>
          <w:rFonts w:hint="eastAsia" w:eastAsia="宋体"/>
          <w:lang w:val="en-US" w:eastAsia="zh-CN"/>
        </w:rPr>
      </w:pPr>
      <w:r>
        <w:t>负责年度ITSS 运维服务能力管理体系内部审核工作计划的批准及协调工作</w:t>
      </w:r>
      <w:r>
        <w:rPr>
          <w:rFonts w:hint="eastAsia"/>
          <w:lang w:eastAsia="zh-CN"/>
        </w:rPr>
        <w:t>。</w:t>
      </w:r>
    </w:p>
    <w:p w14:paraId="7D0135C8">
      <w:pPr>
        <w:pStyle w:val="30"/>
        <w:bidi w:val="0"/>
        <w:rPr>
          <w:rFonts w:hint="default"/>
          <w:lang w:val="en-US" w:eastAsia="zh-CN"/>
        </w:rPr>
      </w:pPr>
      <w:bookmarkStart w:id="7" w:name="_Toc22859"/>
      <w:r>
        <w:rPr>
          <w:rFonts w:hint="eastAsia"/>
          <w:lang w:val="en-US" w:eastAsia="zh-CN"/>
        </w:rPr>
        <w:t>质量部</w:t>
      </w:r>
      <w:bookmarkEnd w:id="7"/>
    </w:p>
    <w:p w14:paraId="66BC2AF4">
      <w:pPr>
        <w:pStyle w:val="29"/>
        <w:bidi w:val="0"/>
        <w:rPr>
          <w:rFonts w:hint="eastAsia"/>
          <w:lang w:eastAsia="zh-CN"/>
        </w:rPr>
      </w:pPr>
      <w:r>
        <w:rPr>
          <w:rFonts w:hint="eastAsia"/>
          <w:lang w:val="en-US" w:eastAsia="zh-CN"/>
        </w:rPr>
        <w:t>质量部</w:t>
      </w:r>
      <w:r>
        <w:t>负责制定ITSS运维服务能力管理体系内部审核工作计划，组织体系内部审核及跟踪、验证，保存相关记录</w:t>
      </w:r>
      <w:r>
        <w:rPr>
          <w:rFonts w:hint="eastAsia"/>
          <w:lang w:eastAsia="zh-CN"/>
        </w:rPr>
        <w:t>。</w:t>
      </w:r>
    </w:p>
    <w:p w14:paraId="01CEBB14">
      <w:pPr>
        <w:pStyle w:val="30"/>
        <w:bidi w:val="0"/>
        <w:rPr>
          <w:rFonts w:hint="eastAsia"/>
          <w:lang w:val="en-US" w:eastAsia="zh-CN"/>
        </w:rPr>
      </w:pPr>
      <w:bookmarkStart w:id="8" w:name="_Toc1695"/>
      <w:r>
        <w:rPr>
          <w:rFonts w:hint="eastAsia"/>
          <w:lang w:val="en-US" w:eastAsia="zh-CN"/>
        </w:rPr>
        <w:t>其他运维部门</w:t>
      </w:r>
      <w:bookmarkEnd w:id="8"/>
    </w:p>
    <w:p w14:paraId="19A14A92">
      <w:pPr>
        <w:pStyle w:val="29"/>
        <w:bidi w:val="0"/>
        <w:rPr>
          <w:rFonts w:hint="eastAsia"/>
          <w:lang w:val="en-US" w:eastAsia="zh-CN"/>
        </w:rPr>
      </w:pPr>
      <w:r>
        <w:rPr>
          <w:rFonts w:hint="eastAsia"/>
          <w:lang w:val="en-US" w:eastAsia="zh-CN"/>
        </w:rPr>
        <w:t>配合完成内审工作，提交内审材料。</w:t>
      </w:r>
    </w:p>
    <w:p w14:paraId="5B7B8D64">
      <w:pPr>
        <w:pStyle w:val="28"/>
        <w:bidi w:val="0"/>
        <w:rPr>
          <w:rFonts w:hint="default"/>
          <w:lang w:val="en-US" w:eastAsia="zh-CN"/>
        </w:rPr>
      </w:pPr>
      <w:bookmarkStart w:id="9" w:name="_Toc11303"/>
      <w:r>
        <w:rPr>
          <w:rFonts w:hint="eastAsia"/>
          <w:lang w:val="en-US" w:eastAsia="zh-CN"/>
        </w:rPr>
        <w:t>内部审核工作流程</w:t>
      </w:r>
      <w:bookmarkEnd w:id="9"/>
    </w:p>
    <w:p w14:paraId="5C4ABA59">
      <w:pPr>
        <w:pStyle w:val="30"/>
        <w:bidi w:val="0"/>
      </w:pPr>
      <w:bookmarkStart w:id="10" w:name="_Toc15154"/>
      <w:r>
        <w:t>内部审核策划</w:t>
      </w:r>
      <w:bookmarkEnd w:id="10"/>
    </w:p>
    <w:p w14:paraId="7BF57495">
      <w:pPr>
        <w:spacing w:before="183" w:line="360" w:lineRule="auto"/>
        <w:ind w:left="26" w:right="85" w:firstLine="386"/>
        <w:jc w:val="both"/>
        <w:rPr>
          <w:rFonts w:ascii="宋体" w:hAnsi="宋体" w:eastAsia="宋体" w:cs="宋体"/>
          <w:sz w:val="24"/>
          <w:szCs w:val="24"/>
        </w:rPr>
      </w:pPr>
      <w:r>
        <w:rPr>
          <w:rFonts w:ascii="宋体" w:hAnsi="宋体" w:eastAsia="宋体" w:cs="宋体"/>
          <w:spacing w:val="-1"/>
          <w:sz w:val="24"/>
          <w:szCs w:val="24"/>
        </w:rPr>
        <w:t>由</w:t>
      </w:r>
      <w:r>
        <w:rPr>
          <w:rFonts w:hint="eastAsia" w:ascii="宋体" w:hAnsi="宋体" w:eastAsia="宋体" w:cs="宋体"/>
          <w:spacing w:val="-1"/>
          <w:sz w:val="24"/>
          <w:szCs w:val="24"/>
          <w:lang w:eastAsia="zh-CN"/>
        </w:rPr>
        <w:t>质量部</w:t>
      </w:r>
      <w:r>
        <w:rPr>
          <w:rFonts w:ascii="宋体" w:hAnsi="宋体" w:eastAsia="宋体" w:cs="宋体"/>
          <w:spacing w:val="-1"/>
          <w:sz w:val="24"/>
          <w:szCs w:val="24"/>
        </w:rPr>
        <w:t>组织实施内部审核，内部审核活动每年不少于一次。在公司产品结</w:t>
      </w:r>
      <w:r>
        <w:rPr>
          <w:rFonts w:ascii="宋体" w:hAnsi="宋体" w:eastAsia="宋体" w:cs="宋体"/>
          <w:spacing w:val="-3"/>
          <w:sz w:val="24"/>
          <w:szCs w:val="24"/>
        </w:rPr>
        <w:t>构有重大调整、体系要素或组织机构有较大变动时，适当增加内审次数并考</w:t>
      </w:r>
      <w:r>
        <w:rPr>
          <w:rFonts w:ascii="宋体" w:hAnsi="宋体" w:eastAsia="宋体" w:cs="宋体"/>
          <w:spacing w:val="-4"/>
          <w:sz w:val="24"/>
          <w:szCs w:val="24"/>
        </w:rPr>
        <w:t>虑前</w:t>
      </w:r>
      <w:r>
        <w:rPr>
          <w:rFonts w:ascii="宋体" w:hAnsi="宋体" w:eastAsia="宋体" w:cs="宋体"/>
          <w:spacing w:val="-2"/>
          <w:sz w:val="24"/>
          <w:szCs w:val="24"/>
        </w:rPr>
        <w:t>几次审核所发现的问题。</w:t>
      </w:r>
    </w:p>
    <w:p w14:paraId="1825E7DB">
      <w:pPr>
        <w:pStyle w:val="39"/>
        <w:numPr>
          <w:ilvl w:val="0"/>
          <w:numId w:val="2"/>
        </w:numPr>
        <w:bidi w:val="0"/>
        <w:ind w:left="425" w:leftChars="0" w:hanging="425" w:firstLineChars="0"/>
      </w:pPr>
      <w:r>
        <w:t xml:space="preserve"> 每次内部审核实施前由</w:t>
      </w:r>
      <w:r>
        <w:rPr>
          <w:rFonts w:hint="eastAsia"/>
          <w:lang w:eastAsia="zh-CN"/>
        </w:rPr>
        <w:t>质量部</w:t>
      </w:r>
      <w:r>
        <w:t>制定《内部审核计划》，经总经理批准后实施《内部审核计划》的内容：</w:t>
      </w:r>
    </w:p>
    <w:p w14:paraId="36B26DE6">
      <w:pPr>
        <w:pStyle w:val="39"/>
        <w:numPr>
          <w:ilvl w:val="0"/>
          <w:numId w:val="3"/>
        </w:numPr>
        <w:bidi w:val="0"/>
        <w:ind w:left="845" w:leftChars="0" w:hanging="425" w:firstLineChars="0"/>
      </w:pPr>
      <w:r>
        <w:t>受审核的部门、审核的目的、范围、 日期；</w:t>
      </w:r>
    </w:p>
    <w:p w14:paraId="745D1757">
      <w:pPr>
        <w:pStyle w:val="39"/>
        <w:numPr>
          <w:ilvl w:val="0"/>
          <w:numId w:val="3"/>
        </w:numPr>
        <w:bidi w:val="0"/>
        <w:ind w:left="845" w:leftChars="0" w:hanging="425" w:firstLineChars="0"/>
      </w:pPr>
      <w:r>
        <w:t>审核依据的文件；</w:t>
      </w:r>
    </w:p>
    <w:p w14:paraId="3BE6E4C9">
      <w:pPr>
        <w:pStyle w:val="39"/>
        <w:numPr>
          <w:ilvl w:val="0"/>
          <w:numId w:val="3"/>
        </w:numPr>
        <w:bidi w:val="0"/>
        <w:ind w:left="845" w:leftChars="0" w:hanging="425" w:firstLineChars="0"/>
      </w:pPr>
      <w:r>
        <w:t>审核的主要项目及时间安排；</w:t>
      </w:r>
    </w:p>
    <w:p w14:paraId="4AE29FB6">
      <w:pPr>
        <w:pStyle w:val="39"/>
        <w:numPr>
          <w:ilvl w:val="0"/>
          <w:numId w:val="3"/>
        </w:numPr>
        <w:bidi w:val="0"/>
        <w:ind w:left="845" w:leftChars="0" w:hanging="425" w:firstLineChars="0"/>
      </w:pPr>
      <w:r>
        <w:t>审核员分工。</w:t>
      </w:r>
    </w:p>
    <w:p w14:paraId="6467FE6C">
      <w:pPr>
        <w:pStyle w:val="39"/>
        <w:numPr>
          <w:ilvl w:val="0"/>
          <w:numId w:val="2"/>
        </w:numPr>
        <w:bidi w:val="0"/>
        <w:ind w:left="425" w:leftChars="0" w:hanging="425" w:firstLineChars="0"/>
      </w:pPr>
      <w:r>
        <w:t>审核组由熟悉运维服务过程的人员及工程师组成。审核组长负责审核的具体组织工作，并根据审核计划适当地分工，以确保审核过程的客观性和公正性。</w:t>
      </w:r>
    </w:p>
    <w:p w14:paraId="22387B03">
      <w:pPr>
        <w:pStyle w:val="39"/>
        <w:numPr>
          <w:ilvl w:val="0"/>
          <w:numId w:val="2"/>
        </w:numPr>
        <w:bidi w:val="0"/>
        <w:ind w:left="425" w:leftChars="0" w:hanging="425" w:firstLineChars="0"/>
      </w:pPr>
      <w:r>
        <w:t>由审核组长组织审核组成员制定审核专用文件：</w:t>
      </w:r>
    </w:p>
    <w:p w14:paraId="6EC8DA70">
      <w:pPr>
        <w:pStyle w:val="39"/>
        <w:numPr>
          <w:ilvl w:val="0"/>
          <w:numId w:val="4"/>
        </w:numPr>
        <w:bidi w:val="0"/>
        <w:ind w:left="845" w:leftChars="0" w:hanging="425" w:firstLineChars="0"/>
      </w:pPr>
      <w:r>
        <w:t>内部审核检查表；</w:t>
      </w:r>
    </w:p>
    <w:p w14:paraId="66ABD449">
      <w:pPr>
        <w:pStyle w:val="39"/>
        <w:numPr>
          <w:ilvl w:val="0"/>
          <w:numId w:val="4"/>
        </w:numPr>
        <w:bidi w:val="0"/>
        <w:ind w:left="845" w:leftChars="0" w:hanging="425" w:firstLineChars="0"/>
      </w:pPr>
      <w:r>
        <w:t>内部审核计划；</w:t>
      </w:r>
    </w:p>
    <w:p w14:paraId="0CAEBAC4">
      <w:pPr>
        <w:pStyle w:val="39"/>
        <w:numPr>
          <w:ilvl w:val="0"/>
          <w:numId w:val="4"/>
        </w:numPr>
        <w:bidi w:val="0"/>
        <w:ind w:left="845" w:leftChars="0" w:hanging="425" w:firstLineChars="0"/>
      </w:pPr>
      <w:r>
        <w:t>不合格报告（审核过程中输出）；</w:t>
      </w:r>
    </w:p>
    <w:p w14:paraId="65752BE0">
      <w:pPr>
        <w:pStyle w:val="39"/>
        <w:numPr>
          <w:ilvl w:val="0"/>
          <w:numId w:val="2"/>
        </w:numPr>
        <w:bidi w:val="0"/>
        <w:ind w:left="425" w:leftChars="0" w:hanging="425" w:firstLineChars="0"/>
      </w:pPr>
      <w:r>
        <w:t>由审核组准备好审核所依据的文件，至少在审核活动实施前一星期发出本次《内部审核计划》通知相关受审核部门。</w:t>
      </w:r>
    </w:p>
    <w:p w14:paraId="21D3ECD7">
      <w:pPr>
        <w:pStyle w:val="39"/>
        <w:numPr>
          <w:ilvl w:val="0"/>
          <w:numId w:val="2"/>
        </w:numPr>
        <w:bidi w:val="0"/>
        <w:ind w:left="425" w:leftChars="0" w:hanging="425" w:firstLineChars="0"/>
      </w:pPr>
      <w:r>
        <w:t>受审核部门收到《内部审核计划》以后，如果对审核日期和审核的主要项目有异议，可在审核活动启动前与审核组协商调整《内部审核计划》。受审核部门要确定审核过程中的陪同人员并作好必要的准备工作。</w:t>
      </w:r>
    </w:p>
    <w:p w14:paraId="512912A5">
      <w:pPr>
        <w:pStyle w:val="30"/>
        <w:bidi w:val="0"/>
      </w:pPr>
      <w:bookmarkStart w:id="11" w:name="_Toc13975"/>
      <w:r>
        <w:t>内部审核实施</w:t>
      </w:r>
      <w:bookmarkEnd w:id="11"/>
    </w:p>
    <w:p w14:paraId="3E331BBD">
      <w:pPr>
        <w:pStyle w:val="39"/>
        <w:numPr>
          <w:ilvl w:val="0"/>
          <w:numId w:val="5"/>
        </w:numPr>
        <w:bidi w:val="0"/>
        <w:ind w:left="425" w:leftChars="0" w:hanging="425" w:firstLineChars="0"/>
      </w:pPr>
      <w:r>
        <w:t>首次会议：</w:t>
      </w:r>
    </w:p>
    <w:p w14:paraId="187E4623">
      <w:pPr>
        <w:pStyle w:val="39"/>
        <w:numPr>
          <w:ilvl w:val="0"/>
          <w:numId w:val="6"/>
        </w:numPr>
        <w:bidi w:val="0"/>
        <w:ind w:left="845" w:leftChars="0" w:hanging="425" w:firstLineChars="0"/>
      </w:pPr>
      <w:r>
        <w:t>参加会议人员：公司领导、内审组成员及各部门负责人，与会者签到，审核组长主持会议；</w:t>
      </w:r>
    </w:p>
    <w:p w14:paraId="5BE1A30C">
      <w:pPr>
        <w:pStyle w:val="39"/>
        <w:numPr>
          <w:ilvl w:val="0"/>
          <w:numId w:val="6"/>
        </w:numPr>
        <w:bidi w:val="0"/>
        <w:ind w:left="845" w:leftChars="0" w:hanging="425" w:firstLineChars="0"/>
      </w:pPr>
      <w:r>
        <w:t>会议内容：由组长介绍审核目的、范围、依据、方式、组员和内审日程安排及有关事项。</w:t>
      </w:r>
    </w:p>
    <w:p w14:paraId="24444A5A">
      <w:pPr>
        <w:pStyle w:val="39"/>
        <w:numPr>
          <w:ilvl w:val="0"/>
          <w:numId w:val="5"/>
        </w:numPr>
        <w:bidi w:val="0"/>
        <w:ind w:left="425" w:leftChars="0" w:hanging="425" w:firstLineChars="0"/>
      </w:pPr>
      <w:r>
        <w:t>审核组应按《内部审核计划》实施审核活动，审核的具体内容按照《内部审核检查表》进行。审核员通过交谈、查阅文件、检查现场、收集证据等手段检查体系运行情况。</w:t>
      </w:r>
    </w:p>
    <w:p w14:paraId="34EE0DAC">
      <w:pPr>
        <w:pStyle w:val="39"/>
        <w:numPr>
          <w:ilvl w:val="0"/>
          <w:numId w:val="5"/>
        </w:numPr>
        <w:bidi w:val="0"/>
        <w:ind w:left="425" w:leftChars="0" w:hanging="425" w:firstLineChars="0"/>
      </w:pPr>
      <w:r>
        <w:t>审核过程发现问题应当场由该项工作负责人确认，并及时填写《内审不合格报告》以保证不合格项能完全被理解，有利于纠正。《内审不合格报告》应交于相关被审核部门进行纠正实施。</w:t>
      </w:r>
    </w:p>
    <w:p w14:paraId="1F9109BC">
      <w:pPr>
        <w:pStyle w:val="39"/>
        <w:numPr>
          <w:ilvl w:val="0"/>
          <w:numId w:val="5"/>
        </w:numPr>
        <w:bidi w:val="0"/>
        <w:ind w:left="425" w:leftChars="0" w:hanging="425" w:firstLineChars="0"/>
      </w:pPr>
      <w:r>
        <w:t>审核结束由审核组长或其授权的审核员编写《内部审核报告》，审核组长确认后签字，报送总经理审批。并组织受审核部门负责人及相关人员、审核组成员召开会议，报告审核结果。</w:t>
      </w:r>
    </w:p>
    <w:p w14:paraId="024BF49D">
      <w:pPr>
        <w:pStyle w:val="39"/>
        <w:bidi w:val="0"/>
      </w:pPr>
      <w:r>
        <w:t>审核报告发放的范围：</w:t>
      </w:r>
    </w:p>
    <w:p w14:paraId="443D8445">
      <w:pPr>
        <w:pStyle w:val="39"/>
        <w:numPr>
          <w:ilvl w:val="0"/>
          <w:numId w:val="7"/>
        </w:numPr>
        <w:bidi w:val="0"/>
        <w:ind w:left="845" w:leftChars="0" w:hanging="425" w:firstLineChars="0"/>
      </w:pPr>
      <w:r>
        <w:t>总经理；</w:t>
      </w:r>
    </w:p>
    <w:p w14:paraId="1D1203C1">
      <w:pPr>
        <w:pStyle w:val="39"/>
        <w:numPr>
          <w:ilvl w:val="0"/>
          <w:numId w:val="7"/>
        </w:numPr>
        <w:bidi w:val="0"/>
        <w:ind w:left="845" w:leftChars="0" w:hanging="425" w:firstLineChars="0"/>
      </w:pPr>
      <w:r>
        <w:rPr>
          <w:rFonts w:hint="eastAsia"/>
          <w:lang w:eastAsia="zh-CN"/>
        </w:rPr>
        <w:t>质量部</w:t>
      </w:r>
      <w:r>
        <w:t>；</w:t>
      </w:r>
    </w:p>
    <w:p w14:paraId="3655B0F2">
      <w:pPr>
        <w:pStyle w:val="39"/>
        <w:numPr>
          <w:ilvl w:val="0"/>
          <w:numId w:val="7"/>
        </w:numPr>
        <w:bidi w:val="0"/>
        <w:ind w:left="845" w:leftChars="0" w:hanging="425" w:firstLineChars="0"/>
      </w:pPr>
      <w:r>
        <w:t>受审核部门；</w:t>
      </w:r>
    </w:p>
    <w:p w14:paraId="48D609E4">
      <w:pPr>
        <w:pStyle w:val="39"/>
        <w:numPr>
          <w:ilvl w:val="0"/>
          <w:numId w:val="5"/>
        </w:numPr>
        <w:bidi w:val="0"/>
        <w:ind w:left="425" w:leftChars="0" w:hanging="425" w:firstLineChars="0"/>
      </w:pPr>
      <w:r>
        <w:t>《内部审核报告》作为管理评审的输入之一。内部审核中产生的全部记录由</w:t>
      </w:r>
      <w:r>
        <w:rPr>
          <w:rFonts w:hint="eastAsia"/>
          <w:lang w:eastAsia="zh-CN"/>
        </w:rPr>
        <w:t>质量部</w:t>
      </w:r>
      <w:r>
        <w:t>保存。</w:t>
      </w:r>
    </w:p>
    <w:p w14:paraId="1895BD43">
      <w:pPr>
        <w:pStyle w:val="39"/>
        <w:numPr>
          <w:ilvl w:val="0"/>
          <w:numId w:val="5"/>
        </w:numPr>
        <w:bidi w:val="0"/>
        <w:ind w:left="425" w:leftChars="0" w:hanging="425" w:firstLineChars="0"/>
      </w:pPr>
      <w:r>
        <w:t>末次会议：</w:t>
      </w:r>
    </w:p>
    <w:p w14:paraId="0667A1F9">
      <w:pPr>
        <w:pStyle w:val="39"/>
        <w:numPr>
          <w:ilvl w:val="0"/>
          <w:numId w:val="8"/>
        </w:numPr>
        <w:bidi w:val="0"/>
        <w:ind w:left="845" w:leftChars="0" w:hanging="425" w:firstLineChars="0"/>
      </w:pPr>
      <w:r>
        <w:t>参加人员：公司领导、内审组成员和各部门领导，与会者签到，审核组长主持会议。</w:t>
      </w:r>
    </w:p>
    <w:p w14:paraId="2E46226C">
      <w:pPr>
        <w:pStyle w:val="39"/>
        <w:numPr>
          <w:ilvl w:val="0"/>
          <w:numId w:val="8"/>
        </w:numPr>
        <w:bidi w:val="0"/>
        <w:ind w:left="845" w:leftChars="0" w:hanging="425" w:firstLineChars="0"/>
      </w:pPr>
      <w:r>
        <w:t>会议内容：内审组长重申审核目的，宣读该不合格报告，宣读 《内部审核报告》，提出完成纠正措施的要求和日期。</w:t>
      </w:r>
    </w:p>
    <w:p w14:paraId="49E382C1">
      <w:pPr>
        <w:pStyle w:val="39"/>
        <w:numPr>
          <w:ilvl w:val="0"/>
          <w:numId w:val="8"/>
        </w:numPr>
        <w:bidi w:val="0"/>
        <w:ind w:left="845" w:leftChars="0" w:hanging="425" w:firstLineChars="0"/>
      </w:pPr>
      <w:r>
        <w:t>由</w:t>
      </w:r>
      <w:r>
        <w:rPr>
          <w:rFonts w:hint="eastAsia"/>
          <w:lang w:eastAsia="zh-CN"/>
        </w:rPr>
        <w:t>质量部</w:t>
      </w:r>
      <w:r>
        <w:t>发放《内部审核报告》到相关部门，本次内审结果作为管理评审的输入。</w:t>
      </w:r>
    </w:p>
    <w:p w14:paraId="3D159505">
      <w:pPr>
        <w:pStyle w:val="30"/>
        <w:bidi w:val="0"/>
      </w:pPr>
      <w:bookmarkStart w:id="12" w:name="_Toc5252"/>
      <w:r>
        <w:t>纠正措施与跟踪实施</w:t>
      </w:r>
      <w:bookmarkEnd w:id="12"/>
    </w:p>
    <w:p w14:paraId="7DB408E9">
      <w:pPr>
        <w:pStyle w:val="39"/>
        <w:numPr>
          <w:ilvl w:val="0"/>
          <w:numId w:val="9"/>
        </w:numPr>
        <w:bidi w:val="0"/>
        <w:ind w:left="425" w:leftChars="0" w:hanging="425" w:firstLineChars="0"/>
      </w:pPr>
      <w:r>
        <w:t>不符合项的责任部门收到《内审不合格报告》后，必须尽快调查产生该不符合项的原因，按要求制定纠正措施及预计完成时间记入《内审不合格报告》，经部门领导审核后提交审核员确认，并得到总经理审批后完成纠正实施工作。</w:t>
      </w:r>
    </w:p>
    <w:p w14:paraId="2A5EFF10">
      <w:pPr>
        <w:pStyle w:val="39"/>
        <w:numPr>
          <w:ilvl w:val="0"/>
          <w:numId w:val="9"/>
        </w:numPr>
        <w:bidi w:val="0"/>
        <w:ind w:left="425" w:leftChars="0" w:hanging="425" w:firstLineChars="0"/>
      </w:pPr>
      <w:r>
        <w:t>不符合项的责任部门按制定的完成计划和纠正措施认真实施，并将实施结果记入《内审不合格报告》</w:t>
      </w:r>
    </w:p>
    <w:p w14:paraId="37D244EE">
      <w:pPr>
        <w:pStyle w:val="39"/>
        <w:numPr>
          <w:ilvl w:val="0"/>
          <w:numId w:val="9"/>
        </w:numPr>
        <w:bidi w:val="0"/>
        <w:ind w:left="425" w:leftChars="0" w:hanging="425" w:firstLineChars="0"/>
        <w:rPr>
          <w:rFonts w:hint="default"/>
          <w:lang w:val="en-US" w:eastAsia="zh-CN"/>
        </w:rPr>
      </w:pPr>
      <w:r>
        <w:t>审核组根据纠正措施的实施计划跟踪并验证其有效性，将检查结果记入《内审不合格报告》</w:t>
      </w:r>
    </w:p>
    <w:p w14:paraId="79FD25A5">
      <w:pPr>
        <w:pStyle w:val="28"/>
        <w:bidi w:val="0"/>
        <w:rPr>
          <w:rStyle w:val="38"/>
          <w:rFonts w:hint="default" w:eastAsia="宋体"/>
          <w:lang w:val="en-US" w:eastAsia="zh-CN"/>
        </w:rPr>
      </w:pPr>
      <w:bookmarkStart w:id="13" w:name="bookmark3"/>
      <w:bookmarkEnd w:id="13"/>
      <w:bookmarkStart w:id="14" w:name="_Toc17424"/>
      <w:bookmarkStart w:id="15" w:name="_Toc27994"/>
      <w:r>
        <w:rPr>
          <w:rStyle w:val="38"/>
          <w:rFonts w:hint="eastAsia" w:eastAsia="宋体"/>
          <w:lang w:val="en-US" w:eastAsia="zh-CN"/>
        </w:rPr>
        <w:t>附则</w:t>
      </w:r>
      <w:bookmarkEnd w:id="14"/>
      <w:bookmarkEnd w:id="15"/>
    </w:p>
    <w:p w14:paraId="71872D61">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cs="宋体"/>
          <w:spacing w:val="-1"/>
          <w:sz w:val="24"/>
          <w:szCs w:val="24"/>
          <w:lang w:val="en-US" w:eastAsia="zh-CN"/>
        </w:rPr>
        <w:t>质量部</w:t>
      </w:r>
      <w:r>
        <w:rPr>
          <w:rFonts w:ascii="宋体" w:hAnsi="宋体" w:eastAsia="宋体" w:cs="宋体"/>
          <w:spacing w:val="-1"/>
          <w:sz w:val="24"/>
          <w:szCs w:val="24"/>
        </w:rPr>
        <w:t>。</w:t>
      </w:r>
    </w:p>
    <w:p w14:paraId="6B42A97B">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6D130AB6">
      <w:pPr>
        <w:pStyle w:val="28"/>
        <w:bidi w:val="0"/>
        <w:rPr>
          <w:rFonts w:hint="default"/>
          <w:lang w:val="en-US" w:eastAsia="zh-CN"/>
        </w:rPr>
      </w:pPr>
      <w:bookmarkStart w:id="16" w:name="bookmark14"/>
      <w:bookmarkEnd w:id="16"/>
      <w:bookmarkStart w:id="17" w:name="_Toc8758"/>
      <w:r>
        <w:rPr>
          <w:rFonts w:hint="eastAsia"/>
          <w:lang w:val="en-US" w:eastAsia="zh-CN"/>
        </w:rPr>
        <w:t>附件</w:t>
      </w:r>
      <w:bookmarkEnd w:id="17"/>
    </w:p>
    <w:p w14:paraId="45FE0B99">
      <w:pPr>
        <w:pStyle w:val="29"/>
        <w:rPr>
          <w:rFonts w:hint="default"/>
          <w:lang w:val="en-US" w:eastAsia="zh-CN"/>
        </w:rPr>
      </w:pPr>
      <w:r>
        <w:rPr>
          <w:rFonts w:hint="eastAsia"/>
          <w:lang w:val="en-US" w:eastAsia="zh-CN"/>
        </w:rPr>
        <w:t>无。</w:t>
      </w:r>
    </w:p>
    <w:p w14:paraId="0ACECCE6">
      <w:pPr>
        <w:pStyle w:val="28"/>
        <w:bidi w:val="0"/>
        <w:rPr>
          <w:rFonts w:hint="eastAsia"/>
          <w:lang w:val="en-US" w:eastAsia="zh-CN"/>
        </w:rPr>
      </w:pPr>
      <w:bookmarkStart w:id="18" w:name="_Toc16381"/>
      <w:r>
        <w:rPr>
          <w:rFonts w:hint="eastAsia"/>
          <w:lang w:val="en-US" w:eastAsia="zh-CN"/>
        </w:rPr>
        <w:t>记录</w:t>
      </w:r>
      <w:bookmarkEnd w:id="18"/>
    </w:p>
    <w:p w14:paraId="098B031C">
      <w:pPr>
        <w:spacing w:before="291" w:line="219" w:lineRule="auto"/>
        <w:ind w:left="268"/>
        <w:rPr>
          <w:rFonts w:ascii="宋体" w:hAnsi="宋体" w:eastAsia="宋体" w:cs="宋体"/>
          <w:sz w:val="24"/>
          <w:szCs w:val="24"/>
        </w:rPr>
      </w:pPr>
      <w:r>
        <w:rPr>
          <w:rFonts w:ascii="宋体" w:hAnsi="宋体" w:eastAsia="宋体" w:cs="宋体"/>
          <w:spacing w:val="-2"/>
          <w:sz w:val="24"/>
          <w:szCs w:val="24"/>
        </w:rPr>
        <w:t>《内部审核计划》</w:t>
      </w:r>
    </w:p>
    <w:p w14:paraId="7BD5B125">
      <w:pPr>
        <w:spacing w:before="184" w:line="219" w:lineRule="auto"/>
        <w:ind w:left="268"/>
        <w:rPr>
          <w:rFonts w:ascii="宋体" w:hAnsi="宋体" w:eastAsia="宋体" w:cs="宋体"/>
          <w:sz w:val="24"/>
          <w:szCs w:val="24"/>
        </w:rPr>
      </w:pPr>
      <w:r>
        <w:rPr>
          <w:rFonts w:ascii="宋体" w:hAnsi="宋体" w:eastAsia="宋体" w:cs="宋体"/>
          <w:spacing w:val="-2"/>
          <w:sz w:val="24"/>
          <w:szCs w:val="24"/>
        </w:rPr>
        <w:t>《内部审核检查表》</w:t>
      </w:r>
    </w:p>
    <w:p w14:paraId="11E17BF8">
      <w:pPr>
        <w:spacing w:before="182" w:line="218" w:lineRule="auto"/>
        <w:ind w:left="268"/>
        <w:rPr>
          <w:rFonts w:ascii="宋体" w:hAnsi="宋体" w:eastAsia="宋体" w:cs="宋体"/>
          <w:sz w:val="24"/>
          <w:szCs w:val="24"/>
        </w:rPr>
      </w:pPr>
      <w:r>
        <w:rPr>
          <w:rFonts w:ascii="宋体" w:hAnsi="宋体" w:eastAsia="宋体" w:cs="宋体"/>
          <w:spacing w:val="-2"/>
          <w:sz w:val="24"/>
          <w:szCs w:val="24"/>
        </w:rPr>
        <w:t>《内部审核报告》</w:t>
      </w:r>
    </w:p>
    <w:p w14:paraId="602404C4">
      <w:pPr>
        <w:spacing w:before="185" w:line="218" w:lineRule="auto"/>
        <w:ind w:left="268"/>
        <w:rPr>
          <w:rFonts w:ascii="宋体" w:hAnsi="宋体" w:eastAsia="宋体" w:cs="宋体"/>
          <w:sz w:val="24"/>
          <w:szCs w:val="24"/>
        </w:rPr>
      </w:pPr>
      <w:r>
        <w:rPr>
          <w:rFonts w:ascii="宋体" w:hAnsi="宋体" w:eastAsia="宋体" w:cs="宋体"/>
          <w:spacing w:val="-2"/>
          <w:sz w:val="24"/>
          <w:szCs w:val="24"/>
        </w:rPr>
        <w:t>《内审不合格报告》</w:t>
      </w:r>
    </w:p>
    <w:p w14:paraId="06912512">
      <w:pPr>
        <w:spacing w:before="184" w:line="219" w:lineRule="auto"/>
        <w:ind w:left="268"/>
        <w:rPr>
          <w:rFonts w:ascii="宋体" w:hAnsi="宋体" w:eastAsia="宋体" w:cs="宋体"/>
          <w:sz w:val="24"/>
          <w:szCs w:val="24"/>
        </w:rPr>
      </w:pPr>
      <w:r>
        <w:rPr>
          <w:rFonts w:ascii="宋体" w:hAnsi="宋体" w:eastAsia="宋体" w:cs="宋体"/>
          <w:spacing w:val="-1"/>
          <w:sz w:val="24"/>
          <w:szCs w:val="24"/>
        </w:rPr>
        <w:t>《内审首(末)次会议签到表》</w:t>
      </w:r>
    </w:p>
    <w:p w14:paraId="3EC6D41A">
      <w:pPr>
        <w:pStyle w:val="29"/>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05973F">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5C327"/>
    <w:multiLevelType w:val="singleLevel"/>
    <w:tmpl w:val="80D5C327"/>
    <w:lvl w:ilvl="0" w:tentative="0">
      <w:start w:val="1"/>
      <w:numFmt w:val="decimal"/>
      <w:lvlText w:val="%1."/>
      <w:lvlJc w:val="left"/>
      <w:pPr>
        <w:ind w:left="425" w:hanging="425"/>
      </w:pPr>
      <w:rPr>
        <w:rFonts w:hint="default"/>
      </w:rPr>
    </w:lvl>
  </w:abstractNum>
  <w:abstractNum w:abstractNumId="1">
    <w:nsid w:val="8B8C12DA"/>
    <w:multiLevelType w:val="singleLevel"/>
    <w:tmpl w:val="8B8C12DA"/>
    <w:lvl w:ilvl="0" w:tentative="0">
      <w:start w:val="1"/>
      <w:numFmt w:val="decimal"/>
      <w:lvlText w:val="%1."/>
      <w:lvlJc w:val="left"/>
      <w:pPr>
        <w:ind w:left="425" w:hanging="425"/>
      </w:pPr>
      <w:rPr>
        <w:rFonts w:hint="default"/>
      </w:rPr>
    </w:lvl>
  </w:abstractNum>
  <w:abstractNum w:abstractNumId="2">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C557F79C"/>
    <w:multiLevelType w:val="singleLevel"/>
    <w:tmpl w:val="C557F79C"/>
    <w:lvl w:ilvl="0" w:tentative="0">
      <w:start w:val="1"/>
      <w:numFmt w:val="decimal"/>
      <w:lvlText w:val="(%1)"/>
      <w:lvlJc w:val="left"/>
      <w:pPr>
        <w:tabs>
          <w:tab w:val="left" w:pos="420"/>
        </w:tabs>
        <w:ind w:left="845" w:hanging="425"/>
      </w:pPr>
      <w:rPr>
        <w:rFonts w:hint="default"/>
      </w:rPr>
    </w:lvl>
  </w:abstractNum>
  <w:abstractNum w:abstractNumId="4">
    <w:nsid w:val="D2F0261B"/>
    <w:multiLevelType w:val="singleLevel"/>
    <w:tmpl w:val="D2F0261B"/>
    <w:lvl w:ilvl="0" w:tentative="0">
      <w:start w:val="1"/>
      <w:numFmt w:val="decimal"/>
      <w:lvlText w:val="%1."/>
      <w:lvlJc w:val="left"/>
      <w:pPr>
        <w:ind w:left="425" w:hanging="425"/>
      </w:pPr>
      <w:rPr>
        <w:rFonts w:hint="default"/>
      </w:rPr>
    </w:lvl>
  </w:abstractNum>
  <w:abstractNum w:abstractNumId="5">
    <w:nsid w:val="F9539CF3"/>
    <w:multiLevelType w:val="singleLevel"/>
    <w:tmpl w:val="F9539CF3"/>
    <w:lvl w:ilvl="0" w:tentative="0">
      <w:start w:val="1"/>
      <w:numFmt w:val="decimal"/>
      <w:lvlText w:val="%1."/>
      <w:lvlJc w:val="left"/>
      <w:pPr>
        <w:ind w:left="425" w:hanging="425"/>
      </w:pPr>
      <w:rPr>
        <w:rFonts w:hint="default"/>
      </w:rPr>
    </w:lvl>
  </w:abstractNum>
  <w:abstractNum w:abstractNumId="6">
    <w:nsid w:val="0DFB2A45"/>
    <w:multiLevelType w:val="singleLevel"/>
    <w:tmpl w:val="0DFB2A45"/>
    <w:lvl w:ilvl="0" w:tentative="0">
      <w:start w:val="1"/>
      <w:numFmt w:val="decimal"/>
      <w:lvlText w:val="(%1)"/>
      <w:lvlJc w:val="left"/>
      <w:pPr>
        <w:tabs>
          <w:tab w:val="left" w:pos="420"/>
        </w:tabs>
        <w:ind w:left="845" w:hanging="425"/>
      </w:pPr>
      <w:rPr>
        <w:rFonts w:hint="default"/>
      </w:rPr>
    </w:lvl>
  </w:abstractNum>
  <w:abstractNum w:abstractNumId="7">
    <w:nsid w:val="3BB220E7"/>
    <w:multiLevelType w:val="singleLevel"/>
    <w:tmpl w:val="3BB220E7"/>
    <w:lvl w:ilvl="0" w:tentative="0">
      <w:start w:val="1"/>
      <w:numFmt w:val="decimal"/>
      <w:lvlText w:val="(%1)"/>
      <w:lvlJc w:val="left"/>
      <w:pPr>
        <w:tabs>
          <w:tab w:val="left" w:pos="420"/>
        </w:tabs>
        <w:ind w:left="845" w:hanging="425"/>
      </w:pPr>
      <w:rPr>
        <w:rFonts w:hint="default"/>
      </w:rPr>
    </w:lvl>
  </w:abstractNum>
  <w:abstractNum w:abstractNumId="8">
    <w:nsid w:val="62EB02D6"/>
    <w:multiLevelType w:val="singleLevel"/>
    <w:tmpl w:val="62EB02D6"/>
    <w:lvl w:ilvl="0" w:tentative="0">
      <w:start w:val="1"/>
      <w:numFmt w:val="decimal"/>
      <w:lvlText w:val="(%1)"/>
      <w:lvlJc w:val="left"/>
      <w:pPr>
        <w:tabs>
          <w:tab w:val="left" w:pos="420"/>
        </w:tabs>
        <w:ind w:left="845" w:hanging="425"/>
      </w:pPr>
      <w:rPr>
        <w:rFonts w:hint="default"/>
      </w:rPr>
    </w:lvl>
  </w:abstractNum>
  <w:abstractNum w:abstractNumId="9">
    <w:nsid w:val="6681AF30"/>
    <w:multiLevelType w:val="singleLevel"/>
    <w:tmpl w:val="6681AF30"/>
    <w:lvl w:ilvl="0" w:tentative="0">
      <w:start w:val="1"/>
      <w:numFmt w:val="decimal"/>
      <w:lvlText w:val="(%1)"/>
      <w:lvlJc w:val="left"/>
      <w:pPr>
        <w:tabs>
          <w:tab w:val="left" w:pos="420"/>
        </w:tabs>
        <w:ind w:left="845" w:hanging="425"/>
      </w:pPr>
      <w:rPr>
        <w:rFonts w:hint="default"/>
      </w:rPr>
    </w:lvl>
  </w:abstractNum>
  <w:num w:numId="1">
    <w:abstractNumId w:val="2"/>
  </w:num>
  <w:num w:numId="2">
    <w:abstractNumId w:val="0"/>
  </w:num>
  <w:num w:numId="3">
    <w:abstractNumId w:val="8"/>
  </w:num>
  <w:num w:numId="4">
    <w:abstractNumId w:val="7"/>
  </w:num>
  <w:num w:numId="5">
    <w:abstractNumId w:val="4"/>
  </w:num>
  <w:num w:numId="6">
    <w:abstractNumId w:val="9"/>
  </w:num>
  <w:num w:numId="7">
    <w:abstractNumId w:val="6"/>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88534BB"/>
    <w:rsid w:val="3CA00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1849</Words>
  <Characters>1950</Characters>
  <Lines>0</Lines>
  <Paragraphs>0</Paragraphs>
  <TotalTime>0</TotalTime>
  <ScaleCrop>false</ScaleCrop>
  <LinksUpToDate>false</LinksUpToDate>
  <CharactersWithSpaces>2012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2025-09-15T07:20:41Z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