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4C62DA2">
      <w:pPr>
        <w:pStyle w:val="11"/>
      </w:pPr>
    </w:p>
    <w:p w14:paraId="587ACE5C">
      <w:pPr>
        <w:pStyle w:val="11"/>
      </w:pPr>
    </w:p>
    <w:p w14:paraId="7F92A9B9">
      <w:pPr>
        <w:pStyle w:val="11"/>
      </w:pPr>
    </w:p>
    <w:p w14:paraId="27A4720F">
      <w:pPr>
        <w:pStyle w:val="11"/>
      </w:pPr>
    </w:p>
    <w:p w14:paraId="2B073100">
      <w:pPr>
        <w:pStyle w:val="11"/>
      </w:pPr>
    </w:p>
    <w:p w14:paraId="329E3C21">
      <w:pPr>
        <w:pStyle w:val="11"/>
      </w:pPr>
    </w:p>
    <w:p w14:paraId="5F139923">
      <w:pPr>
        <w:spacing w:before="176" w:line="212" w:lineRule="auto"/>
        <w:ind w:left="2146"/>
        <w:outlineLvl w:val="0"/>
        <w:rPr>
          <w:rFonts w:ascii="等线" w:hAnsi="等线" w:eastAsia="等线" w:cs="等线"/>
          <w:sz w:val="52"/>
          <w:szCs w:val="52"/>
        </w:rPr>
      </w:pPr>
      <w:bookmarkStart w:id="0" w:name="_Toc5265"/>
      <w:r>
        <w:rPr>
          <w:rFonts w:ascii="等线" w:hAnsi="等线" w:eastAsia="等线" w:cs="等线"/>
          <w:b/>
          <w:bCs/>
          <w:spacing w:val="-7"/>
          <w:sz w:val="52"/>
          <w:szCs w:val="52"/>
        </w:rPr>
        <w:t>内部审核管理制度</w:t>
      </w:r>
      <w:bookmarkEnd w:id="0"/>
    </w:p>
    <w:p w14:paraId="3D8B1896">
      <w:pPr>
        <w:pStyle w:val="11"/>
        <w:spacing w:line="254" w:lineRule="auto"/>
      </w:pPr>
    </w:p>
    <w:p w14:paraId="5C8C45FF">
      <w:pPr>
        <w:pStyle w:val="11"/>
        <w:spacing w:line="254" w:lineRule="auto"/>
      </w:pPr>
    </w:p>
    <w:p w14:paraId="419A02CE">
      <w:pPr>
        <w:pStyle w:val="11"/>
        <w:spacing w:line="254" w:lineRule="auto"/>
      </w:pPr>
    </w:p>
    <w:p w14:paraId="36A11A54">
      <w:pPr>
        <w:pStyle w:val="11"/>
        <w:spacing w:line="254" w:lineRule="auto"/>
      </w:pPr>
    </w:p>
    <w:p w14:paraId="1D301ED9">
      <w:pPr>
        <w:pStyle w:val="11"/>
        <w:spacing w:line="254" w:lineRule="auto"/>
      </w:pPr>
    </w:p>
    <w:p w14:paraId="308E332F">
      <w:pPr>
        <w:pStyle w:val="11"/>
        <w:spacing w:line="254" w:lineRule="auto"/>
      </w:pPr>
    </w:p>
    <w:p w14:paraId="047E9946">
      <w:pPr>
        <w:pStyle w:val="11"/>
        <w:spacing w:line="254" w:lineRule="auto"/>
      </w:pPr>
    </w:p>
    <w:p w14:paraId="09D93B2D">
      <w:pPr>
        <w:pStyle w:val="11"/>
        <w:spacing w:line="254" w:lineRule="auto"/>
      </w:pPr>
    </w:p>
    <w:p w14:paraId="17483B42">
      <w:pPr>
        <w:pStyle w:val="11"/>
        <w:spacing w:line="254" w:lineRule="auto"/>
      </w:pPr>
    </w:p>
    <w:p w14:paraId="72FAF695">
      <w:pPr>
        <w:pStyle w:val="11"/>
        <w:spacing w:line="254" w:lineRule="auto"/>
      </w:pPr>
    </w:p>
    <w:p w14:paraId="508893A8">
      <w:pPr>
        <w:pStyle w:val="11"/>
        <w:spacing w:line="254" w:lineRule="auto"/>
      </w:pPr>
    </w:p>
    <w:p w14:paraId="533C5F12">
      <w:pPr>
        <w:pStyle w:val="11"/>
        <w:spacing w:line="254" w:lineRule="auto"/>
      </w:pPr>
    </w:p>
    <w:p w14:paraId="7EA3F2C7">
      <w:pPr>
        <w:pStyle w:val="11"/>
        <w:spacing w:line="254" w:lineRule="auto"/>
      </w:pPr>
    </w:p>
    <w:p w14:paraId="5B3D520D">
      <w:pPr>
        <w:pStyle w:val="11"/>
        <w:spacing w:line="254" w:lineRule="auto"/>
      </w:pPr>
      <w:r>
        <w:rPr>
          <w:rFonts w:hint="eastAsia" w:eastAsia="宋体"/>
          <w:lang w:eastAsia="zh-CN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699135</wp:posOffset>
            </wp:positionH>
            <wp:positionV relativeFrom="paragraph">
              <wp:posOffset>59690</wp:posOffset>
            </wp:positionV>
            <wp:extent cx="4028440" cy="1285240"/>
            <wp:effectExtent l="0" t="0" r="10160" b="10160"/>
            <wp:wrapSquare wrapText="bothSides"/>
            <wp:docPr id="1" name="图片 1" descr="5a762ee5761bed248175e83484c3b6f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5a762ee5761bed248175e83484c3b6fa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28440" cy="1285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7A96C1C">
      <w:pPr>
        <w:pStyle w:val="11"/>
        <w:spacing w:line="254" w:lineRule="auto"/>
      </w:pPr>
    </w:p>
    <w:p w14:paraId="34D0FC23">
      <w:pPr>
        <w:pStyle w:val="11"/>
        <w:spacing w:line="255" w:lineRule="auto"/>
      </w:pPr>
    </w:p>
    <w:p w14:paraId="3C6DFBD8">
      <w:pPr>
        <w:spacing w:line="1300" w:lineRule="exact"/>
        <w:ind w:firstLine="2007"/>
      </w:pPr>
    </w:p>
    <w:p w14:paraId="6F4486BD">
      <w:pPr>
        <w:pStyle w:val="11"/>
        <w:spacing w:line="244" w:lineRule="auto"/>
      </w:pPr>
    </w:p>
    <w:p w14:paraId="7AC2B3FC">
      <w:pPr>
        <w:pStyle w:val="11"/>
        <w:spacing w:line="244" w:lineRule="auto"/>
      </w:pPr>
    </w:p>
    <w:p w14:paraId="64AE12BA">
      <w:pPr>
        <w:pStyle w:val="11"/>
        <w:spacing w:line="244" w:lineRule="auto"/>
      </w:pPr>
    </w:p>
    <w:p w14:paraId="573156DE">
      <w:pPr>
        <w:pStyle w:val="11"/>
        <w:spacing w:line="244" w:lineRule="auto"/>
      </w:pPr>
    </w:p>
    <w:p w14:paraId="16A2EBD8">
      <w:pPr>
        <w:pStyle w:val="11"/>
        <w:spacing w:line="245" w:lineRule="auto"/>
      </w:pPr>
    </w:p>
    <w:p w14:paraId="069708C3">
      <w:pPr>
        <w:pStyle w:val="11"/>
        <w:spacing w:line="245" w:lineRule="auto"/>
      </w:pPr>
    </w:p>
    <w:p w14:paraId="127C2105">
      <w:pPr>
        <w:pStyle w:val="11"/>
        <w:spacing w:line="245" w:lineRule="auto"/>
      </w:pPr>
    </w:p>
    <w:p w14:paraId="7FC1EB9E">
      <w:pPr>
        <w:pStyle w:val="11"/>
        <w:spacing w:line="245" w:lineRule="auto"/>
      </w:pPr>
    </w:p>
    <w:p w14:paraId="1F0F6E8C">
      <w:pPr>
        <w:pStyle w:val="11"/>
        <w:spacing w:line="245" w:lineRule="auto"/>
      </w:pPr>
    </w:p>
    <w:p w14:paraId="302BF74C">
      <w:pPr>
        <w:pStyle w:val="11"/>
        <w:spacing w:line="245" w:lineRule="auto"/>
      </w:pPr>
    </w:p>
    <w:p w14:paraId="5C9EB499">
      <w:pPr>
        <w:pStyle w:val="11"/>
        <w:spacing w:line="245" w:lineRule="auto"/>
      </w:pPr>
    </w:p>
    <w:p w14:paraId="171AA798">
      <w:pPr>
        <w:pStyle w:val="11"/>
        <w:spacing w:line="245" w:lineRule="auto"/>
      </w:pPr>
    </w:p>
    <w:p w14:paraId="42095E8F">
      <w:pPr>
        <w:pStyle w:val="11"/>
        <w:spacing w:line="245" w:lineRule="auto"/>
      </w:pPr>
    </w:p>
    <w:p w14:paraId="726D4F5C">
      <w:pPr>
        <w:pStyle w:val="11"/>
        <w:spacing w:line="245" w:lineRule="auto"/>
      </w:pPr>
    </w:p>
    <w:p w14:paraId="45DD47B9">
      <w:pPr>
        <w:pStyle w:val="11"/>
        <w:spacing w:line="245" w:lineRule="auto"/>
      </w:pPr>
    </w:p>
    <w:p w14:paraId="014AF883">
      <w:pPr>
        <w:pStyle w:val="11"/>
        <w:spacing w:line="245" w:lineRule="auto"/>
      </w:pPr>
    </w:p>
    <w:p w14:paraId="0B0E9BB1">
      <w:pPr>
        <w:pStyle w:val="11"/>
        <w:spacing w:line="245" w:lineRule="auto"/>
      </w:pPr>
    </w:p>
    <w:p w14:paraId="5DFD45D1">
      <w:pPr>
        <w:spacing w:before="224" w:line="220" w:lineRule="auto"/>
        <w:jc w:val="center"/>
        <w:rPr>
          <w:rFonts w:hint="eastAsia" w:ascii="宋体" w:hAnsi="宋体" w:eastAsia="宋体" w:cs="宋体"/>
          <w:spacing w:val="-2"/>
          <w:sz w:val="36"/>
          <w:szCs w:val="36"/>
        </w:rPr>
      </w:pPr>
      <w:r>
        <w:rPr>
          <w:rFonts w:hint="eastAsia" w:ascii="宋体" w:hAnsi="宋体" w:eastAsia="宋体" w:cs="宋体"/>
          <w:spacing w:val="-2"/>
          <w:sz w:val="36"/>
          <w:szCs w:val="36"/>
        </w:rPr>
        <w:t>万洲奇智(青岛)信息科技有限公司</w:t>
      </w:r>
    </w:p>
    <w:p w14:paraId="7C417750">
      <w:pPr>
        <w:spacing w:before="224" w:line="220" w:lineRule="auto"/>
        <w:jc w:val="center"/>
        <w:rPr>
          <w:rFonts w:ascii="宋体" w:hAnsi="宋体" w:eastAsia="宋体" w:cs="宋体"/>
          <w:sz w:val="36"/>
          <w:szCs w:val="36"/>
        </w:rPr>
      </w:pPr>
      <w:r>
        <w:rPr>
          <w:rFonts w:ascii="宋体" w:hAnsi="宋体" w:eastAsia="宋体" w:cs="宋体"/>
          <w:spacing w:val="-11"/>
          <w:sz w:val="36"/>
          <w:szCs w:val="36"/>
        </w:rPr>
        <w:t>2025年</w:t>
      </w:r>
      <w:r>
        <w:rPr>
          <w:rFonts w:ascii="宋体" w:hAnsi="宋体" w:eastAsia="宋体" w:cs="宋体"/>
          <w:spacing w:val="-49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1</w:t>
      </w:r>
      <w:r>
        <w:rPr>
          <w:rFonts w:ascii="宋体" w:hAnsi="宋体" w:eastAsia="宋体" w:cs="宋体"/>
          <w:spacing w:val="-67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月</w:t>
      </w:r>
      <w:r>
        <w:rPr>
          <w:rFonts w:ascii="宋体" w:hAnsi="宋体" w:eastAsia="宋体" w:cs="宋体"/>
          <w:spacing w:val="-78"/>
          <w:sz w:val="36"/>
          <w:szCs w:val="36"/>
        </w:rPr>
        <w:t xml:space="preserve"> </w:t>
      </w:r>
      <w:r>
        <w:rPr>
          <w:rFonts w:ascii="宋体" w:hAnsi="宋体" w:eastAsia="宋体" w:cs="宋体"/>
          <w:spacing w:val="-11"/>
          <w:sz w:val="36"/>
          <w:szCs w:val="36"/>
        </w:rPr>
        <w:t>4 日</w:t>
      </w:r>
    </w:p>
    <w:p w14:paraId="223CEC67">
      <w:pPr>
        <w:spacing w:line="220" w:lineRule="auto"/>
        <w:rPr>
          <w:rFonts w:ascii="宋体" w:hAnsi="宋体" w:eastAsia="宋体" w:cs="宋体"/>
          <w:sz w:val="36"/>
          <w:szCs w:val="36"/>
        </w:rPr>
        <w:sectPr>
          <w:pgSz w:w="11906" w:h="16839"/>
          <w:pgMar w:top="1431" w:right="1785" w:bottom="0" w:left="1785" w:header="0" w:footer="0" w:gutter="0"/>
          <w:cols w:space="720" w:num="1"/>
        </w:sectPr>
      </w:pPr>
    </w:p>
    <w:p w14:paraId="7DDDC181">
      <w:pPr>
        <w:spacing w:before="55" w:line="220" w:lineRule="auto"/>
        <w:ind w:left="3828"/>
        <w:outlineLvl w:val="0"/>
        <w:rPr>
          <w:rFonts w:ascii="宋体" w:hAnsi="宋体" w:eastAsia="宋体" w:cs="宋体"/>
          <w:sz w:val="28"/>
          <w:szCs w:val="28"/>
        </w:rPr>
      </w:pPr>
      <w:bookmarkStart w:id="1" w:name="_Toc771"/>
      <w:r>
        <w:rPr>
          <w:rFonts w:ascii="宋体" w:hAnsi="宋体" w:eastAsia="宋体" w:cs="宋体"/>
          <w:spacing w:val="-3"/>
          <w:sz w:val="28"/>
          <w:szCs w:val="28"/>
        </w:rPr>
        <w:t>文档信息</w:t>
      </w:r>
      <w:bookmarkEnd w:id="1"/>
    </w:p>
    <w:p w14:paraId="32446675">
      <w:pPr>
        <w:spacing w:line="117" w:lineRule="exact"/>
      </w:pPr>
    </w:p>
    <w:tbl>
      <w:tblPr>
        <w:tblStyle w:val="18"/>
        <w:tblW w:w="9145" w:type="dxa"/>
        <w:tblInd w:w="5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1563"/>
        <w:gridCol w:w="1696"/>
        <w:gridCol w:w="2341"/>
        <w:gridCol w:w="1982"/>
        <w:gridCol w:w="1563"/>
      </w:tblGrid>
      <w:tr w14:paraId="1FE517B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611" w:hRule="atLeast"/>
        </w:trPr>
        <w:tc>
          <w:tcPr>
            <w:tcW w:w="1563" w:type="dxa"/>
            <w:vAlign w:val="top"/>
          </w:tcPr>
          <w:p w14:paraId="4FEA5744">
            <w:pPr>
              <w:spacing w:before="199" w:line="220" w:lineRule="auto"/>
              <w:ind w:left="11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文档名称编号</w:t>
            </w:r>
          </w:p>
        </w:tc>
        <w:tc>
          <w:tcPr>
            <w:tcW w:w="7582" w:type="dxa"/>
            <w:gridSpan w:val="4"/>
            <w:vAlign w:val="top"/>
          </w:tcPr>
          <w:p w14:paraId="3B365B62">
            <w:pPr>
              <w:spacing w:before="199" w:line="220" w:lineRule="auto"/>
              <w:ind w:left="133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内部审核管理制度（</w:t>
            </w:r>
            <w:r>
              <w:rPr>
                <w:rFonts w:hint="eastAsia" w:ascii="宋体" w:hAnsi="宋体" w:eastAsia="宋体" w:cs="宋体"/>
                <w:spacing w:val="-2"/>
                <w:sz w:val="21"/>
                <w:szCs w:val="21"/>
                <w:lang w:val="en-US" w:eastAsia="zh-CN"/>
              </w:rPr>
              <w:t>WZQZ</w:t>
            </w: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-ITSS-NBSHGL）</w:t>
            </w:r>
          </w:p>
        </w:tc>
      </w:tr>
      <w:tr w14:paraId="2787517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563" w:type="dxa"/>
            <w:vAlign w:val="top"/>
          </w:tcPr>
          <w:p w14:paraId="0416D553">
            <w:pPr>
              <w:spacing w:before="196" w:line="220" w:lineRule="auto"/>
              <w:ind w:left="11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编制单位</w:t>
            </w:r>
          </w:p>
        </w:tc>
        <w:tc>
          <w:tcPr>
            <w:tcW w:w="7582" w:type="dxa"/>
            <w:gridSpan w:val="4"/>
            <w:vAlign w:val="top"/>
          </w:tcPr>
          <w:p w14:paraId="78BE502E">
            <w:pPr>
              <w:spacing w:before="197" w:line="219" w:lineRule="auto"/>
              <w:ind w:left="10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hint="eastAsia" w:ascii="宋体" w:hAnsi="宋体" w:eastAsia="宋体" w:cs="宋体"/>
                <w:spacing w:val="-1"/>
                <w:sz w:val="21"/>
                <w:szCs w:val="21"/>
              </w:rPr>
              <w:t>万洲奇智(青岛)信息科技有限公司</w:t>
            </w:r>
          </w:p>
        </w:tc>
      </w:tr>
      <w:tr w14:paraId="0EC75D05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563" w:type="dxa"/>
            <w:vAlign w:val="top"/>
          </w:tcPr>
          <w:p w14:paraId="3D6F9A0F">
            <w:pPr>
              <w:spacing w:before="197" w:line="220" w:lineRule="auto"/>
              <w:ind w:left="11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文档密级</w:t>
            </w:r>
          </w:p>
        </w:tc>
        <w:tc>
          <w:tcPr>
            <w:tcW w:w="7582" w:type="dxa"/>
            <w:gridSpan w:val="4"/>
            <w:vAlign w:val="top"/>
          </w:tcPr>
          <w:p w14:paraId="1EEFFB67">
            <w:pPr>
              <w:spacing w:before="197" w:line="220" w:lineRule="auto"/>
              <w:ind w:left="10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秘密</w:t>
            </w:r>
          </w:p>
        </w:tc>
      </w:tr>
      <w:tr w14:paraId="343BA1ED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07" w:hRule="atLeast"/>
        </w:trPr>
        <w:tc>
          <w:tcPr>
            <w:tcW w:w="1563" w:type="dxa"/>
            <w:vAlign w:val="top"/>
          </w:tcPr>
          <w:p w14:paraId="414B65E0">
            <w:pPr>
              <w:spacing w:before="199" w:line="219" w:lineRule="auto"/>
              <w:ind w:left="36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文档版本</w:t>
            </w:r>
          </w:p>
        </w:tc>
        <w:tc>
          <w:tcPr>
            <w:tcW w:w="1696" w:type="dxa"/>
            <w:vAlign w:val="top"/>
          </w:tcPr>
          <w:p w14:paraId="6E33E95E">
            <w:pPr>
              <w:spacing w:before="199" w:line="219" w:lineRule="auto"/>
              <w:ind w:left="430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版本日期</w:t>
            </w:r>
          </w:p>
        </w:tc>
        <w:tc>
          <w:tcPr>
            <w:tcW w:w="2341" w:type="dxa"/>
            <w:vAlign w:val="top"/>
          </w:tcPr>
          <w:p w14:paraId="67C3ECFD">
            <w:pPr>
              <w:spacing w:before="199" w:line="219" w:lineRule="auto"/>
              <w:ind w:left="754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版本说明</w:t>
            </w:r>
          </w:p>
        </w:tc>
        <w:tc>
          <w:tcPr>
            <w:tcW w:w="1982" w:type="dxa"/>
            <w:vAlign w:val="top"/>
          </w:tcPr>
          <w:p w14:paraId="1DFF7E23">
            <w:pPr>
              <w:spacing w:before="199" w:line="220" w:lineRule="auto"/>
              <w:ind w:left="78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作者</w:t>
            </w:r>
          </w:p>
        </w:tc>
        <w:tc>
          <w:tcPr>
            <w:tcW w:w="1563" w:type="dxa"/>
            <w:vAlign w:val="top"/>
          </w:tcPr>
          <w:p w14:paraId="14F72AD1">
            <w:pPr>
              <w:spacing w:before="199" w:line="220" w:lineRule="auto"/>
              <w:ind w:left="586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审核</w:t>
            </w:r>
          </w:p>
        </w:tc>
      </w:tr>
      <w:tr w14:paraId="6720D5DE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563" w:type="dxa"/>
            <w:vAlign w:val="top"/>
          </w:tcPr>
          <w:p w14:paraId="6C7E90A8">
            <w:pPr>
              <w:spacing w:before="163" w:line="239" w:lineRule="auto"/>
              <w:ind w:left="568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1"/>
                <w:sz w:val="21"/>
                <w:szCs w:val="21"/>
              </w:rPr>
              <w:t>V1.0</w:t>
            </w:r>
          </w:p>
        </w:tc>
        <w:tc>
          <w:tcPr>
            <w:tcW w:w="1696" w:type="dxa"/>
            <w:vAlign w:val="top"/>
          </w:tcPr>
          <w:p w14:paraId="13E4BDD7">
            <w:pPr>
              <w:spacing w:before="163"/>
              <w:ind w:left="43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2"/>
                <w:sz w:val="21"/>
                <w:szCs w:val="21"/>
              </w:rPr>
              <w:t>2025-1-4</w:t>
            </w:r>
          </w:p>
        </w:tc>
        <w:tc>
          <w:tcPr>
            <w:tcW w:w="2341" w:type="dxa"/>
            <w:vAlign w:val="top"/>
          </w:tcPr>
          <w:p w14:paraId="43D38BC1">
            <w:pPr>
              <w:spacing w:before="133" w:line="219" w:lineRule="auto"/>
              <w:ind w:left="757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发布版本</w:t>
            </w:r>
          </w:p>
        </w:tc>
        <w:tc>
          <w:tcPr>
            <w:tcW w:w="1982" w:type="dxa"/>
            <w:vAlign w:val="top"/>
          </w:tcPr>
          <w:p w14:paraId="004AFA97">
            <w:pPr>
              <w:spacing w:before="133" w:line="220" w:lineRule="auto"/>
              <w:ind w:left="682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3"/>
                <w:sz w:val="21"/>
                <w:szCs w:val="21"/>
              </w:rPr>
              <w:t>王予婷</w:t>
            </w:r>
          </w:p>
        </w:tc>
        <w:tc>
          <w:tcPr>
            <w:tcW w:w="1563" w:type="dxa"/>
            <w:vAlign w:val="top"/>
          </w:tcPr>
          <w:p w14:paraId="750CE235">
            <w:pPr>
              <w:spacing w:before="134" w:line="220" w:lineRule="auto"/>
              <w:ind w:left="481"/>
              <w:rPr>
                <w:rFonts w:ascii="宋体" w:hAnsi="宋体" w:eastAsia="宋体" w:cs="宋体"/>
                <w:sz w:val="21"/>
                <w:szCs w:val="21"/>
              </w:rPr>
            </w:pPr>
            <w:r>
              <w:rPr>
                <w:rFonts w:ascii="宋体" w:hAnsi="宋体" w:eastAsia="宋体" w:cs="宋体"/>
                <w:spacing w:val="-5"/>
                <w:sz w:val="21"/>
                <w:szCs w:val="21"/>
              </w:rPr>
              <w:t>宫海亭</w:t>
            </w:r>
          </w:p>
        </w:tc>
      </w:tr>
      <w:tr w14:paraId="72834277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563" w:type="dxa"/>
            <w:vAlign w:val="top"/>
          </w:tcPr>
          <w:p w14:paraId="6BD964D4">
            <w:pPr>
              <w:pStyle w:val="19"/>
            </w:pPr>
          </w:p>
        </w:tc>
        <w:tc>
          <w:tcPr>
            <w:tcW w:w="1696" w:type="dxa"/>
            <w:vAlign w:val="top"/>
          </w:tcPr>
          <w:p w14:paraId="40CF0585">
            <w:pPr>
              <w:pStyle w:val="19"/>
            </w:pPr>
          </w:p>
        </w:tc>
        <w:tc>
          <w:tcPr>
            <w:tcW w:w="2341" w:type="dxa"/>
            <w:vAlign w:val="top"/>
          </w:tcPr>
          <w:p w14:paraId="2F814B45">
            <w:pPr>
              <w:pStyle w:val="19"/>
            </w:pPr>
          </w:p>
        </w:tc>
        <w:tc>
          <w:tcPr>
            <w:tcW w:w="1982" w:type="dxa"/>
            <w:vAlign w:val="top"/>
          </w:tcPr>
          <w:p w14:paraId="1BEE2508">
            <w:pPr>
              <w:pStyle w:val="19"/>
            </w:pPr>
          </w:p>
        </w:tc>
        <w:tc>
          <w:tcPr>
            <w:tcW w:w="1563" w:type="dxa"/>
            <w:vAlign w:val="top"/>
          </w:tcPr>
          <w:p w14:paraId="4B08F409">
            <w:pPr>
              <w:pStyle w:val="19"/>
            </w:pPr>
          </w:p>
        </w:tc>
      </w:tr>
      <w:tr w14:paraId="0792FD88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563" w:type="dxa"/>
            <w:vAlign w:val="top"/>
          </w:tcPr>
          <w:p w14:paraId="484CBCF8">
            <w:pPr>
              <w:pStyle w:val="19"/>
            </w:pPr>
          </w:p>
        </w:tc>
        <w:tc>
          <w:tcPr>
            <w:tcW w:w="1696" w:type="dxa"/>
            <w:vAlign w:val="top"/>
          </w:tcPr>
          <w:p w14:paraId="6C9BDC1B">
            <w:pPr>
              <w:pStyle w:val="19"/>
            </w:pPr>
          </w:p>
        </w:tc>
        <w:tc>
          <w:tcPr>
            <w:tcW w:w="2341" w:type="dxa"/>
            <w:vAlign w:val="top"/>
          </w:tcPr>
          <w:p w14:paraId="7BF87BDC">
            <w:pPr>
              <w:pStyle w:val="19"/>
            </w:pPr>
          </w:p>
        </w:tc>
        <w:tc>
          <w:tcPr>
            <w:tcW w:w="1982" w:type="dxa"/>
            <w:vAlign w:val="top"/>
          </w:tcPr>
          <w:p w14:paraId="1AF1FBD2">
            <w:pPr>
              <w:pStyle w:val="19"/>
            </w:pPr>
          </w:p>
        </w:tc>
        <w:tc>
          <w:tcPr>
            <w:tcW w:w="1563" w:type="dxa"/>
            <w:vAlign w:val="top"/>
          </w:tcPr>
          <w:p w14:paraId="520178AD">
            <w:pPr>
              <w:pStyle w:val="19"/>
            </w:pPr>
          </w:p>
        </w:tc>
      </w:tr>
      <w:tr w14:paraId="606E2FD9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474" w:hRule="atLeast"/>
        </w:trPr>
        <w:tc>
          <w:tcPr>
            <w:tcW w:w="1563" w:type="dxa"/>
            <w:vAlign w:val="top"/>
          </w:tcPr>
          <w:p w14:paraId="325FC052">
            <w:pPr>
              <w:pStyle w:val="19"/>
            </w:pPr>
          </w:p>
        </w:tc>
        <w:tc>
          <w:tcPr>
            <w:tcW w:w="1696" w:type="dxa"/>
            <w:vAlign w:val="top"/>
          </w:tcPr>
          <w:p w14:paraId="39E36A27">
            <w:pPr>
              <w:pStyle w:val="19"/>
            </w:pPr>
          </w:p>
        </w:tc>
        <w:tc>
          <w:tcPr>
            <w:tcW w:w="2341" w:type="dxa"/>
            <w:vAlign w:val="top"/>
          </w:tcPr>
          <w:p w14:paraId="40EB01BA">
            <w:pPr>
              <w:pStyle w:val="19"/>
            </w:pPr>
          </w:p>
        </w:tc>
        <w:tc>
          <w:tcPr>
            <w:tcW w:w="1982" w:type="dxa"/>
            <w:vAlign w:val="top"/>
          </w:tcPr>
          <w:p w14:paraId="57C98289">
            <w:pPr>
              <w:pStyle w:val="19"/>
            </w:pPr>
          </w:p>
        </w:tc>
        <w:tc>
          <w:tcPr>
            <w:tcW w:w="1563" w:type="dxa"/>
            <w:vAlign w:val="top"/>
          </w:tcPr>
          <w:p w14:paraId="1613CAA6">
            <w:pPr>
              <w:pStyle w:val="19"/>
            </w:pPr>
          </w:p>
        </w:tc>
      </w:tr>
      <w:tr w14:paraId="7BD27AD1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28" w:hRule="atLeast"/>
        </w:trPr>
        <w:tc>
          <w:tcPr>
            <w:tcW w:w="1563" w:type="dxa"/>
            <w:vAlign w:val="top"/>
          </w:tcPr>
          <w:p w14:paraId="48F01E04">
            <w:pPr>
              <w:pStyle w:val="19"/>
            </w:pPr>
          </w:p>
        </w:tc>
        <w:tc>
          <w:tcPr>
            <w:tcW w:w="1696" w:type="dxa"/>
            <w:vAlign w:val="top"/>
          </w:tcPr>
          <w:p w14:paraId="51FEEFA5">
            <w:pPr>
              <w:pStyle w:val="19"/>
            </w:pPr>
          </w:p>
        </w:tc>
        <w:tc>
          <w:tcPr>
            <w:tcW w:w="2341" w:type="dxa"/>
            <w:vAlign w:val="top"/>
          </w:tcPr>
          <w:p w14:paraId="5DCA99C3">
            <w:pPr>
              <w:pStyle w:val="19"/>
            </w:pPr>
          </w:p>
        </w:tc>
        <w:tc>
          <w:tcPr>
            <w:tcW w:w="1982" w:type="dxa"/>
            <w:vAlign w:val="top"/>
          </w:tcPr>
          <w:p w14:paraId="7F67D887">
            <w:pPr>
              <w:pStyle w:val="19"/>
            </w:pPr>
          </w:p>
        </w:tc>
        <w:tc>
          <w:tcPr>
            <w:tcW w:w="1563" w:type="dxa"/>
            <w:vAlign w:val="top"/>
          </w:tcPr>
          <w:p w14:paraId="1EA0A431">
            <w:pPr>
              <w:pStyle w:val="19"/>
            </w:pPr>
          </w:p>
        </w:tc>
      </w:tr>
      <w:tr w14:paraId="75231C00"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589" w:hRule="atLeast"/>
        </w:trPr>
        <w:tc>
          <w:tcPr>
            <w:tcW w:w="1563" w:type="dxa"/>
            <w:vAlign w:val="top"/>
          </w:tcPr>
          <w:p w14:paraId="70DAF951">
            <w:pPr>
              <w:pStyle w:val="19"/>
            </w:pPr>
          </w:p>
        </w:tc>
        <w:tc>
          <w:tcPr>
            <w:tcW w:w="1696" w:type="dxa"/>
            <w:vAlign w:val="top"/>
          </w:tcPr>
          <w:p w14:paraId="7F6A5F9B">
            <w:pPr>
              <w:pStyle w:val="19"/>
            </w:pPr>
          </w:p>
        </w:tc>
        <w:tc>
          <w:tcPr>
            <w:tcW w:w="2341" w:type="dxa"/>
            <w:vAlign w:val="top"/>
          </w:tcPr>
          <w:p w14:paraId="25C4F797">
            <w:pPr>
              <w:pStyle w:val="19"/>
            </w:pPr>
          </w:p>
        </w:tc>
        <w:tc>
          <w:tcPr>
            <w:tcW w:w="1982" w:type="dxa"/>
            <w:vAlign w:val="top"/>
          </w:tcPr>
          <w:p w14:paraId="42A1CB50">
            <w:pPr>
              <w:pStyle w:val="19"/>
            </w:pPr>
          </w:p>
        </w:tc>
        <w:tc>
          <w:tcPr>
            <w:tcW w:w="1563" w:type="dxa"/>
            <w:vAlign w:val="top"/>
          </w:tcPr>
          <w:p w14:paraId="4B64712B">
            <w:pPr>
              <w:pStyle w:val="19"/>
            </w:pPr>
          </w:p>
        </w:tc>
      </w:tr>
    </w:tbl>
    <w:p w14:paraId="09FD32E8">
      <w:pPr>
        <w:pStyle w:val="11"/>
      </w:pPr>
    </w:p>
    <w:p w14:paraId="08F42FA6">
      <w:pPr>
        <w:sectPr>
          <w:pgSz w:w="11907" w:h="16840"/>
          <w:pgMar w:top="1253" w:right="1173" w:bottom="0" w:left="1578" w:header="0" w:footer="0" w:gutter="0"/>
          <w:cols w:space="720" w:num="1"/>
        </w:sectPr>
      </w:pPr>
    </w:p>
    <w:p w14:paraId="61748F8B">
      <w:pPr>
        <w:pStyle w:val="11"/>
        <w:spacing w:line="250" w:lineRule="auto"/>
      </w:pPr>
    </w:p>
    <w:p w14:paraId="7D43FBAE">
      <w:pPr>
        <w:pStyle w:val="11"/>
        <w:spacing w:line="250" w:lineRule="auto"/>
      </w:pPr>
    </w:p>
    <w:p w14:paraId="04DDEC7E">
      <w:pPr>
        <w:pStyle w:val="11"/>
        <w:spacing w:line="251" w:lineRule="auto"/>
      </w:pPr>
    </w:p>
    <w:p w14:paraId="64BEE16F">
      <w:pPr>
        <w:pStyle w:val="11"/>
        <w:spacing w:line="251" w:lineRule="auto"/>
      </w:pPr>
    </w:p>
    <w:p w14:paraId="22F23317">
      <w:pPr>
        <w:pStyle w:val="11"/>
        <w:spacing w:line="251" w:lineRule="auto"/>
      </w:pPr>
    </w:p>
    <w:p w14:paraId="615B92A9">
      <w:pPr>
        <w:pStyle w:val="11"/>
        <w:spacing w:line="251" w:lineRule="auto"/>
      </w:pPr>
    </w:p>
    <w:p w14:paraId="644954BC">
      <w:pPr>
        <w:pStyle w:val="11"/>
        <w:spacing w:line="251" w:lineRule="auto"/>
      </w:pPr>
    </w:p>
    <w:p w14:paraId="6E713B60">
      <w:pPr>
        <w:pStyle w:val="11"/>
        <w:spacing w:line="251" w:lineRule="auto"/>
      </w:pPr>
    </w:p>
    <w:sdt>
      <w:sdtPr>
        <w:rPr>
          <w:rFonts w:ascii="宋体" w:hAnsi="宋体" w:eastAsia="宋体" w:cs="Arial"/>
          <w:snapToGrid w:val="0"/>
          <w:color w:val="000000"/>
          <w:kern w:val="0"/>
          <w:sz w:val="21"/>
          <w:szCs w:val="21"/>
          <w:lang w:val="en-US" w:eastAsia="en-US" w:bidi="ar-SA"/>
        </w:rPr>
        <w:id w:val="147473535"/>
        <w15:color w:val="DBDBDB"/>
        <w:docPartObj>
          <w:docPartGallery w:val="Table of Contents"/>
          <w:docPartUnique/>
        </w:docPartObj>
      </w:sdtPr>
      <w:sdtEndPr>
        <w:rPr>
          <w:rFonts w:ascii="宋体" w:hAnsi="宋体" w:eastAsia="宋体" w:cs="宋体"/>
          <w:snapToGrid w:val="0"/>
          <w:color w:val="000000"/>
          <w:kern w:val="0"/>
          <w:sz w:val="21"/>
          <w:szCs w:val="21"/>
          <w:lang w:val="en-US" w:eastAsia="en-US" w:bidi="ar-SA"/>
        </w:rPr>
      </w:sdtEndPr>
      <w:sdtContent>
        <w:p w14:paraId="7167DB15"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r>
            <w:rPr>
              <w:rFonts w:ascii="宋体" w:hAnsi="宋体" w:eastAsia="宋体"/>
              <w:sz w:val="21"/>
            </w:rPr>
            <w:t>目录</w:t>
          </w:r>
        </w:p>
        <w:p w14:paraId="29FDC1C1">
          <w:pPr>
            <w:pStyle w:val="14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ascii="宋体" w:hAnsi="宋体" w:eastAsia="宋体" w:cs="宋体"/>
              <w:sz w:val="21"/>
              <w:szCs w:val="21"/>
            </w:rPr>
            <w:fldChar w:fldCharType="begin"/>
          </w:r>
          <w:r>
            <w:rPr>
              <w:rFonts w:ascii="宋体" w:hAnsi="宋体" w:eastAsia="宋体" w:cs="宋体"/>
              <w:sz w:val="21"/>
              <w:szCs w:val="21"/>
            </w:rPr>
            <w:instrText xml:space="preserve">TOC \o "1-3" \h \u </w:instrText>
          </w:r>
          <w:r>
            <w:rPr>
              <w:rFonts w:ascii="宋体" w:hAnsi="宋体" w:eastAsia="宋体" w:cs="宋体"/>
              <w:sz w:val="21"/>
              <w:szCs w:val="21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_Toc5265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bCs/>
              <w:spacing w:val="-7"/>
              <w:sz w:val="24"/>
              <w:szCs w:val="24"/>
            </w:rPr>
            <w:t>内部审核管理制度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_Toc5265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4FAAF97">
          <w:pPr>
            <w:pStyle w:val="14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_Toc771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pacing w:val="-3"/>
              <w:sz w:val="24"/>
              <w:szCs w:val="24"/>
            </w:rPr>
            <w:t>文档信息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_Toc771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33ADB23">
          <w:pPr>
            <w:pStyle w:val="14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_Toc15149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1. 目的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_Toc15149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BF9423C">
          <w:pPr>
            <w:pStyle w:val="14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_Toc5411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2. 适用范围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_Toc5411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7F01D617">
          <w:pPr>
            <w:pStyle w:val="14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_Toc6419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 职责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_Toc6419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02808A7">
          <w:pPr>
            <w:pStyle w:val="15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_Toc19517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 xml:space="preserve">3.1. 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  <w:lang w:eastAsia="zh-CN"/>
            </w:rPr>
            <w:t>质量部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_Toc19517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BAF32C0">
          <w:pPr>
            <w:pStyle w:val="15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_Toc22660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3.2. 其他相关部门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_Toc22660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D3BA4FA">
          <w:pPr>
            <w:pStyle w:val="15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_Toc23117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3.3. 工作程序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_Toc23117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562E813">
          <w:pPr>
            <w:pStyle w:val="12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_Toc22849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3.3.1. 审核的频次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_Toc22849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5EC6E138">
          <w:pPr>
            <w:pStyle w:val="12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_Toc9961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3.3.2. 审核的策划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_Toc9961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6CF963E">
          <w:pPr>
            <w:pStyle w:val="12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_Toc6169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3.3.3. 审核组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_Toc6169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840A8B0">
          <w:pPr>
            <w:pStyle w:val="12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_Toc18690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3.3.4. 审核依据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_Toc18690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4AFC1C1">
          <w:pPr>
            <w:pStyle w:val="12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_Toc12303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3.3.5. 审核的计划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_Toc12303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2C9FE626">
          <w:pPr>
            <w:pStyle w:val="14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_Toc14335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4. 审核的准备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_Toc14335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AC654D8">
          <w:pPr>
            <w:pStyle w:val="14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_Toc10647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5. 审核的实施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_Toc10647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5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361A478E">
          <w:pPr>
            <w:pStyle w:val="14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_Toc13961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6. 不符合项报告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_Toc13961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6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975EF14">
          <w:pPr>
            <w:pStyle w:val="14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_Toc12465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7. 审核报告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_Toc12465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17BE2666">
          <w:pPr>
            <w:pStyle w:val="14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_Toc19635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8. 总结会议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_Toc19635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5885E58">
          <w:pPr>
            <w:pStyle w:val="14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_Toc20719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9. 服务改进措施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_Toc20719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42D90C3C">
          <w:pPr>
            <w:pStyle w:val="14"/>
            <w:tabs>
              <w:tab w:val="right" w:leader="dot" w:pos="8371"/>
            </w:tabs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_Toc5222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10. 跟踪验证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_Toc5222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0B143331">
          <w:pPr>
            <w:pStyle w:val="14"/>
            <w:tabs>
              <w:tab w:val="right" w:leader="dot" w:pos="8371"/>
            </w:tabs>
          </w:pP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HYPERLINK \l _Toc3758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11. 内审记录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ab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begin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instrText xml:space="preserve"> PAGEREF _Toc3758 \h </w:instrTex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separate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t>7</w:t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  <w:r>
            <w:rPr>
              <w:rFonts w:hint="eastAsia" w:ascii="Microsoft JhengHei" w:hAnsi="Microsoft JhengHei" w:eastAsia="Microsoft JhengHei" w:cs="Microsoft JhengHei"/>
              <w:sz w:val="24"/>
              <w:szCs w:val="24"/>
            </w:rPr>
            <w:fldChar w:fldCharType="end"/>
          </w:r>
        </w:p>
        <w:p w14:paraId="6A3FD4E4">
          <w:pPr>
            <w:spacing w:line="220" w:lineRule="auto"/>
            <w:rPr>
              <w:rFonts w:ascii="宋体" w:hAnsi="宋体" w:eastAsia="宋体" w:cs="宋体"/>
              <w:snapToGrid w:val="0"/>
              <w:color w:val="000000"/>
              <w:kern w:val="0"/>
              <w:sz w:val="21"/>
              <w:szCs w:val="21"/>
              <w:lang w:val="en-US" w:eastAsia="en-US" w:bidi="ar-SA"/>
            </w:rPr>
          </w:pPr>
          <w:r>
            <w:rPr>
              <w:rFonts w:ascii="宋体" w:hAnsi="宋体" w:eastAsia="宋体" w:cs="宋体"/>
              <w:szCs w:val="21"/>
            </w:rPr>
            <w:fldChar w:fldCharType="end"/>
          </w:r>
        </w:p>
      </w:sdtContent>
    </w:sdt>
    <w:p w14:paraId="7A1725A7">
      <w:pPr>
        <w:spacing w:line="220" w:lineRule="auto"/>
        <w:rPr>
          <w:rFonts w:ascii="宋体" w:hAnsi="宋体" w:eastAsia="宋体" w:cs="宋体"/>
          <w:snapToGrid w:val="0"/>
          <w:color w:val="000000"/>
          <w:kern w:val="0"/>
          <w:sz w:val="21"/>
          <w:szCs w:val="21"/>
          <w:lang w:val="en-US" w:eastAsia="en-US" w:bidi="ar-SA"/>
        </w:rPr>
        <w:sectPr>
          <w:headerReference r:id="rId5" w:type="default"/>
          <w:footerReference r:id="rId6" w:type="default"/>
          <w:pgSz w:w="11907" w:h="16840"/>
          <w:pgMar w:top="1162" w:right="1768" w:bottom="1359" w:left="1768" w:header="830" w:footer="1198" w:gutter="0"/>
          <w:cols w:space="720" w:num="1"/>
        </w:sectPr>
      </w:pPr>
    </w:p>
    <w:p w14:paraId="55427C37">
      <w:pPr>
        <w:pStyle w:val="11"/>
        <w:spacing w:line="266" w:lineRule="auto"/>
      </w:pPr>
    </w:p>
    <w:p w14:paraId="4298A2A4">
      <w:pPr>
        <w:pStyle w:val="20"/>
        <w:bidi w:val="0"/>
      </w:pPr>
      <w:bookmarkStart w:id="2" w:name="_Toc15149"/>
      <w:r>
        <w:t>目的</w:t>
      </w:r>
      <w:bookmarkEnd w:id="2"/>
    </w:p>
    <w:p w14:paraId="5A7752CE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确定</w:t>
      </w:r>
      <w:r>
        <w:rPr>
          <w:rFonts w:hint="eastAsia" w:ascii="宋体" w:hAnsi="宋体" w:eastAsia="宋体" w:cs="宋体"/>
          <w:spacing w:val="-1"/>
          <w:sz w:val="24"/>
          <w:szCs w:val="24"/>
        </w:rPr>
        <w:t>万洲奇智(青岛)信息科技有限公司</w:t>
      </w:r>
      <w:r>
        <w:rPr>
          <w:rFonts w:ascii="宋体" w:hAnsi="宋体" w:eastAsia="宋体" w:cs="宋体"/>
          <w:spacing w:val="-1"/>
          <w:sz w:val="24"/>
          <w:szCs w:val="24"/>
        </w:rPr>
        <w:t>的 ITSS 运维服务质量管理体系是否满足规定要求，以及是否得到有效实施和保持。</w:t>
      </w:r>
    </w:p>
    <w:p w14:paraId="18A19BF9">
      <w:pPr>
        <w:pStyle w:val="20"/>
        <w:bidi w:val="0"/>
      </w:pPr>
      <w:bookmarkStart w:id="3" w:name="_Toc5411"/>
      <w:r>
        <w:t>适用范围</w:t>
      </w:r>
      <w:bookmarkEnd w:id="3"/>
    </w:p>
    <w:p w14:paraId="139F590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适用于</w:t>
      </w:r>
      <w:r>
        <w:rPr>
          <w:rFonts w:hint="eastAsia" w:ascii="宋体" w:hAnsi="宋体" w:eastAsia="宋体" w:cs="宋体"/>
          <w:spacing w:val="-1"/>
          <w:sz w:val="24"/>
          <w:szCs w:val="24"/>
        </w:rPr>
        <w:t>万洲奇智(青岛)信息科技有限公司</w:t>
      </w:r>
      <w:r>
        <w:rPr>
          <w:rFonts w:ascii="宋体" w:hAnsi="宋体" w:eastAsia="宋体" w:cs="宋体"/>
          <w:spacing w:val="-1"/>
          <w:sz w:val="24"/>
          <w:szCs w:val="24"/>
        </w:rPr>
        <w:t>的运维服务管理体系的内审。</w:t>
      </w:r>
    </w:p>
    <w:p w14:paraId="769AC42C">
      <w:pPr>
        <w:pStyle w:val="20"/>
        <w:bidi w:val="0"/>
      </w:pPr>
      <w:bookmarkStart w:id="4" w:name="_Toc6419"/>
      <w:r>
        <w:t>职责</w:t>
      </w:r>
      <w:bookmarkEnd w:id="4"/>
    </w:p>
    <w:p w14:paraId="4CA57469">
      <w:pPr>
        <w:pStyle w:val="21"/>
        <w:bidi w:val="0"/>
      </w:pPr>
      <w:bookmarkStart w:id="5" w:name="bookmark21"/>
      <w:bookmarkEnd w:id="5"/>
      <w:bookmarkStart w:id="6" w:name="_Toc19517"/>
      <w:r>
        <w:rPr>
          <w:rFonts w:hint="eastAsia"/>
          <w:lang w:eastAsia="zh-CN"/>
        </w:rPr>
        <w:t>质量部</w:t>
      </w:r>
      <w:bookmarkEnd w:id="6"/>
    </w:p>
    <w:p w14:paraId="029F6EE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1)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质量部</w:t>
      </w:r>
      <w:r>
        <w:rPr>
          <w:rFonts w:ascii="宋体" w:hAnsi="宋体" w:eastAsia="宋体" w:cs="宋体"/>
          <w:spacing w:val="-1"/>
          <w:sz w:val="24"/>
          <w:szCs w:val="24"/>
        </w:rPr>
        <w:t>负责制订《内审计划》，由主管审批，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质量部</w:t>
      </w:r>
      <w:r>
        <w:rPr>
          <w:rFonts w:ascii="宋体" w:hAnsi="宋体" w:eastAsia="宋体" w:cs="宋体"/>
          <w:spacing w:val="-1"/>
          <w:sz w:val="24"/>
          <w:szCs w:val="24"/>
        </w:rPr>
        <w:t>负责组织内审活动，组建审核组。</w:t>
      </w:r>
    </w:p>
    <w:p w14:paraId="6D6D581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2)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质量部</w:t>
      </w:r>
      <w:r>
        <w:rPr>
          <w:rFonts w:ascii="宋体" w:hAnsi="宋体" w:eastAsia="宋体" w:cs="宋体"/>
          <w:spacing w:val="-1"/>
          <w:sz w:val="24"/>
          <w:szCs w:val="24"/>
        </w:rPr>
        <w:t>经理或其他指定人员担任审核组长，负责组织编制内部质量体系审核检查表，并组织内审的实施，负责不符合项的跟踪验证。</w:t>
      </w:r>
    </w:p>
    <w:p w14:paraId="687A1FBB">
      <w:pPr>
        <w:pStyle w:val="21"/>
        <w:bidi w:val="0"/>
      </w:pPr>
      <w:bookmarkStart w:id="7" w:name="_Toc22660"/>
      <w:r>
        <w:t>其他相关部门</w:t>
      </w:r>
      <w:bookmarkEnd w:id="7"/>
    </w:p>
    <w:p w14:paraId="3AADE79B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1)</w:t>
      </w:r>
      <w:r>
        <w:rPr>
          <w:rFonts w:ascii="宋体" w:hAnsi="宋体" w:eastAsia="宋体" w:cs="宋体"/>
          <w:spacing w:val="-1"/>
          <w:sz w:val="24"/>
          <w:szCs w:val="24"/>
        </w:rPr>
        <w:t>各受审核的部门配合审核工作的实施。</w:t>
      </w:r>
    </w:p>
    <w:p w14:paraId="23852080">
      <w:pPr>
        <w:pStyle w:val="21"/>
        <w:bidi w:val="0"/>
      </w:pPr>
      <w:bookmarkStart w:id="8" w:name="_Toc23117"/>
      <w:r>
        <w:t>工作程序</w:t>
      </w:r>
      <w:bookmarkEnd w:id="8"/>
    </w:p>
    <w:p w14:paraId="4C504C94">
      <w:pPr>
        <w:pStyle w:val="22"/>
        <w:bidi w:val="0"/>
        <w:rPr>
          <w:rFonts w:hint="eastAsia"/>
        </w:rPr>
      </w:pPr>
      <w:bookmarkStart w:id="9" w:name="bookmark22"/>
      <w:bookmarkEnd w:id="9"/>
      <w:bookmarkStart w:id="10" w:name="_Toc22849"/>
      <w:r>
        <w:rPr>
          <w:rFonts w:hint="eastAsia"/>
        </w:rPr>
        <w:t>审核的频次</w:t>
      </w:r>
      <w:bookmarkEnd w:id="10"/>
    </w:p>
    <w:p w14:paraId="53F003AD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1)完整的内审时间间隔不超过 1 年。</w:t>
      </w:r>
    </w:p>
    <w:p w14:paraId="57B732D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2)需要时经副总批准后，可增加部分或完整质量体系的审核。</w:t>
      </w:r>
    </w:p>
    <w:p w14:paraId="42208F5A">
      <w:pPr>
        <w:pStyle w:val="22"/>
        <w:bidi w:val="0"/>
        <w:rPr>
          <w:rFonts w:hint="eastAsia"/>
        </w:rPr>
      </w:pPr>
      <w:bookmarkStart w:id="11" w:name="bookmark23"/>
      <w:bookmarkEnd w:id="11"/>
      <w:bookmarkStart w:id="12" w:name="_Toc9961"/>
      <w:r>
        <w:rPr>
          <w:rFonts w:hint="eastAsia"/>
        </w:rPr>
        <w:t>审核的策划</w:t>
      </w:r>
      <w:bookmarkEnd w:id="12"/>
    </w:p>
    <w:p w14:paraId="4992CF5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1)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质量部</w:t>
      </w:r>
      <w:r>
        <w:rPr>
          <w:rFonts w:ascii="宋体" w:hAnsi="宋体" w:eastAsia="宋体" w:cs="宋体"/>
          <w:spacing w:val="-1"/>
          <w:sz w:val="24"/>
          <w:szCs w:val="24"/>
        </w:rPr>
        <w:t>经理负责将下一次内审的《内审计划》 并发至各部门，在内审前进行策划。</w:t>
      </w:r>
    </w:p>
    <w:p w14:paraId="395E0F6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  <w:lang w:val="en-US" w:eastAsia="zh-CN"/>
        </w:rPr>
        <w:t>2)</w:t>
      </w:r>
      <w:r>
        <w:rPr>
          <w:rFonts w:ascii="宋体" w:hAnsi="宋体" w:eastAsia="宋体" w:cs="宋体"/>
          <w:spacing w:val="-1"/>
          <w:sz w:val="24"/>
          <w:szCs w:val="24"/>
        </w:rPr>
        <w:t>策划时应考虑审核过程和区域的状况和重要性以及以往的审核结果。</w:t>
      </w:r>
    </w:p>
    <w:p w14:paraId="51B16ED2">
      <w:pPr>
        <w:pStyle w:val="22"/>
        <w:bidi w:val="0"/>
        <w:rPr>
          <w:rFonts w:hint="eastAsia"/>
        </w:rPr>
      </w:pPr>
      <w:bookmarkStart w:id="13" w:name="_Toc6169"/>
      <w:r>
        <w:rPr>
          <w:rFonts w:hint="eastAsia"/>
        </w:rPr>
        <w:t>审核组</w:t>
      </w:r>
      <w:bookmarkEnd w:id="13"/>
    </w:p>
    <w:p w14:paraId="1F67A89B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3.3.1 审核组成员</w:t>
      </w:r>
    </w:p>
    <w:p w14:paraId="3485931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审核组长由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质量部</w:t>
      </w:r>
      <w:r>
        <w:rPr>
          <w:rFonts w:ascii="宋体" w:hAnsi="宋体" w:eastAsia="宋体" w:cs="宋体"/>
          <w:spacing w:val="-1"/>
          <w:sz w:val="24"/>
          <w:szCs w:val="24"/>
        </w:rPr>
        <w:t>经理或指定人员担任，根据审核特点从本公司的内审</w:t>
      </w:r>
      <w:r>
        <w:rPr>
          <w:rFonts w:ascii="宋体" w:hAnsi="宋体" w:eastAsia="宋体" w:cs="宋体"/>
          <w:spacing w:val="-2"/>
          <w:sz w:val="24"/>
          <w:szCs w:val="24"/>
        </w:rPr>
        <w:t>员中选定若干名组成审核组。审核组长对最终的审核结论和审核报告负责。</w:t>
      </w:r>
    </w:p>
    <w:p w14:paraId="530FDF79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3.3.2 审核人员要求</w:t>
      </w:r>
    </w:p>
    <w:p w14:paraId="4C67A0B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在选择内审员时应考虑下列条件：</w:t>
      </w:r>
    </w:p>
    <w:p w14:paraId="741DCAD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1)审核员应是经培训合格的公司内审员。</w:t>
      </w:r>
    </w:p>
    <w:p w14:paraId="7477394A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2)应了解受审核部门运维体系运行情况和业务特点。</w:t>
      </w:r>
    </w:p>
    <w:p w14:paraId="2E1BC4DC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76" w:firstLine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3)当本公司的内审能力不足时，可聘请外部专家协助审核。</w:t>
      </w:r>
    </w:p>
    <w:p w14:paraId="1ADAA2A0">
      <w:pPr>
        <w:pStyle w:val="22"/>
        <w:bidi w:val="0"/>
      </w:pPr>
      <w:bookmarkStart w:id="14" w:name="_Toc18690"/>
      <w:r>
        <w:rPr>
          <w:rFonts w:hint="eastAsia"/>
        </w:rPr>
        <w:t>审核依据</w:t>
      </w:r>
      <w:bookmarkEnd w:id="14"/>
    </w:p>
    <w:p w14:paraId="46059356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4" w:firstLineChars="200"/>
        <w:textAlignment w:val="baseline"/>
        <w:rPr>
          <w:rFonts w:hint="eastAsia" w:ascii="宋体" w:hAnsi="宋体" w:eastAsia="宋体" w:cs="宋体"/>
          <w:spacing w:val="-4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pacing w:val="-4"/>
          <w:sz w:val="24"/>
          <w:szCs w:val="24"/>
        </w:rPr>
        <w:t>GB/T 28827.1-2022</w:t>
      </w:r>
      <w:r>
        <w:rPr>
          <w:rFonts w:hint="eastAsia" w:ascii="宋体" w:hAnsi="宋体" w:eastAsia="宋体" w:cs="宋体"/>
          <w:spacing w:val="-4"/>
          <w:sz w:val="24"/>
          <w:szCs w:val="24"/>
          <w:lang w:val="en-US" w:eastAsia="zh-CN"/>
        </w:rPr>
        <w:t xml:space="preserve">  《信息技术服务 运行维护 第1部分：通用要求》</w:t>
      </w:r>
    </w:p>
    <w:p w14:paraId="25B7860B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4" w:firstLineChars="200"/>
        <w:textAlignment w:val="baseline"/>
        <w:rPr>
          <w:rFonts w:hint="eastAsia" w:ascii="宋体" w:hAnsi="宋体" w:eastAsia="宋体" w:cs="宋体"/>
          <w:spacing w:val="-4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pacing w:val="-4"/>
          <w:sz w:val="24"/>
          <w:szCs w:val="24"/>
        </w:rPr>
        <w:t>GB/T 28827.1-20</w:t>
      </w:r>
      <w:r>
        <w:rPr>
          <w:rFonts w:hint="eastAsia" w:ascii="宋体" w:hAnsi="宋体" w:eastAsia="宋体" w:cs="宋体"/>
          <w:spacing w:val="-4"/>
          <w:sz w:val="24"/>
          <w:szCs w:val="24"/>
          <w:lang w:val="en-US" w:eastAsia="zh-CN"/>
        </w:rPr>
        <w:t>1</w:t>
      </w:r>
      <w:r>
        <w:rPr>
          <w:rFonts w:hint="eastAsia" w:ascii="宋体" w:hAnsi="宋体" w:eastAsia="宋体" w:cs="宋体"/>
          <w:spacing w:val="-4"/>
          <w:sz w:val="24"/>
          <w:szCs w:val="24"/>
        </w:rPr>
        <w:t>2</w:t>
      </w:r>
      <w:r>
        <w:rPr>
          <w:rFonts w:hint="eastAsia" w:ascii="宋体" w:hAnsi="宋体" w:eastAsia="宋体" w:cs="宋体"/>
          <w:spacing w:val="-4"/>
          <w:sz w:val="24"/>
          <w:szCs w:val="24"/>
          <w:lang w:val="en-US" w:eastAsia="zh-CN"/>
        </w:rPr>
        <w:t xml:space="preserve">  《信息技术服务 运行维护 第2部分：交付规范》</w:t>
      </w:r>
    </w:p>
    <w:p w14:paraId="2CA2BB50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4" w:firstLineChars="200"/>
        <w:textAlignment w:val="baseline"/>
        <w:rPr>
          <w:rFonts w:hint="eastAsia" w:ascii="宋体" w:hAnsi="宋体" w:eastAsia="宋体" w:cs="宋体"/>
          <w:spacing w:val="-4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pacing w:val="-4"/>
          <w:sz w:val="24"/>
          <w:szCs w:val="24"/>
          <w:lang w:val="en-US" w:eastAsia="zh-CN"/>
        </w:rPr>
        <w:t>GB/T28827.3-2012    《信息技术服务 运行维护 第3部分：应急响应规范》</w:t>
      </w:r>
    </w:p>
    <w:p w14:paraId="5C420E30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4" w:firstLineChars="200"/>
        <w:textAlignment w:val="baseline"/>
        <w:rPr>
          <w:rFonts w:hint="default" w:ascii="宋体" w:hAnsi="宋体" w:eastAsia="宋体" w:cs="宋体"/>
          <w:spacing w:val="-4"/>
          <w:sz w:val="24"/>
          <w:szCs w:val="24"/>
          <w:lang w:val="en-US" w:eastAsia="zh-CN"/>
        </w:rPr>
      </w:pPr>
      <w:r>
        <w:rPr>
          <w:rFonts w:hint="default" w:ascii="宋体" w:hAnsi="宋体" w:eastAsia="宋体" w:cs="宋体"/>
          <w:spacing w:val="-4"/>
          <w:sz w:val="24"/>
          <w:szCs w:val="24"/>
          <w:lang w:val="en-US" w:eastAsia="zh-CN"/>
        </w:rPr>
        <w:t>及ITSS.1-2015《信息技术服务 运行维护服务能力成熟度模型》</w:t>
      </w:r>
    </w:p>
    <w:p w14:paraId="327E4B55">
      <w:pPr>
        <w:pStyle w:val="22"/>
        <w:bidi w:val="0"/>
      </w:pPr>
      <w:bookmarkStart w:id="15" w:name="_Toc12303"/>
      <w:r>
        <w:t>审核的计划</w:t>
      </w:r>
      <w:bookmarkEnd w:id="15"/>
    </w:p>
    <w:p w14:paraId="3D2A15D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4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审核组长与审核组其它成员一起制定《内审计划》和编写《内审检查表》，</w:t>
      </w:r>
    </w:p>
    <w:p w14:paraId="08045E0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4" w:firstLineChars="200"/>
        <w:jc w:val="both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《内审计划》应确保审核员不能审核其所在的部门，《内审检查表》应充分考虑</w:t>
      </w:r>
      <w:r>
        <w:rPr>
          <w:rFonts w:ascii="宋体" w:hAnsi="宋体" w:eastAsia="宋体" w:cs="宋体"/>
          <w:sz w:val="24"/>
          <w:szCs w:val="24"/>
        </w:rPr>
        <w:t>抽样的代表性、审核深度和上次审核纠正措施实施情况</w:t>
      </w:r>
      <w:r>
        <w:rPr>
          <w:rFonts w:ascii="宋体" w:hAnsi="宋体" w:eastAsia="宋体" w:cs="宋体"/>
          <w:spacing w:val="-1"/>
          <w:sz w:val="24"/>
          <w:szCs w:val="24"/>
        </w:rPr>
        <w:t>，并且审核前通知被审</w:t>
      </w:r>
      <w:r>
        <w:rPr>
          <w:rFonts w:ascii="宋体" w:hAnsi="宋体" w:eastAsia="宋体" w:cs="宋体"/>
          <w:spacing w:val="-9"/>
          <w:sz w:val="24"/>
          <w:szCs w:val="24"/>
        </w:rPr>
        <w:t>核部门。</w:t>
      </w:r>
    </w:p>
    <w:p w14:paraId="41BCC100">
      <w:pPr>
        <w:pStyle w:val="20"/>
        <w:bidi w:val="0"/>
      </w:pPr>
      <w:bookmarkStart w:id="16" w:name="bookmark1"/>
      <w:bookmarkEnd w:id="16"/>
      <w:bookmarkStart w:id="17" w:name="bookmark1"/>
      <w:bookmarkEnd w:id="17"/>
      <w:bookmarkStart w:id="18" w:name="_Toc14335"/>
      <w:r>
        <w:t>审核的准备</w:t>
      </w:r>
      <w:bookmarkEnd w:id="18"/>
    </w:p>
    <w:p w14:paraId="127CD3B1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4" w:firstLineChars="200"/>
        <w:textAlignment w:val="baseline"/>
        <w:rPr>
          <w:rFonts w:ascii="宋体" w:hAnsi="宋体" w:eastAsia="宋体" w:cs="宋体"/>
          <w:spacing w:val="-4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审核组长将相关记录，如《不符合项报告》，《审核检查表》等发放给审核组成员，各审核员根据自己被分配的任务、范围、日程等来计划具体审核细节和时间分配等。</w:t>
      </w:r>
    </w:p>
    <w:p w14:paraId="3F0B74F2">
      <w:pPr>
        <w:pStyle w:val="20"/>
        <w:bidi w:val="0"/>
      </w:pPr>
      <w:bookmarkStart w:id="19" w:name="_Toc10647"/>
      <w:r>
        <w:t>审核的实施</w:t>
      </w:r>
      <w:bookmarkEnd w:id="19"/>
    </w:p>
    <w:p w14:paraId="50EE79D4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4" w:firstLineChars="200"/>
        <w:textAlignment w:val="baseline"/>
        <w:rPr>
          <w:rFonts w:ascii="宋体" w:hAnsi="宋体" w:eastAsia="宋体" w:cs="宋体"/>
          <w:spacing w:val="-4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1)由审核组长主持，被审核部门负责人、审核组成员、主管副总裁参加的首次会议。审核组长介绍审核计划，审核的依据、目的、范围及方法，审核组成员及审核日程等。</w:t>
      </w:r>
    </w:p>
    <w:p w14:paraId="230909B8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4" w:firstLineChars="200"/>
        <w:textAlignment w:val="baseline"/>
        <w:rPr>
          <w:rFonts w:ascii="宋体" w:hAnsi="宋体" w:eastAsia="宋体" w:cs="宋体"/>
          <w:spacing w:val="-4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2)审核组按审核计划实施审核，充分利用检查表，采取与有关人员面谈、观察现场及岗位工作人员操作、查阅各种记录的方式进行审核，收集客观证据。</w:t>
      </w:r>
    </w:p>
    <w:p w14:paraId="113BDF5C">
      <w:pPr>
        <w:spacing w:before="78" w:line="313" w:lineRule="auto"/>
        <w:ind w:left="461" w:right="241" w:hanging="404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4" name="IM 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 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-1"/>
          <w:sz w:val="24"/>
          <w:szCs w:val="24"/>
        </w:rPr>
        <w:t xml:space="preserve"> 面谈：审核人员根据检查表与被审核部门的负</w:t>
      </w:r>
      <w:r>
        <w:rPr>
          <w:rFonts w:ascii="宋体" w:hAnsi="宋体" w:eastAsia="宋体" w:cs="宋体"/>
          <w:spacing w:val="-1"/>
          <w:sz w:val="24"/>
          <w:szCs w:val="24"/>
        </w:rPr>
        <w:t>责人或当事人进行面谈、提问。部门负责人或当事人的讲话可作为证据，陪同</w:t>
      </w:r>
      <w:r>
        <w:rPr>
          <w:rFonts w:ascii="宋体" w:hAnsi="宋体" w:eastAsia="宋体" w:cs="宋体"/>
          <w:spacing w:val="-1"/>
          <w:sz w:val="24"/>
          <w:szCs w:val="24"/>
        </w:rPr>
        <w:t>人员的讲话不能作为证据。</w:t>
      </w:r>
    </w:p>
    <w:p w14:paraId="7BDAFB37">
      <w:pPr>
        <w:spacing w:before="78" w:line="313" w:lineRule="auto"/>
        <w:ind w:left="461" w:right="241" w:hanging="404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6" name="IM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 6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-1"/>
          <w:sz w:val="24"/>
          <w:szCs w:val="24"/>
        </w:rPr>
        <w:t xml:space="preserve"> 观察现场：察看作业现场的环境、操作等是否符合要求。</w:t>
      </w:r>
    </w:p>
    <w:p w14:paraId="1DA73573">
      <w:pPr>
        <w:spacing w:before="78" w:line="313" w:lineRule="auto"/>
        <w:ind w:left="461" w:right="241" w:hanging="404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8" name="IM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 8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-1"/>
          <w:sz w:val="24"/>
          <w:szCs w:val="24"/>
        </w:rPr>
        <w:t xml:space="preserve">  </w:t>
      </w:r>
      <w:r>
        <w:rPr>
          <w:rFonts w:ascii="宋体" w:hAnsi="宋体" w:eastAsia="宋体" w:cs="宋体"/>
          <w:spacing w:val="-1"/>
          <w:sz w:val="24"/>
          <w:szCs w:val="24"/>
        </w:rPr>
        <w:t>查文件和记录：向被审核部门负责人或当事人索取相关文件和记录，检查记录的完整性、真实性和一致性。</w:t>
      </w:r>
    </w:p>
    <w:p w14:paraId="3A36070D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3)各审核员对发现的不合格项填写在《内审检查表》中，同时让现场操作者和负责人确认，以保证不符合项能完全被理解</w:t>
      </w:r>
      <w:r>
        <w:rPr>
          <w:rFonts w:ascii="宋体" w:hAnsi="宋体" w:eastAsia="宋体" w:cs="宋体"/>
          <w:spacing w:val="-1"/>
          <w:sz w:val="24"/>
          <w:szCs w:val="24"/>
        </w:rPr>
        <w:t>，记录应尽可能详细，以确保审核结果的可追溯性。</w:t>
      </w:r>
    </w:p>
    <w:p w14:paraId="67CCC54D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hanging="476" w:hangingChars="200"/>
        <w:textAlignment w:val="baseline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4)不符合项分为严重不符合和一般不符合两类。对于未构成不符合项的问题可以作为观察项书面提出。</w:t>
      </w:r>
    </w:p>
    <w:p w14:paraId="79D21A9D">
      <w:pPr>
        <w:spacing w:before="78" w:line="313" w:lineRule="auto"/>
        <w:ind w:left="461" w:right="241" w:hanging="404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10" name="IM 10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 10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-1"/>
          <w:sz w:val="24"/>
          <w:szCs w:val="24"/>
        </w:rPr>
        <w:t xml:space="preserve"> </w:t>
      </w:r>
      <w:r>
        <w:rPr>
          <w:rFonts w:ascii="宋体" w:hAnsi="宋体" w:eastAsia="宋体" w:cs="宋体"/>
          <w:spacing w:val="-1"/>
          <w:sz w:val="24"/>
          <w:szCs w:val="24"/>
        </w:rPr>
        <w:t xml:space="preserve">严重不符合项：凡是审核中发现明显不符合 ITSS </w:t>
      </w:r>
      <w:r>
        <w:rPr>
          <w:rFonts w:ascii="宋体" w:hAnsi="宋体" w:eastAsia="宋体" w:cs="宋体"/>
          <w:spacing w:val="-1"/>
          <w:sz w:val="24"/>
          <w:szCs w:val="24"/>
        </w:rPr>
        <w:t>能力成熟度三级要求标准</w:t>
      </w:r>
      <w:r>
        <w:rPr>
          <w:rFonts w:ascii="宋体" w:hAnsi="宋体" w:eastAsia="宋体" w:cs="宋体"/>
          <w:spacing w:val="-1"/>
          <w:sz w:val="24"/>
          <w:szCs w:val="24"/>
        </w:rPr>
        <w:t xml:space="preserve">规定的;  </w:t>
      </w:r>
      <w:r>
        <w:rPr>
          <w:rFonts w:ascii="宋体" w:hAnsi="宋体" w:eastAsia="宋体" w:cs="宋体"/>
          <w:spacing w:val="-1"/>
          <w:sz w:val="24"/>
          <w:szCs w:val="24"/>
        </w:rPr>
        <w:t xml:space="preserve">违反法律法规而造成严重质量事故的;   </w:t>
      </w:r>
      <w:r>
        <w:rPr>
          <w:rFonts w:ascii="宋体" w:hAnsi="宋体" w:eastAsia="宋体" w:cs="宋体"/>
          <w:spacing w:val="-1"/>
          <w:sz w:val="24"/>
          <w:szCs w:val="24"/>
        </w:rPr>
        <w:t>多次出现同一类一般不符合</w:t>
      </w:r>
      <w:r>
        <w:rPr>
          <w:rFonts w:ascii="宋体" w:hAnsi="宋体" w:eastAsia="宋体" w:cs="宋体"/>
          <w:spacing w:val="-1"/>
          <w:sz w:val="24"/>
          <w:szCs w:val="24"/>
        </w:rPr>
        <w:t xml:space="preserve">项而造成运维服务管理体系失效的;  </w:t>
      </w:r>
      <w:r>
        <w:rPr>
          <w:rFonts w:ascii="宋体" w:hAnsi="宋体" w:eastAsia="宋体" w:cs="宋体"/>
          <w:spacing w:val="-1"/>
          <w:sz w:val="24"/>
          <w:szCs w:val="24"/>
        </w:rPr>
        <w:t>对以前提出的不符合项采取纠正措施无效的;  以上违反任一条均判定为严重不符合项。</w:t>
      </w:r>
    </w:p>
    <w:p w14:paraId="012A1E14">
      <w:pPr>
        <w:spacing w:before="78" w:line="313" w:lineRule="auto"/>
        <w:ind w:left="461" w:right="241" w:hanging="404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12" name="IM 1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 12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-1"/>
          <w:sz w:val="24"/>
          <w:szCs w:val="24"/>
        </w:rPr>
        <w:t xml:space="preserve"> 一般不符合项： </w:t>
      </w:r>
      <w:r>
        <w:rPr>
          <w:rFonts w:ascii="宋体" w:hAnsi="宋体" w:eastAsia="宋体" w:cs="宋体"/>
          <w:spacing w:val="-1"/>
          <w:sz w:val="24"/>
          <w:szCs w:val="24"/>
        </w:rPr>
        <w:t>对偶尔人为造成的不符合项且易于纠正，不造成严重后果的，不造成质量管理体系失效的不符合项，判定为一般不符合项。</w:t>
      </w:r>
    </w:p>
    <w:p w14:paraId="08EBFC5B">
      <w:pPr>
        <w:spacing w:before="78" w:line="313" w:lineRule="auto"/>
        <w:ind w:left="461" w:right="241" w:hanging="404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drawing>
          <wp:inline distT="0" distB="0" distL="0" distR="0">
            <wp:extent cx="107950" cy="168910"/>
            <wp:effectExtent l="0" t="0" r="0" b="0"/>
            <wp:docPr id="14" name="IM 14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 14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8203" cy="1690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宋体" w:hAnsi="宋体" w:eastAsia="宋体" w:cs="宋体"/>
          <w:spacing w:val="-1"/>
          <w:sz w:val="24"/>
          <w:szCs w:val="24"/>
        </w:rPr>
        <w:t xml:space="preserve"> 观察项：对个别轻微不符合文件的规定要求，并</w:t>
      </w:r>
      <w:r>
        <w:rPr>
          <w:rFonts w:ascii="宋体" w:hAnsi="宋体" w:eastAsia="宋体" w:cs="宋体"/>
          <w:spacing w:val="-1"/>
          <w:sz w:val="24"/>
          <w:szCs w:val="24"/>
        </w:rPr>
        <w:t>可在当时完成纠正的，尚无确切证据说明其有不良发展趋势的问题，</w:t>
      </w:r>
      <w:r>
        <w:rPr>
          <w:rFonts w:ascii="宋体" w:hAnsi="宋体" w:eastAsia="宋体" w:cs="宋体"/>
          <w:spacing w:val="-1"/>
          <w:sz w:val="24"/>
          <w:szCs w:val="24"/>
        </w:rPr>
        <w:t>可视为观察项。观察项不视为不符合项，但应引起受审核部门的注意。</w:t>
      </w:r>
    </w:p>
    <w:p w14:paraId="3A7DB0BA">
      <w:pPr>
        <w:pStyle w:val="20"/>
        <w:bidi w:val="0"/>
      </w:pPr>
      <w:bookmarkStart w:id="20" w:name="_Toc13961"/>
      <w:r>
        <w:t>不符合项报告</w:t>
      </w:r>
      <w:bookmarkEnd w:id="20"/>
    </w:p>
    <w:p w14:paraId="6F6BE318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4" w:firstLineChars="200"/>
        <w:textAlignment w:val="baseline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审核完毕，审核组整理审核记录，并将审核结果在组织内沟通，取得一致意见，最后由审核组长决定是否作为不符合项提出并判定严重程度，由审核组成员填写《不符合项报告》。</w:t>
      </w:r>
      <w:r>
        <w:rPr>
          <w:rFonts w:ascii="宋体" w:hAnsi="宋体" w:eastAsia="宋体" w:cs="宋体"/>
          <w:sz w:val="24"/>
          <w:szCs w:val="24"/>
        </w:rPr>
        <w:t>填写的不符合项报告有以下项要求：</w:t>
      </w:r>
    </w:p>
    <w:p w14:paraId="02EEE911">
      <w:pPr>
        <w:spacing w:before="172" w:line="316" w:lineRule="auto"/>
        <w:ind w:left="460" w:right="241" w:hanging="41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1)填写的不符合事实陈述要全面、清楚、正确、精练地用文字表达出来。</w:t>
      </w:r>
    </w:p>
    <w:p w14:paraId="685D5DD5">
      <w:pPr>
        <w:spacing w:before="172" w:line="316" w:lineRule="auto"/>
        <w:ind w:left="460" w:right="241" w:hanging="41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2)写明判为不合格的理由，为什么判为不合格。</w:t>
      </w:r>
    </w:p>
    <w:p w14:paraId="5003134B">
      <w:pPr>
        <w:spacing w:before="172" w:line="316" w:lineRule="auto"/>
        <w:ind w:left="460" w:right="241" w:hanging="41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3)不符合标准或相关文件的哪一条要判断正确。</w:t>
      </w:r>
    </w:p>
    <w:p w14:paraId="36219D46">
      <w:pPr>
        <w:spacing w:before="172" w:line="316" w:lineRule="auto"/>
        <w:ind w:left="460" w:right="241" w:hanging="411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4)不符合的类型和程度要在报告中表达清楚。</w:t>
      </w:r>
    </w:p>
    <w:p w14:paraId="6592BFB4">
      <w:pPr>
        <w:pStyle w:val="11"/>
        <w:spacing w:line="245" w:lineRule="auto"/>
      </w:pPr>
    </w:p>
    <w:p w14:paraId="710BDAE3">
      <w:pPr>
        <w:pStyle w:val="20"/>
        <w:bidi w:val="0"/>
      </w:pPr>
      <w:bookmarkStart w:id="21" w:name="_Toc12465"/>
      <w:r>
        <w:t>审核报告</w:t>
      </w:r>
      <w:bookmarkEnd w:id="21"/>
    </w:p>
    <w:p w14:paraId="638C3ED7">
      <w:pPr>
        <w:keepNext w:val="0"/>
        <w:keepLines w:val="0"/>
        <w:pageBreakBefore w:val="0"/>
        <w:widowControl/>
        <w:kinsoku w:val="0"/>
        <w:wordWrap/>
        <w:overflowPunct/>
        <w:topLinePunct w:val="0"/>
        <w:autoSpaceDE w:val="0"/>
        <w:autoSpaceDN w:val="0"/>
        <w:bidi w:val="0"/>
        <w:adjustRightInd w:val="0"/>
        <w:snapToGrid w:val="0"/>
        <w:spacing w:line="360" w:lineRule="auto"/>
        <w:ind w:left="0" w:right="0" w:firstLine="464" w:firstLineChars="200"/>
        <w:textAlignment w:val="baseline"/>
        <w:rPr>
          <w:rFonts w:ascii="宋体" w:hAnsi="宋体" w:eastAsia="宋体" w:cs="宋体"/>
          <w:spacing w:val="-4"/>
          <w:sz w:val="24"/>
          <w:szCs w:val="24"/>
        </w:rPr>
      </w:pPr>
      <w:r>
        <w:rPr>
          <w:rFonts w:ascii="宋体" w:hAnsi="宋体" w:eastAsia="宋体" w:cs="宋体"/>
          <w:spacing w:val="-4"/>
          <w:sz w:val="24"/>
          <w:szCs w:val="24"/>
        </w:rPr>
        <w:t>审核组长在审核结束后编写《内审报告》，审核组长对审核报告的准确性、客观性和完整性负责。审核报告应附有《不符合报告》等必要的客观证据材料。</w:t>
      </w:r>
    </w:p>
    <w:p w14:paraId="73C2BD49">
      <w:pPr>
        <w:pStyle w:val="20"/>
        <w:bidi w:val="0"/>
      </w:pPr>
      <w:bookmarkStart w:id="22" w:name="_Toc19635"/>
      <w:r>
        <w:t>总结会议</w:t>
      </w:r>
      <w:bookmarkEnd w:id="22"/>
    </w:p>
    <w:p w14:paraId="587B262B">
      <w:pPr>
        <w:spacing w:before="79" w:line="361" w:lineRule="auto"/>
        <w:ind w:left="39" w:right="61" w:firstLine="436"/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审核结束，内审管理者代表、</w:t>
      </w: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质量部</w:t>
      </w:r>
      <w:r>
        <w:rPr>
          <w:rFonts w:ascii="宋体" w:hAnsi="宋体" w:eastAsia="宋体" w:cs="宋体"/>
          <w:spacing w:val="-1"/>
          <w:sz w:val="24"/>
          <w:szCs w:val="24"/>
        </w:rPr>
        <w:t>和被审核部门负责人参加由审核组</w:t>
      </w:r>
      <w:r>
        <w:rPr>
          <w:rFonts w:ascii="宋体" w:hAnsi="宋体" w:eastAsia="宋体" w:cs="宋体"/>
          <w:spacing w:val="-4"/>
          <w:sz w:val="24"/>
          <w:szCs w:val="24"/>
        </w:rPr>
        <w:t>长组织召开的总结会议，审核组长宣读《内审报告》和《不符合项报告》，由副</w:t>
      </w:r>
      <w:r>
        <w:rPr>
          <w:rFonts w:ascii="宋体" w:hAnsi="宋体" w:eastAsia="宋体" w:cs="宋体"/>
          <w:sz w:val="24"/>
          <w:szCs w:val="24"/>
        </w:rPr>
        <w:t>总经理及</w:t>
      </w:r>
      <w:r>
        <w:rPr>
          <w:rFonts w:hint="eastAsia" w:ascii="宋体" w:hAnsi="宋体" w:eastAsia="宋体" w:cs="宋体"/>
          <w:sz w:val="24"/>
          <w:szCs w:val="24"/>
          <w:lang w:eastAsia="zh-CN"/>
        </w:rPr>
        <w:t>质量部</w:t>
      </w:r>
      <w:r>
        <w:rPr>
          <w:rFonts w:ascii="宋体" w:hAnsi="宋体" w:eastAsia="宋体" w:cs="宋体"/>
          <w:sz w:val="24"/>
          <w:szCs w:val="24"/>
        </w:rPr>
        <w:t>经理提出要求。会议结束后，将</w:t>
      </w:r>
      <w:r>
        <w:rPr>
          <w:rFonts w:ascii="宋体" w:hAnsi="宋体" w:eastAsia="宋体" w:cs="宋体"/>
          <w:spacing w:val="-1"/>
          <w:sz w:val="24"/>
          <w:szCs w:val="24"/>
        </w:rPr>
        <w:t>《不符合报告》发至相关</w:t>
      </w:r>
      <w:r>
        <w:rPr>
          <w:rFonts w:ascii="宋体" w:hAnsi="宋体" w:eastAsia="宋体" w:cs="宋体"/>
          <w:spacing w:val="-11"/>
          <w:sz w:val="24"/>
          <w:szCs w:val="24"/>
        </w:rPr>
        <w:t>部门。</w:t>
      </w:r>
    </w:p>
    <w:p w14:paraId="6F1CF2B7">
      <w:pPr>
        <w:pStyle w:val="20"/>
        <w:bidi w:val="0"/>
      </w:pPr>
      <w:bookmarkStart w:id="23" w:name="_Toc20719"/>
      <w:r>
        <w:t>服务改进措施</w:t>
      </w:r>
      <w:bookmarkEnd w:id="23"/>
    </w:p>
    <w:p w14:paraId="21C943FD">
      <w:pPr>
        <w:spacing w:before="79" w:line="361" w:lineRule="auto"/>
        <w:ind w:left="39" w:right="61" w:firstLine="436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《不符合报告》分别传递给被审核部门负责</w:t>
      </w:r>
      <w:r>
        <w:rPr>
          <w:rFonts w:ascii="宋体" w:hAnsi="宋体" w:eastAsia="宋体" w:cs="宋体"/>
          <w:spacing w:val="-1"/>
          <w:sz w:val="24"/>
          <w:szCs w:val="24"/>
        </w:rPr>
        <w:t>人，经签字确认后，要分析产生原因，提出改进措施计划，以及完成改进措施的</w:t>
      </w:r>
      <w:r>
        <w:rPr>
          <w:rFonts w:ascii="宋体" w:hAnsi="宋体" w:eastAsia="宋体" w:cs="宋体"/>
          <w:spacing w:val="-1"/>
          <w:sz w:val="24"/>
          <w:szCs w:val="24"/>
        </w:rPr>
        <w:t>时间，即开始按计划采取相应的改进措施。</w:t>
      </w:r>
    </w:p>
    <w:p w14:paraId="2171E833">
      <w:pPr>
        <w:pStyle w:val="20"/>
        <w:bidi w:val="0"/>
      </w:pPr>
      <w:bookmarkStart w:id="24" w:name="_Toc5222"/>
      <w:r>
        <w:t>跟踪验证</w:t>
      </w:r>
      <w:bookmarkEnd w:id="24"/>
    </w:p>
    <w:p w14:paraId="0ED68C06">
      <w:pPr>
        <w:spacing w:before="79" w:line="361" w:lineRule="auto"/>
        <w:ind w:left="39" w:right="61" w:firstLine="436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审核组对被审核部门采取的改进措施进行跟踪、验证其实施结果，直到措施完全被落实。对验证无效的措施审核组有权责令其重</w:t>
      </w:r>
      <w:r>
        <w:rPr>
          <w:rFonts w:ascii="宋体" w:hAnsi="宋体" w:eastAsia="宋体" w:cs="宋体"/>
          <w:spacing w:val="-1"/>
          <w:sz w:val="24"/>
          <w:szCs w:val="24"/>
        </w:rPr>
        <w:t>新制定改进措施，审核组再次验证。</w:t>
      </w:r>
    </w:p>
    <w:p w14:paraId="0DB6AFCD">
      <w:pPr>
        <w:pStyle w:val="20"/>
        <w:bidi w:val="0"/>
      </w:pPr>
      <w:bookmarkStart w:id="25" w:name="_Toc3758"/>
      <w:r>
        <w:t>内审记录</w:t>
      </w:r>
      <w:bookmarkEnd w:id="25"/>
    </w:p>
    <w:p w14:paraId="2A0B6A70">
      <w:pPr>
        <w:spacing w:before="79" w:line="361" w:lineRule="auto"/>
        <w:ind w:left="39" w:right="61" w:firstLine="436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hint="eastAsia" w:ascii="宋体" w:hAnsi="宋体" w:eastAsia="宋体" w:cs="宋体"/>
          <w:spacing w:val="-1"/>
          <w:sz w:val="24"/>
          <w:szCs w:val="24"/>
          <w:lang w:eastAsia="zh-CN"/>
        </w:rPr>
        <w:t>质量部</w:t>
      </w:r>
      <w:r>
        <w:rPr>
          <w:rFonts w:ascii="宋体" w:hAnsi="宋体" w:eastAsia="宋体" w:cs="宋体"/>
          <w:spacing w:val="-1"/>
          <w:sz w:val="24"/>
          <w:szCs w:val="24"/>
        </w:rPr>
        <w:t>负责保存内审的档案，包括：</w:t>
      </w:r>
    </w:p>
    <w:p w14:paraId="1F0BAAD2">
      <w:pPr>
        <w:spacing w:before="79" w:line="361" w:lineRule="auto"/>
        <w:ind w:left="39" w:right="61" w:firstLine="436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1)《内审计划》</w:t>
      </w:r>
    </w:p>
    <w:p w14:paraId="52B47837">
      <w:pPr>
        <w:spacing w:before="79" w:line="361" w:lineRule="auto"/>
        <w:ind w:left="39" w:right="61" w:firstLine="436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2)《内审检查表》</w:t>
      </w:r>
    </w:p>
    <w:p w14:paraId="3A576C30">
      <w:pPr>
        <w:spacing w:before="79" w:line="361" w:lineRule="auto"/>
        <w:ind w:left="39" w:right="61" w:firstLine="436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3)《内审报告》</w:t>
      </w:r>
    </w:p>
    <w:p w14:paraId="070E9C1B">
      <w:pPr>
        <w:spacing w:before="79" w:line="361" w:lineRule="auto"/>
        <w:ind w:left="39" w:right="61" w:firstLine="436"/>
        <w:rPr>
          <w:rFonts w:ascii="宋体" w:hAnsi="宋体" w:eastAsia="宋体" w:cs="宋体"/>
          <w:spacing w:val="-1"/>
          <w:sz w:val="24"/>
          <w:szCs w:val="24"/>
        </w:rPr>
      </w:pPr>
      <w:r>
        <w:rPr>
          <w:rFonts w:ascii="宋体" w:hAnsi="宋体" w:eastAsia="宋体" w:cs="宋体"/>
          <w:spacing w:val="-1"/>
          <w:sz w:val="24"/>
          <w:szCs w:val="24"/>
        </w:rPr>
        <w:t>4)</w:t>
      </w:r>
      <w:bookmarkStart w:id="26" w:name="_GoBack"/>
      <w:bookmarkEnd w:id="26"/>
      <w:r>
        <w:rPr>
          <w:rFonts w:ascii="宋体" w:hAnsi="宋体" w:eastAsia="宋体" w:cs="宋体"/>
          <w:spacing w:val="-1"/>
          <w:sz w:val="24"/>
          <w:szCs w:val="24"/>
        </w:rPr>
        <w:t>《不符合项报告》</w:t>
      </w:r>
    </w:p>
    <w:sectPr>
      <w:headerReference r:id="rId7" w:type="default"/>
      <w:footerReference r:id="rId8" w:type="default"/>
      <w:pgSz w:w="11907" w:h="16840"/>
      <w:pgMar w:top="1162" w:right="1768" w:bottom="1359" w:left="1768" w:header="830" w:footer="1199" w:gutter="0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icrosoft JhengHei">
    <w:panose1 w:val="020B0604030504040204"/>
    <w:charset w:val="88"/>
    <w:family w:val="auto"/>
    <w:pitch w:val="default"/>
    <w:sig w:usb0="000002A7" w:usb1="28CF4400" w:usb2="00000016" w:usb3="00000000" w:csb0="00100009" w:csb1="0000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341E5B04">
    <w:pPr>
      <w:spacing w:line="174" w:lineRule="auto"/>
      <w:ind w:left="4161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1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21318F5D">
    <w:pPr>
      <w:spacing w:line="174" w:lineRule="auto"/>
      <w:ind w:left="4148"/>
      <w:rPr>
        <w:rFonts w:ascii="Times New Roman" w:hAnsi="Times New Roman" w:eastAsia="Times New Roman" w:cs="Times New Roman"/>
        <w:sz w:val="18"/>
        <w:szCs w:val="18"/>
      </w:rPr>
    </w:pPr>
    <w:r>
      <w:rPr>
        <w:rFonts w:ascii="Times New Roman" w:hAnsi="Times New Roman" w:eastAsia="Times New Roman" w:cs="Times New Roman"/>
        <w:sz w:val="18"/>
        <w:szCs w:val="18"/>
      </w:rPr>
      <w:t>6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line="240" w:lineRule="auto"/>
      </w:pPr>
      <w:r>
        <w:separator/>
      </w:r>
    </w:p>
  </w:footnote>
  <w:footnote w:type="continuationSeparator" w:id="1">
    <w:p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5418C579">
    <w:pPr>
      <w:spacing w:before="47" w:line="220" w:lineRule="auto"/>
      <w:ind w:right="25"/>
      <w:jc w:val="right"/>
      <w:rPr>
        <w:rFonts w:ascii="宋体" w:hAnsi="宋体" w:eastAsia="宋体" w:cs="宋体"/>
        <w:sz w:val="18"/>
        <w:szCs w:val="18"/>
      </w:rPr>
    </w:pPr>
    <w:r>
      <w:pict>
        <v:shape id="_x0000_s4097" o:spid="_x0000_s4097" style="position:absolute;left:0pt;margin-left:88.4pt;margin-top:55.2pt;height:0.5pt;width:418.55pt;mso-position-horizontal-relative:page;mso-position-vertical-relative:page;z-index:251659264;mso-width-relative:page;mso-height-relative:page;" filled="f" stroked="t" coordsize="8370,10" o:allowincell="f" path="m0,5l8370,5e">
          <v:fill on="f" focussize="0,0"/>
          <v:stroke weight="0.5pt" color="#000000" miterlimit="10" joinstyle="miter"/>
          <v:imagedata o:title=""/>
          <o:lock v:ext="edit"/>
        </v:shape>
      </w:pict>
    </w:r>
    <w:r>
      <w:rPr>
        <w:rFonts w:ascii="宋体" w:hAnsi="宋体" w:eastAsia="宋体" w:cs="宋体"/>
        <w:spacing w:val="-4"/>
        <w:sz w:val="18"/>
        <w:szCs w:val="18"/>
      </w:rPr>
      <w:t>内部审核管理制度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193ED6AC">
    <w:pPr>
      <w:spacing w:before="47" w:line="220" w:lineRule="auto"/>
      <w:ind w:right="25"/>
      <w:jc w:val="right"/>
      <w:rPr>
        <w:rFonts w:ascii="宋体" w:hAnsi="宋体" w:eastAsia="宋体" w:cs="宋体"/>
        <w:sz w:val="18"/>
        <w:szCs w:val="18"/>
      </w:rPr>
    </w:pPr>
    <w:r>
      <w:pict>
        <v:shape id="_x0000_s4100" o:spid="_x0000_s4100" style="position:absolute;left:0pt;margin-left:88.4pt;margin-top:55.2pt;height:0.5pt;width:418.55pt;mso-position-horizontal-relative:page;mso-position-vertical-relative:page;z-index:251659264;mso-width-relative:page;mso-height-relative:page;" filled="f" stroked="t" coordsize="8370,10" o:allowincell="f" path="m0,5l8370,5e">
          <v:fill on="f" focussize="0,0"/>
          <v:stroke weight="0.5pt" color="#000000" miterlimit="10" joinstyle="miter"/>
          <v:imagedata o:title=""/>
          <o:lock v:ext="edit"/>
        </v:shape>
      </w:pict>
    </w:r>
    <w:r>
      <w:rPr>
        <w:rFonts w:ascii="宋体" w:hAnsi="宋体" w:eastAsia="宋体" w:cs="宋体"/>
        <w:spacing w:val="-4"/>
        <w:sz w:val="18"/>
        <w:szCs w:val="18"/>
      </w:rPr>
      <w:t>内部审核管理制度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E964DCE"/>
    <w:multiLevelType w:val="multilevel"/>
    <w:tmpl w:val="8E964DCE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isplayBackgroundShape w:val="1"/>
  <w:bordersDoNotSurroundHeader w:val="0"/>
  <w:bordersDoNotSurroundFooter w:val="0"/>
  <w:documentProtection w:enforcement="0"/>
  <w:displayHorizontalDrawingGridEvery w:val="1"/>
  <w:displayVerticalDrawingGridEvery w:val="1"/>
  <w:noPunctuationKerning w:val="1"/>
  <w:characterSpacingControl w:val="doNotCompress"/>
  <w:hdrShapeDefaults>
    <o:shapelayout v:ext="edit">
      <o:idmap v:ext="edit" data="3,4"/>
    </o:shapelayout>
  </w:hdrShapeDefaults>
  <w:footnotePr>
    <w:footnote w:id="0"/>
    <w:footnote w:id="1"/>
  </w:footnotePr>
  <w:endnotePr>
    <w:endnote w:id="0"/>
    <w:endnote w:id="1"/>
  </w:endnotePr>
  <w:compat>
    <w:spaceForUL/>
    <w:ulTrailSpace/>
    <w:doNotExpandShiftReturn/>
    <w:doNotWrapTextWithPunct/>
    <w:doNotUseEastAsianBreakRules/>
    <w:useFELayout/>
    <w:compatSetting w:name="compatibilityMode" w:uri="http://schemas.microsoft.com/office/word" w:val="14"/>
  </w:compat>
  <w:rsids>
    <w:rsidRoot w:val="00000000"/>
    <w:rsid w:val="00D10C0F"/>
    <w:rsid w:val="0103164E"/>
    <w:rsid w:val="0234431B"/>
    <w:rsid w:val="02C80459"/>
    <w:rsid w:val="04D31337"/>
    <w:rsid w:val="04DA4474"/>
    <w:rsid w:val="05962A91"/>
    <w:rsid w:val="062A31D9"/>
    <w:rsid w:val="074B3407"/>
    <w:rsid w:val="07582A8F"/>
    <w:rsid w:val="07950B26"/>
    <w:rsid w:val="080A1757"/>
    <w:rsid w:val="082D0FA0"/>
    <w:rsid w:val="096D58B6"/>
    <w:rsid w:val="0B927856"/>
    <w:rsid w:val="0D0E73B0"/>
    <w:rsid w:val="0D307327"/>
    <w:rsid w:val="0DA77262"/>
    <w:rsid w:val="0DCC7572"/>
    <w:rsid w:val="0ECD6DF7"/>
    <w:rsid w:val="0F895414"/>
    <w:rsid w:val="10114265"/>
    <w:rsid w:val="102E1B18"/>
    <w:rsid w:val="106D0892"/>
    <w:rsid w:val="111331E7"/>
    <w:rsid w:val="113E5D8A"/>
    <w:rsid w:val="11531836"/>
    <w:rsid w:val="131E42A8"/>
    <w:rsid w:val="1384217A"/>
    <w:rsid w:val="13E23345"/>
    <w:rsid w:val="147F2942"/>
    <w:rsid w:val="1494463F"/>
    <w:rsid w:val="14A34882"/>
    <w:rsid w:val="14B7032D"/>
    <w:rsid w:val="14FC21E4"/>
    <w:rsid w:val="150A5B57"/>
    <w:rsid w:val="15963E4E"/>
    <w:rsid w:val="15F119E1"/>
    <w:rsid w:val="17511CCE"/>
    <w:rsid w:val="190A1374"/>
    <w:rsid w:val="192341E3"/>
    <w:rsid w:val="19F142E2"/>
    <w:rsid w:val="1C6B037B"/>
    <w:rsid w:val="1CA27B15"/>
    <w:rsid w:val="1D1207F7"/>
    <w:rsid w:val="1D660B43"/>
    <w:rsid w:val="1D9E6DC7"/>
    <w:rsid w:val="216C71A5"/>
    <w:rsid w:val="227710FC"/>
    <w:rsid w:val="22D87DED"/>
    <w:rsid w:val="23957A8C"/>
    <w:rsid w:val="253B28B5"/>
    <w:rsid w:val="26D1527F"/>
    <w:rsid w:val="26D227E7"/>
    <w:rsid w:val="26ED5E31"/>
    <w:rsid w:val="26F471BF"/>
    <w:rsid w:val="27435A51"/>
    <w:rsid w:val="28153BB7"/>
    <w:rsid w:val="28A95D87"/>
    <w:rsid w:val="294A073A"/>
    <w:rsid w:val="2A8B1BE9"/>
    <w:rsid w:val="2AA607D0"/>
    <w:rsid w:val="2AA902C1"/>
    <w:rsid w:val="2AB90312"/>
    <w:rsid w:val="2B886128"/>
    <w:rsid w:val="2DCB2250"/>
    <w:rsid w:val="2DE25FC3"/>
    <w:rsid w:val="2E6609A2"/>
    <w:rsid w:val="2E882D3C"/>
    <w:rsid w:val="2EBB49EE"/>
    <w:rsid w:val="2EC1207D"/>
    <w:rsid w:val="2EF35FAE"/>
    <w:rsid w:val="303B19BB"/>
    <w:rsid w:val="30433499"/>
    <w:rsid w:val="307B625B"/>
    <w:rsid w:val="30C9346B"/>
    <w:rsid w:val="30D455A5"/>
    <w:rsid w:val="310B75DF"/>
    <w:rsid w:val="3187717E"/>
    <w:rsid w:val="32244DFC"/>
    <w:rsid w:val="329D695D"/>
    <w:rsid w:val="34D16D92"/>
    <w:rsid w:val="35494B7A"/>
    <w:rsid w:val="36637EBD"/>
    <w:rsid w:val="36BE748E"/>
    <w:rsid w:val="38123949"/>
    <w:rsid w:val="388A34DF"/>
    <w:rsid w:val="398101BD"/>
    <w:rsid w:val="39F33306"/>
    <w:rsid w:val="3A12378C"/>
    <w:rsid w:val="3AAC1E33"/>
    <w:rsid w:val="3B283845"/>
    <w:rsid w:val="3B893F22"/>
    <w:rsid w:val="3C277297"/>
    <w:rsid w:val="3CFB2BFE"/>
    <w:rsid w:val="3D221248"/>
    <w:rsid w:val="3D420390"/>
    <w:rsid w:val="3D5B3034"/>
    <w:rsid w:val="3E481508"/>
    <w:rsid w:val="3FC76DC7"/>
    <w:rsid w:val="417B60BB"/>
    <w:rsid w:val="41A75102"/>
    <w:rsid w:val="41AC096A"/>
    <w:rsid w:val="41EA1493"/>
    <w:rsid w:val="422C6789"/>
    <w:rsid w:val="424E37D0"/>
    <w:rsid w:val="4278084D"/>
    <w:rsid w:val="428421C9"/>
    <w:rsid w:val="42C87186"/>
    <w:rsid w:val="43D47D05"/>
    <w:rsid w:val="4504461A"/>
    <w:rsid w:val="45736708"/>
    <w:rsid w:val="46AD1CB7"/>
    <w:rsid w:val="46FF153C"/>
    <w:rsid w:val="497C6E74"/>
    <w:rsid w:val="49D767A1"/>
    <w:rsid w:val="4A1F20DA"/>
    <w:rsid w:val="4B6127C6"/>
    <w:rsid w:val="4B663938"/>
    <w:rsid w:val="4C0A0767"/>
    <w:rsid w:val="4C46417B"/>
    <w:rsid w:val="4C7E1155"/>
    <w:rsid w:val="4D7762D0"/>
    <w:rsid w:val="4E5C7274"/>
    <w:rsid w:val="4F0C0C9A"/>
    <w:rsid w:val="4F3C247E"/>
    <w:rsid w:val="4FFF7550"/>
    <w:rsid w:val="500A342C"/>
    <w:rsid w:val="52635075"/>
    <w:rsid w:val="5277467D"/>
    <w:rsid w:val="52B256B5"/>
    <w:rsid w:val="53426F62"/>
    <w:rsid w:val="535F3A8F"/>
    <w:rsid w:val="56A11917"/>
    <w:rsid w:val="56E322E1"/>
    <w:rsid w:val="57291E47"/>
    <w:rsid w:val="582A045A"/>
    <w:rsid w:val="59EE4D9E"/>
    <w:rsid w:val="5A236E98"/>
    <w:rsid w:val="5AE20B01"/>
    <w:rsid w:val="5AF26F96"/>
    <w:rsid w:val="5C2E04A2"/>
    <w:rsid w:val="5E745F14"/>
    <w:rsid w:val="5EE40D51"/>
    <w:rsid w:val="61770F70"/>
    <w:rsid w:val="61A94127"/>
    <w:rsid w:val="62053A53"/>
    <w:rsid w:val="62092E18"/>
    <w:rsid w:val="62606EDB"/>
    <w:rsid w:val="62864468"/>
    <w:rsid w:val="62CC4571"/>
    <w:rsid w:val="635527B8"/>
    <w:rsid w:val="64151D68"/>
    <w:rsid w:val="64801AB7"/>
    <w:rsid w:val="648D7D30"/>
    <w:rsid w:val="64D15E6F"/>
    <w:rsid w:val="658253BB"/>
    <w:rsid w:val="664803B2"/>
    <w:rsid w:val="66770C98"/>
    <w:rsid w:val="671D539B"/>
    <w:rsid w:val="68B25FB7"/>
    <w:rsid w:val="6A3F7D1E"/>
    <w:rsid w:val="6BBF0B3C"/>
    <w:rsid w:val="6D3E606B"/>
    <w:rsid w:val="6D592236"/>
    <w:rsid w:val="6DE76703"/>
    <w:rsid w:val="6E276AFF"/>
    <w:rsid w:val="6E337B9A"/>
    <w:rsid w:val="6F1F1ECC"/>
    <w:rsid w:val="70067379"/>
    <w:rsid w:val="72BF37AA"/>
    <w:rsid w:val="734819F2"/>
    <w:rsid w:val="740C4C7A"/>
    <w:rsid w:val="74277859"/>
    <w:rsid w:val="75D27C98"/>
    <w:rsid w:val="76375D4D"/>
    <w:rsid w:val="778154D2"/>
    <w:rsid w:val="77E85551"/>
    <w:rsid w:val="77F73E31"/>
    <w:rsid w:val="78911745"/>
    <w:rsid w:val="798E037A"/>
    <w:rsid w:val="7A293BFF"/>
    <w:rsid w:val="7ADC4B38"/>
    <w:rsid w:val="7B05641A"/>
    <w:rsid w:val="7B1B5C3E"/>
    <w:rsid w:val="7B6E5D6D"/>
    <w:rsid w:val="7B915F00"/>
    <w:rsid w:val="7BBF2A6D"/>
    <w:rsid w:val="7BC10593"/>
    <w:rsid w:val="7BDF73D3"/>
    <w:rsid w:val="7BF070CA"/>
    <w:rsid w:val="7C174657"/>
    <w:rsid w:val="7C28575B"/>
    <w:rsid w:val="7CAA54CB"/>
    <w:rsid w:val="7CFE1373"/>
    <w:rsid w:val="7D541CBA"/>
    <w:rsid w:val="7DB303AF"/>
    <w:rsid w:val="7F361298"/>
    <w:rsid w:val="7F855D7C"/>
    <w:rsid w:val="7FD27E4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2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semiHidden/>
    <w:qFormat/>
    <w:uiPriority w:val="0"/>
    <w:pPr>
      <w:kinsoku w:val="0"/>
      <w:autoSpaceDE w:val="0"/>
      <w:autoSpaceDN w:val="0"/>
      <w:adjustRightInd w:val="0"/>
      <w:snapToGrid w:val="0"/>
      <w:spacing w:line="240" w:lineRule="auto"/>
      <w:jc w:val="left"/>
      <w:textAlignment w:val="baseline"/>
    </w:pPr>
    <w:rPr>
      <w:rFonts w:ascii="Arial" w:hAnsi="Arial" w:eastAsia="Arial" w:cs="Arial"/>
      <w:snapToGrid w:val="0"/>
      <w:color w:val="000000"/>
      <w:kern w:val="0"/>
      <w:sz w:val="21"/>
      <w:szCs w:val="21"/>
      <w:lang w:val="en-US" w:eastAsia="en-US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1"/>
        <w:numId w:val="1"/>
      </w:numPr>
      <w:spacing w:before="260" w:beforeLines="0" w:beforeAutospacing="0" w:after="260" w:afterLines="0" w:afterAutospacing="0" w:line="413" w:lineRule="auto"/>
      <w:ind w:left="575" w:hanging="575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semiHidden/>
    <w:unhideWhenUsed/>
    <w:qFormat/>
    <w:uiPriority w:val="0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semiHidden/>
    <w:unhideWhenUsed/>
    <w:qFormat/>
    <w:uiPriority w:val="0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semiHidden/>
    <w:unhideWhenUsed/>
    <w:qFormat/>
    <w:uiPriority w:val="0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semiHidden/>
    <w:unhideWhenUsed/>
    <w:qFormat/>
    <w:uiPriority w:val="0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semiHidden/>
    <w:unhideWhenUsed/>
    <w:qFormat/>
    <w:uiPriority w:val="0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semiHidden/>
    <w:unhideWhenUsed/>
    <w:qFormat/>
    <w:uiPriority w:val="0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7">
    <w:name w:val="Default Paragraph Font"/>
    <w:semiHidden/>
    <w:qFormat/>
    <w:uiPriority w:val="0"/>
  </w:style>
  <w:style w:type="table" w:default="1" w:styleId="16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Body Text"/>
    <w:basedOn w:val="1"/>
    <w:semiHidden/>
    <w:qFormat/>
    <w:uiPriority w:val="0"/>
    <w:rPr>
      <w:rFonts w:ascii="Arial" w:hAnsi="Arial" w:eastAsia="Arial" w:cs="Arial"/>
      <w:sz w:val="21"/>
      <w:szCs w:val="21"/>
      <w:lang w:val="en-US" w:eastAsia="en-US" w:bidi="ar-SA"/>
    </w:rPr>
  </w:style>
  <w:style w:type="paragraph" w:styleId="12">
    <w:name w:val="toc 3"/>
    <w:basedOn w:val="1"/>
    <w:next w:val="1"/>
    <w:qFormat/>
    <w:uiPriority w:val="0"/>
    <w:pPr>
      <w:ind w:left="840" w:leftChars="400"/>
    </w:pPr>
  </w:style>
  <w:style w:type="paragraph" w:styleId="1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14">
    <w:name w:val="toc 1"/>
    <w:basedOn w:val="1"/>
    <w:next w:val="1"/>
    <w:qFormat/>
    <w:uiPriority w:val="0"/>
    <w:rPr>
      <w:rFonts w:ascii="Arial" w:hAnsi="Arial" w:eastAsia="Microsoft JhengHei"/>
      <w:sz w:val="24"/>
    </w:rPr>
  </w:style>
  <w:style w:type="paragraph" w:styleId="15">
    <w:name w:val="toc 2"/>
    <w:basedOn w:val="1"/>
    <w:next w:val="1"/>
    <w:qFormat/>
    <w:uiPriority w:val="0"/>
    <w:pPr>
      <w:ind w:left="420" w:leftChars="200"/>
    </w:pPr>
  </w:style>
  <w:style w:type="table" w:customStyle="1" w:styleId="18">
    <w:name w:val="Table Normal"/>
    <w:semiHidden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  <w:style w:type="paragraph" w:customStyle="1" w:styleId="19">
    <w:name w:val="Table Text"/>
    <w:basedOn w:val="1"/>
    <w:semiHidden/>
    <w:qFormat/>
    <w:uiPriority w:val="0"/>
    <w:rPr>
      <w:rFonts w:ascii="宋体" w:hAnsi="宋体" w:eastAsia="宋体" w:cs="宋体"/>
      <w:sz w:val="21"/>
      <w:szCs w:val="21"/>
      <w:lang w:val="en-US" w:eastAsia="en-US" w:bidi="ar-SA"/>
    </w:rPr>
  </w:style>
  <w:style w:type="paragraph" w:customStyle="1" w:styleId="20">
    <w:name w:val="柴_标题1"/>
    <w:basedOn w:val="2"/>
    <w:next w:val="1"/>
    <w:qFormat/>
    <w:uiPriority w:val="0"/>
    <w:pPr>
      <w:spacing w:before="100" w:after="90" w:line="360" w:lineRule="auto"/>
    </w:pPr>
    <w:rPr>
      <w:rFonts w:ascii="Arial" w:hAnsi="Arial" w:eastAsia="宋体"/>
      <w:sz w:val="32"/>
    </w:rPr>
  </w:style>
  <w:style w:type="paragraph" w:customStyle="1" w:styleId="21">
    <w:name w:val="柴_标题2"/>
    <w:basedOn w:val="3"/>
    <w:next w:val="1"/>
    <w:qFormat/>
    <w:uiPriority w:val="0"/>
    <w:pPr>
      <w:spacing w:line="360" w:lineRule="auto"/>
    </w:pPr>
    <w:rPr>
      <w:rFonts w:ascii="Arial" w:hAnsi="Arial" w:eastAsia="宋体"/>
      <w:sz w:val="28"/>
    </w:rPr>
  </w:style>
  <w:style w:type="paragraph" w:customStyle="1" w:styleId="22">
    <w:name w:val="柴_标题3"/>
    <w:basedOn w:val="4"/>
    <w:next w:val="1"/>
    <w:qFormat/>
    <w:uiPriority w:val="0"/>
    <w:pPr>
      <w:spacing w:line="360" w:lineRule="auto"/>
      <w:ind w:left="0" w:firstLine="472" w:firstLineChars="200"/>
    </w:pPr>
    <w:rPr>
      <w:rFonts w:ascii="宋体" w:hAnsi="宋体" w:eastAsia="宋体" w:cs="宋体"/>
      <w:spacing w:val="-2"/>
      <w:sz w:val="24"/>
      <w:szCs w:val="24"/>
    </w:rPr>
  </w:style>
  <w:style w:type="paragraph" w:customStyle="1" w:styleId="23">
    <w:name w:val="柴_目录"/>
    <w:basedOn w:val="1"/>
    <w:next w:val="11"/>
    <w:qFormat/>
    <w:uiPriority w:val="0"/>
    <w:pPr>
      <w:tabs>
        <w:tab w:val="right" w:leader="dot" w:pos="8442"/>
      </w:tabs>
      <w:ind w:left="0" w:leftChars="0"/>
    </w:pPr>
    <w:rPr>
      <w:rFonts w:ascii="Arial" w:hAnsi="Arial" w:eastAsia="Microsoft JhengHei"/>
      <w:sz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2.xml"/><Relationship Id="rId7" Type="http://schemas.openxmlformats.org/officeDocument/2006/relationships/header" Target="header2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3.png"/><Relationship Id="rId11" Type="http://schemas.openxmlformats.org/officeDocument/2006/relationships/image" Target="media/image2.png"/><Relationship Id="rId10" Type="http://schemas.openxmlformats.org/officeDocument/2006/relationships/image" Target="media/image1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4097"/>
    <customShpInfo spid="_x0000_s4100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7</Pages>
  <Words>2295</Words>
  <Characters>2457</Characters>
  <TotalTime>1</TotalTime>
  <ScaleCrop>false</ScaleCrop>
  <LinksUpToDate>false</LinksUpToDate>
  <CharactersWithSpaces>2575</CharactersWithSpaces>
  <Application>WPS Office_12.1.0.21915_F1E327BC-269C-435d-A152-05C5408002CA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2025-08-18T17:51:00Z</dcterms:created>
  <dc:creator>Administrator</dc:creator>
  <cp:lastModifiedBy>郝宇</cp:lastModifiedBy>
  <dcterms:modified xsi:type="dcterms:W3CDTF">2025-08-23T08:24:00Z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O">
    <vt:lpwstr>wqlLaW5nc29mdCBQREYgdG8gV1BTIDExNQ</vt:lpwstr>
  </property>
  <property fmtid="{D5CDD505-2E9C-101B-9397-08002B2CF9AE}" pid="3" name="Created">
    <vt:filetime>2025-08-20T23:31:54Z</vt:filetime>
  </property>
  <property fmtid="{D5CDD505-2E9C-101B-9397-08002B2CF9AE}" pid="4" name="KSOTemplateDocerSaveRecord">
    <vt:lpwstr>eyJoZGlkIjoiMDY5NmFjMmM4ZTljMGJiZDAxN2JmYTc0NGI0NmFiNDgiLCJ1c2VySWQiOiIxMDc1MzgyOSJ9</vt:lpwstr>
  </property>
  <property fmtid="{D5CDD505-2E9C-101B-9397-08002B2CF9AE}" pid="5" name="KSOProductBuildVer">
    <vt:lpwstr>2052-12.1.0.21915</vt:lpwstr>
  </property>
  <property fmtid="{D5CDD505-2E9C-101B-9397-08002B2CF9AE}" pid="6" name="ICV">
    <vt:lpwstr>008734E4083E4562837FA60E5DA0888E_12</vt:lpwstr>
  </property>
</Properties>
</file>