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管理评审管理制度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4BDC6594">
      <w:pPr>
        <w:pStyle w:val="29"/>
        <w:bidi w:val="0"/>
      </w:pPr>
      <w:r>
        <w:t>对公司ITSS运维服务能力管理体系的适宜性、充分性和有效性进行评审，使公司 ITSS 运维服务能力管理体系不断地完善并持续有效运行，满足公司服务策略要求，实现公司信息技术服务管理目标。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DABFBA9">
      <w:pPr>
        <w:pStyle w:val="29"/>
        <w:bidi w:val="0"/>
        <w:rPr>
          <w:rFonts w:hint="eastAsia"/>
          <w:lang w:val="en-US" w:eastAsia="zh-CN"/>
        </w:rPr>
      </w:pPr>
      <w:r>
        <w:t>应遵循以战略为导向、以数据为基础、以改进为核心的原则。评审活动需由最高管理层主导，基于内部审核、绩效指标、客户反馈等客观证据，全面系统地评估现有管理体系对战略目标的支撑效力与持续适宜性；评审过程应注重实效，确保输出明确的改进决策和资源调整方案，并建立跟踪机制以验证措施落地效果，从而驱动管理体系和服务能力的持续优化</w:t>
      </w:r>
      <w:r>
        <w:rPr>
          <w:rFonts w:hint="eastAsia"/>
          <w:lang w:eastAsia="zh-CN"/>
        </w:rPr>
        <w:t>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17730EBB">
      <w:pPr>
        <w:pStyle w:val="29"/>
        <w:bidi w:val="0"/>
        <w:rPr>
          <w:rFonts w:hint="eastAsia" w:eastAsia="宋体"/>
          <w:lang w:eastAsia="zh-CN"/>
        </w:rPr>
      </w:pPr>
      <w:r>
        <w:t>适用于公司 ITSS 运维服务能力管理体系（包括运维服务方针和目标）运行情况进行的管理评审</w:t>
      </w:r>
      <w:r>
        <w:rPr>
          <w:rFonts w:hint="eastAsia"/>
          <w:lang w:eastAsia="zh-CN"/>
        </w:rPr>
        <w:t>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13C6AA9A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</w:t>
      </w:r>
    </w:p>
    <w:p w14:paraId="4A5B3B31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bookmarkStart w:id="12" w:name="_GoBack"/>
      <w:bookmarkEnd w:id="12"/>
      <w:r>
        <w:t>主持管理评审，并批准《管理评审计划》和《管理评审报告》</w:t>
      </w:r>
      <w:r>
        <w:rPr>
          <w:rFonts w:hint="eastAsia"/>
          <w:lang w:eastAsia="zh-CN"/>
        </w:rPr>
        <w:t>。</w:t>
      </w:r>
    </w:p>
    <w:p w14:paraId="2AA9BEB4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质量部</w:t>
      </w:r>
    </w:p>
    <w:p w14:paraId="6DA2460C">
      <w:pPr>
        <w:pStyle w:val="29"/>
        <w:bidi w:val="0"/>
        <w:rPr>
          <w:rFonts w:hint="eastAsia"/>
          <w:lang w:eastAsia="zh-CN"/>
        </w:rPr>
      </w:pPr>
      <w:r>
        <w:t>负责编制《管理评审计划》和《管理评审报告》</w:t>
      </w:r>
      <w:r>
        <w:rPr>
          <w:rFonts w:hint="eastAsia"/>
          <w:lang w:eastAsia="zh-CN"/>
        </w:rPr>
        <w:t>。</w:t>
      </w:r>
    </w:p>
    <w:p w14:paraId="76A6F207">
      <w:pPr>
        <w:pStyle w:val="29"/>
        <w:bidi w:val="0"/>
        <w:rPr>
          <w:rFonts w:hint="eastAsia"/>
          <w:lang w:val="en-US" w:eastAsia="zh-CN"/>
        </w:rPr>
      </w:pPr>
      <w:r>
        <w:t>责评审中的具体工作和评审资料的收集，整理和归档。</w:t>
      </w:r>
    </w:p>
    <w:p w14:paraId="6EC30556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其他运维部门</w:t>
      </w:r>
    </w:p>
    <w:p w14:paraId="383AFEC7">
      <w:pPr>
        <w:pStyle w:val="29"/>
        <w:bidi w:val="0"/>
        <w:rPr>
          <w:rFonts w:hint="default"/>
          <w:lang w:val="en-US" w:eastAsia="zh-CN"/>
        </w:rPr>
      </w:pPr>
      <w:r>
        <w:t>相关部门的负责人需准备和提交评审公司所需的资料，参加评审，并负责落实评审工作中提出的改进措施的实施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管理评审工作流程</w:t>
      </w:r>
    </w:p>
    <w:p w14:paraId="05731DC2">
      <w:pPr>
        <w:pStyle w:val="30"/>
        <w:bidi w:val="0"/>
      </w:pPr>
      <w:r>
        <w:t>管理评审计划</w:t>
      </w:r>
    </w:p>
    <w:p w14:paraId="3AB87D0C">
      <w:pPr>
        <w:pStyle w:val="29"/>
        <w:bidi w:val="0"/>
      </w:pPr>
      <w:r>
        <w:t>公司的管理评审活动每年至少进行一次，但可根据内部质量审核的结果进行，也可根据需要安排。</w:t>
      </w:r>
    </w:p>
    <w:p w14:paraId="254F8B44">
      <w:pPr>
        <w:pStyle w:val="29"/>
        <w:bidi w:val="0"/>
      </w:pPr>
      <w:r>
        <w:t>每次管理评审之前，由</w:t>
      </w:r>
      <w:r>
        <w:rPr>
          <w:rFonts w:hint="eastAsia"/>
          <w:lang w:eastAsia="zh-CN"/>
        </w:rPr>
        <w:t>质量部</w:t>
      </w:r>
      <w:r>
        <w:t>负责编制《管理评审计划》，报管理者代表审批，计划的内容主要包括：</w:t>
      </w:r>
    </w:p>
    <w:p w14:paraId="52BD73B8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评审目的；</w:t>
      </w:r>
    </w:p>
    <w:p w14:paraId="2E49EFD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评审内容；</w:t>
      </w:r>
    </w:p>
    <w:p w14:paraId="10992AF6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接受评审部门；</w:t>
      </w:r>
    </w:p>
    <w:p w14:paraId="040882F1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评审前应准备的工作和有关文件；</w:t>
      </w:r>
    </w:p>
    <w:p w14:paraId="54F36750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参加评审的部门及人员。</w:t>
      </w:r>
    </w:p>
    <w:p w14:paraId="312EA871">
      <w:pPr>
        <w:pStyle w:val="29"/>
        <w:bidi w:val="0"/>
      </w:pPr>
      <w:r>
        <w:t>因发生特殊情况或变化，管理者代表可适时安排管理评审活动。特殊情况或变化是指：</w:t>
      </w:r>
    </w:p>
    <w:p w14:paraId="7F098A1F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公司组织结构、产品（或服务）范围、资源配置等发生重大变化；</w:t>
      </w:r>
    </w:p>
    <w:p w14:paraId="5670A9AB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社会环境、市场需求发生重大变化；</w:t>
      </w:r>
    </w:p>
    <w:p w14:paraId="1BFFD18C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产品（或服务）质量发生重大变化或出现顾客严重投诉或投诉连续发生；</w:t>
      </w:r>
    </w:p>
    <w:p w14:paraId="5CA98BD1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即将进行第二、三方审核或法律、法规规定的审核；</w:t>
      </w:r>
    </w:p>
    <w:p w14:paraId="743D02F8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Cs w:val="24"/>
        </w:rPr>
      </w:pPr>
      <w:r>
        <w:t>内部质量审核中发现严重不合格。</w:t>
      </w:r>
    </w:p>
    <w:p w14:paraId="07B5DBCB">
      <w:pPr>
        <w:pStyle w:val="30"/>
        <w:bidi w:val="0"/>
      </w:pPr>
      <w:bookmarkStart w:id="4" w:name="bookmark6"/>
      <w:bookmarkEnd w:id="4"/>
      <w:bookmarkStart w:id="5" w:name="bookmark9"/>
      <w:bookmarkEnd w:id="5"/>
      <w:r>
        <w:t>管理评审输入</w:t>
      </w:r>
    </w:p>
    <w:p w14:paraId="4C8265F7">
      <w:pPr>
        <w:pStyle w:val="29"/>
        <w:bidi w:val="0"/>
      </w:pPr>
      <w:r>
        <w:t>管理评审输入应包括以下方面的信息：</w:t>
      </w:r>
    </w:p>
    <w:p w14:paraId="25F63BFB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ITSS运维服务能力管理体系运行情况；</w:t>
      </w:r>
    </w:p>
    <w:p w14:paraId="45B2E16D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目标、指标的适用性和执行情况；</w:t>
      </w:r>
    </w:p>
    <w:p w14:paraId="32CCF159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服务过程的实施情况；</w:t>
      </w:r>
    </w:p>
    <w:p w14:paraId="79A0A93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内/外部审核的结果；</w:t>
      </w:r>
    </w:p>
    <w:p w14:paraId="37BAC3EC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顾客反馈的信息，包括满意程度测量结果及顾客沟通的结果等；</w:t>
      </w:r>
    </w:p>
    <w:p w14:paraId="7A7FEED4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业绩与符合性；</w:t>
      </w:r>
    </w:p>
    <w:p w14:paraId="1A704300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预防和纠正措施的状况；</w:t>
      </w:r>
    </w:p>
    <w:p w14:paraId="37878B2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以往管理评审的措施实施状况；</w:t>
      </w:r>
    </w:p>
    <w:p w14:paraId="63787F38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任何可能影响体系变更的因素；</w:t>
      </w:r>
    </w:p>
    <w:p w14:paraId="26BA600C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改进的机会。</w:t>
      </w:r>
    </w:p>
    <w:p w14:paraId="15AAC5AA">
      <w:pPr>
        <w:pStyle w:val="30"/>
        <w:bidi w:val="0"/>
      </w:pPr>
      <w:bookmarkStart w:id="6" w:name="bookmark7"/>
      <w:bookmarkEnd w:id="6"/>
      <w:r>
        <w:t>管理评审准备</w:t>
      </w:r>
    </w:p>
    <w:p w14:paraId="4F47C895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质量部</w:t>
      </w:r>
      <w:r>
        <w:t>按策划的要求收集评审输入信息后，进行综合分析整理、列出需评审的全部议题，形成《管理评审计划》由总经理批准，提前送至有关部门和有关人员。</w:t>
      </w:r>
    </w:p>
    <w:p w14:paraId="38FA06B8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质量部</w:t>
      </w:r>
      <w:r>
        <w:t>负责整理本次评审的计划和有关资料。</w:t>
      </w:r>
    </w:p>
    <w:p w14:paraId="4BF7C60C">
      <w:pPr>
        <w:pStyle w:val="30"/>
        <w:bidi w:val="0"/>
      </w:pPr>
      <w:bookmarkStart w:id="7" w:name="bookmark8"/>
      <w:bookmarkEnd w:id="7"/>
      <w:r>
        <w:t>管理评审会议</w:t>
      </w:r>
    </w:p>
    <w:p w14:paraId="71E7F839">
      <w:pPr>
        <w:pStyle w:val="29"/>
        <w:bidi w:val="0"/>
      </w:pPr>
      <w:r>
        <w:t>管理评审会议由总经理主持，各部门负责人对评审输入做出评价，对于存在或潜在的不合格项提出改进措施，确定责任部门（或人）和整改时间，对所</w:t>
      </w:r>
      <w:r>
        <w:rPr>
          <w:rFonts w:hint="eastAsia"/>
          <w:lang w:val="en-US" w:eastAsia="zh-CN"/>
        </w:rPr>
        <w:t>涉及</w:t>
      </w:r>
      <w:r>
        <w:t>的评审内容做出结论（包括进一步调查、验证等）。</w:t>
      </w:r>
    </w:p>
    <w:p w14:paraId="57BA9D00">
      <w:pPr>
        <w:pStyle w:val="30"/>
        <w:bidi w:val="0"/>
      </w:pPr>
      <w:r>
        <w:t>管理评审输出</w:t>
      </w:r>
    </w:p>
    <w:p w14:paraId="45AAA4A4">
      <w:pPr>
        <w:pStyle w:val="29"/>
        <w:bidi w:val="0"/>
      </w:pPr>
      <w:r>
        <w:t>管理评审的输出应包括以下方面有关的措施：</w:t>
      </w:r>
    </w:p>
    <w:p w14:paraId="09F3BD4C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对体系适宜性、充分性和有效性的总体评价和需要改进的地方；</w:t>
      </w:r>
    </w:p>
    <w:p w14:paraId="1640233F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目标、指标适宜性的评价及完成情况；</w:t>
      </w:r>
    </w:p>
    <w:p w14:paraId="5808D05F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人员、技术、资源、过程的需求改进；</w:t>
      </w:r>
    </w:p>
    <w:p w14:paraId="6E786D39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改进的建议。</w:t>
      </w:r>
    </w:p>
    <w:p w14:paraId="7826C80E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根据管理评审输出的要求进行总结，编写《管理评审报告》，交管理者代表审批，总经理批准后并发至相应部门，由</w:t>
      </w:r>
      <w:r>
        <w:rPr>
          <w:rFonts w:hint="eastAsia"/>
          <w:lang w:eastAsia="zh-CN"/>
        </w:rPr>
        <w:t>质量部</w:t>
      </w:r>
      <w:r>
        <w:t>负责监控执行。</w:t>
      </w:r>
    </w:p>
    <w:p w14:paraId="776B6855">
      <w:pPr>
        <w:pStyle w:val="30"/>
        <w:bidi w:val="0"/>
      </w:pPr>
      <w:bookmarkStart w:id="8" w:name="bookmark10"/>
      <w:bookmarkEnd w:id="8"/>
      <w:r>
        <w:t>改进、纠正和预防措施的实施和验证</w:t>
      </w:r>
    </w:p>
    <w:p w14:paraId="6205F0E7">
      <w:pPr>
        <w:pStyle w:val="29"/>
        <w:bidi w:val="0"/>
      </w:pPr>
      <w:r>
        <w:t>对管理评审中出现的不合格项、待改进项，由</w:t>
      </w:r>
      <w:r>
        <w:rPr>
          <w:rFonts w:hint="eastAsia"/>
          <w:lang w:eastAsia="zh-CN"/>
        </w:rPr>
        <w:t>质量部</w:t>
      </w:r>
      <w:r>
        <w:t>根据《管理评审报告》填写《纠正和预防措施处理单》，责任部门根据要求制定实施纠正和预防的措施及计划，并落实整改。</w:t>
      </w:r>
    </w:p>
    <w:p w14:paraId="47AB8540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对纠正和预防措施的实施进行跟踪，监督验证，并将跟踪验证情况记入《纠正和预防措施处理单》。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9" w:name="bookmark3"/>
      <w:bookmarkEnd w:id="9"/>
      <w:bookmarkStart w:id="10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10"/>
    </w:p>
    <w:p w14:paraId="17535BAC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1" w:name="bookmark14"/>
      <w:bookmarkEnd w:id="11"/>
      <w:r>
        <w:rPr>
          <w:rFonts w:hint="eastAsia"/>
          <w:lang w:val="en-US" w:eastAsia="zh-CN"/>
        </w:rPr>
        <w:t>附件</w:t>
      </w:r>
    </w:p>
    <w:p w14:paraId="330D83E9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6509321B">
      <w:pPr>
        <w:spacing w:before="292" w:line="219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《管理评审计划》</w:t>
      </w:r>
    </w:p>
    <w:p w14:paraId="5E7E21EC">
      <w:pPr>
        <w:spacing w:before="182" w:line="219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《会议签到表》</w:t>
      </w:r>
    </w:p>
    <w:p w14:paraId="3A0402B0">
      <w:pPr>
        <w:spacing w:before="184" w:line="218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《管理评审报告》</w:t>
      </w:r>
    </w:p>
    <w:p w14:paraId="2C04C4F0">
      <w:pPr>
        <w:spacing w:before="184" w:line="220" w:lineRule="auto"/>
        <w:ind w:left="26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《纠正和预防措施处理单》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0A59F"/>
    <w:multiLevelType w:val="singleLevel"/>
    <w:tmpl w:val="8190A5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9DE98F3"/>
    <w:multiLevelType w:val="singleLevel"/>
    <w:tmpl w:val="89DE98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AD906ACF"/>
    <w:multiLevelType w:val="singleLevel"/>
    <w:tmpl w:val="AD906A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6BF3FC0"/>
    <w:multiLevelType w:val="singleLevel"/>
    <w:tmpl w:val="56BF3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512CD5B"/>
    <w:multiLevelType w:val="singleLevel"/>
    <w:tmpl w:val="7512CD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1C7A68"/>
    <w:rsid w:val="0CA84E57"/>
    <w:rsid w:val="0DC14423"/>
    <w:rsid w:val="0E4869E6"/>
    <w:rsid w:val="100912AD"/>
    <w:rsid w:val="104D4694"/>
    <w:rsid w:val="112A43FB"/>
    <w:rsid w:val="119775A7"/>
    <w:rsid w:val="13390737"/>
    <w:rsid w:val="15C87427"/>
    <w:rsid w:val="160F7CF5"/>
    <w:rsid w:val="167A1613"/>
    <w:rsid w:val="16C265E3"/>
    <w:rsid w:val="170C7BDF"/>
    <w:rsid w:val="17D35071"/>
    <w:rsid w:val="1A264519"/>
    <w:rsid w:val="1AC27A2C"/>
    <w:rsid w:val="1B8D153C"/>
    <w:rsid w:val="1CFA72C7"/>
    <w:rsid w:val="1D7B4B8F"/>
    <w:rsid w:val="1E360515"/>
    <w:rsid w:val="209179EB"/>
    <w:rsid w:val="21617F9F"/>
    <w:rsid w:val="22947F00"/>
    <w:rsid w:val="23D305B4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C4F70FE"/>
    <w:rsid w:val="2CD97BD8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8C531D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43D1D4E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AE21ABD"/>
    <w:rsid w:val="4B644252"/>
    <w:rsid w:val="4C013661"/>
    <w:rsid w:val="4D343593"/>
    <w:rsid w:val="4ECA2430"/>
    <w:rsid w:val="4F540134"/>
    <w:rsid w:val="50A44D19"/>
    <w:rsid w:val="51D57A6A"/>
    <w:rsid w:val="532965BF"/>
    <w:rsid w:val="536376D3"/>
    <w:rsid w:val="54B725CE"/>
    <w:rsid w:val="54CD67D6"/>
    <w:rsid w:val="57AC16EE"/>
    <w:rsid w:val="5859544B"/>
    <w:rsid w:val="58956A46"/>
    <w:rsid w:val="58C8202C"/>
    <w:rsid w:val="590E560F"/>
    <w:rsid w:val="59BB73DF"/>
    <w:rsid w:val="5A8B14BC"/>
    <w:rsid w:val="5ADC59C5"/>
    <w:rsid w:val="5BBB7799"/>
    <w:rsid w:val="5BC619FD"/>
    <w:rsid w:val="5C717B35"/>
    <w:rsid w:val="5D845EA0"/>
    <w:rsid w:val="5E133B7E"/>
    <w:rsid w:val="5E3B2A02"/>
    <w:rsid w:val="5E8425FB"/>
    <w:rsid w:val="5F804C09"/>
    <w:rsid w:val="608C7E04"/>
    <w:rsid w:val="60FF797D"/>
    <w:rsid w:val="62364D94"/>
    <w:rsid w:val="62853344"/>
    <w:rsid w:val="637B1AF3"/>
    <w:rsid w:val="6457120A"/>
    <w:rsid w:val="65F22540"/>
    <w:rsid w:val="66C44551"/>
    <w:rsid w:val="67931B01"/>
    <w:rsid w:val="689A2A1B"/>
    <w:rsid w:val="68A815DC"/>
    <w:rsid w:val="69862A24"/>
    <w:rsid w:val="69B61AD7"/>
    <w:rsid w:val="69D9062E"/>
    <w:rsid w:val="6ADC556D"/>
    <w:rsid w:val="6B6421C7"/>
    <w:rsid w:val="6B947BF6"/>
    <w:rsid w:val="6BCE07B8"/>
    <w:rsid w:val="6C7C0DB6"/>
    <w:rsid w:val="6C8A1F02"/>
    <w:rsid w:val="711710AD"/>
    <w:rsid w:val="7148395C"/>
    <w:rsid w:val="71D074AE"/>
    <w:rsid w:val="72895FDA"/>
    <w:rsid w:val="72DC0914"/>
    <w:rsid w:val="734F6DDC"/>
    <w:rsid w:val="73866EC6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AA2BA5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1664</Words>
  <Characters>1753</Characters>
  <Lines>0</Lines>
  <Paragraphs>0</Paragraphs>
  <TotalTime>0</TotalTime>
  <ScaleCrop>false</ScaleCrop>
  <LinksUpToDate>false</LinksUpToDate>
  <CharactersWithSpaces>1811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2025-09-14T08:10:24Z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