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7B5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4</w:t>
      </w:r>
    </w:p>
    <w:p w14:paraId="32D0CBB7">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E84A206">
      <w:pPr>
        <w:pStyle w:val="24"/>
        <w:bidi w:val="0"/>
      </w:pPr>
      <w:bookmarkStart w:id="0" w:name="_Toc21189"/>
      <w:r>
        <w:rPr>
          <w:rFonts w:hint="eastAsia"/>
          <w:lang w:val="en-US" w:eastAsia="zh-CN"/>
        </w:rPr>
        <w:t>万洲奇智（青岛）信息科技有限</w:t>
      </w:r>
      <w:r>
        <w:t>公司</w:t>
      </w:r>
      <w:bookmarkEnd w:id="0"/>
    </w:p>
    <w:p w14:paraId="473DE0DE">
      <w:pPr>
        <w:pStyle w:val="25"/>
        <w:bidi w:val="0"/>
        <w:rPr>
          <w:rFonts w:hint="default"/>
          <w:lang w:val="en-US"/>
        </w:rPr>
      </w:pPr>
      <w:bookmarkStart w:id="1" w:name="_Toc6050"/>
      <w:r>
        <w:rPr>
          <w:rFonts w:hint="eastAsia"/>
          <w:lang w:val="en-US" w:eastAsia="zh-CN"/>
        </w:rPr>
        <w:t>服务质量改进管理制度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86FD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5AB039DE">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4A8D4F52">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CE42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08EB67A8">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73B959D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883B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08E89D23">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388EEF7">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1BCCDE47">
      <w:r>
        <w:br w:type="page"/>
      </w:r>
    </w:p>
    <w:p w14:paraId="31917918">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7C6549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9F5F555">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609E55F">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53560FF">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5B3E8412">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A44CAB1">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C20F603">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3F28BC5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BC8C44E">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5E39C415">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34C39D10">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0DCE6A3C">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tcPr>
          <w:p w14:paraId="55639B2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6C7C120">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FC7F76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9877E88">
            <w:pPr>
              <w:pStyle w:val="27"/>
            </w:pPr>
          </w:p>
        </w:tc>
        <w:tc>
          <w:tcPr>
            <w:tcW w:w="919" w:type="dxa"/>
          </w:tcPr>
          <w:p w14:paraId="71D36C69">
            <w:pPr>
              <w:pStyle w:val="27"/>
            </w:pPr>
          </w:p>
        </w:tc>
        <w:tc>
          <w:tcPr>
            <w:tcW w:w="2289" w:type="dxa"/>
          </w:tcPr>
          <w:p w14:paraId="0EEDCD01">
            <w:pPr>
              <w:pStyle w:val="27"/>
            </w:pPr>
          </w:p>
        </w:tc>
        <w:tc>
          <w:tcPr>
            <w:tcW w:w="1148" w:type="dxa"/>
          </w:tcPr>
          <w:p w14:paraId="508242D7">
            <w:pPr>
              <w:spacing w:before="172" w:line="228" w:lineRule="auto"/>
              <w:ind w:left="313"/>
            </w:pPr>
          </w:p>
        </w:tc>
        <w:tc>
          <w:tcPr>
            <w:tcW w:w="1150" w:type="dxa"/>
          </w:tcPr>
          <w:p w14:paraId="10E5F532">
            <w:pPr>
              <w:spacing w:before="172" w:line="228" w:lineRule="auto"/>
              <w:ind w:left="313"/>
            </w:pPr>
          </w:p>
        </w:tc>
        <w:tc>
          <w:tcPr>
            <w:tcW w:w="1240" w:type="dxa"/>
          </w:tcPr>
          <w:p w14:paraId="4565F202">
            <w:pPr>
              <w:pStyle w:val="27"/>
            </w:pPr>
          </w:p>
        </w:tc>
      </w:tr>
      <w:tr w14:paraId="43AF5A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F4CCAA8">
            <w:pPr>
              <w:pStyle w:val="27"/>
            </w:pPr>
          </w:p>
        </w:tc>
        <w:tc>
          <w:tcPr>
            <w:tcW w:w="919" w:type="dxa"/>
          </w:tcPr>
          <w:p w14:paraId="044D1CEE">
            <w:pPr>
              <w:pStyle w:val="27"/>
            </w:pPr>
          </w:p>
        </w:tc>
        <w:tc>
          <w:tcPr>
            <w:tcW w:w="2289" w:type="dxa"/>
          </w:tcPr>
          <w:p w14:paraId="43C8A73D">
            <w:pPr>
              <w:pStyle w:val="27"/>
            </w:pPr>
          </w:p>
        </w:tc>
        <w:tc>
          <w:tcPr>
            <w:tcW w:w="1148" w:type="dxa"/>
          </w:tcPr>
          <w:p w14:paraId="08BAA6D5">
            <w:pPr>
              <w:spacing w:before="173" w:line="229" w:lineRule="auto"/>
              <w:ind w:left="314"/>
            </w:pPr>
          </w:p>
        </w:tc>
        <w:tc>
          <w:tcPr>
            <w:tcW w:w="1150" w:type="dxa"/>
          </w:tcPr>
          <w:p w14:paraId="255171BF">
            <w:pPr>
              <w:spacing w:before="173" w:line="229" w:lineRule="auto"/>
              <w:ind w:left="314"/>
            </w:pPr>
          </w:p>
        </w:tc>
        <w:tc>
          <w:tcPr>
            <w:tcW w:w="1240" w:type="dxa"/>
          </w:tcPr>
          <w:p w14:paraId="52AB04E8">
            <w:pPr>
              <w:pStyle w:val="27"/>
            </w:pPr>
          </w:p>
        </w:tc>
      </w:tr>
      <w:tr w14:paraId="21A33B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F0119EA">
            <w:pPr>
              <w:pStyle w:val="27"/>
            </w:pPr>
          </w:p>
        </w:tc>
        <w:tc>
          <w:tcPr>
            <w:tcW w:w="919" w:type="dxa"/>
          </w:tcPr>
          <w:p w14:paraId="6FC37811">
            <w:pPr>
              <w:pStyle w:val="27"/>
            </w:pPr>
          </w:p>
        </w:tc>
        <w:tc>
          <w:tcPr>
            <w:tcW w:w="2289" w:type="dxa"/>
          </w:tcPr>
          <w:p w14:paraId="3ABCE731">
            <w:pPr>
              <w:pStyle w:val="27"/>
            </w:pPr>
          </w:p>
        </w:tc>
        <w:tc>
          <w:tcPr>
            <w:tcW w:w="1148" w:type="dxa"/>
          </w:tcPr>
          <w:p w14:paraId="37C864BE">
            <w:pPr>
              <w:pStyle w:val="27"/>
            </w:pPr>
          </w:p>
        </w:tc>
        <w:tc>
          <w:tcPr>
            <w:tcW w:w="1150" w:type="dxa"/>
          </w:tcPr>
          <w:p w14:paraId="6FFFFAD2">
            <w:pPr>
              <w:pStyle w:val="27"/>
            </w:pPr>
          </w:p>
        </w:tc>
        <w:tc>
          <w:tcPr>
            <w:tcW w:w="1240" w:type="dxa"/>
          </w:tcPr>
          <w:p w14:paraId="3D28C305">
            <w:pPr>
              <w:pStyle w:val="27"/>
            </w:pPr>
          </w:p>
        </w:tc>
      </w:tr>
      <w:tr w14:paraId="1F7B1B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31D664E">
            <w:pPr>
              <w:pStyle w:val="27"/>
            </w:pPr>
          </w:p>
        </w:tc>
        <w:tc>
          <w:tcPr>
            <w:tcW w:w="919" w:type="dxa"/>
          </w:tcPr>
          <w:p w14:paraId="6DA63DAF">
            <w:pPr>
              <w:pStyle w:val="27"/>
            </w:pPr>
          </w:p>
        </w:tc>
        <w:tc>
          <w:tcPr>
            <w:tcW w:w="2289" w:type="dxa"/>
          </w:tcPr>
          <w:p w14:paraId="30441302">
            <w:pPr>
              <w:pStyle w:val="27"/>
            </w:pPr>
          </w:p>
        </w:tc>
        <w:tc>
          <w:tcPr>
            <w:tcW w:w="1148" w:type="dxa"/>
          </w:tcPr>
          <w:p w14:paraId="0801F6D0">
            <w:pPr>
              <w:pStyle w:val="27"/>
            </w:pPr>
          </w:p>
        </w:tc>
        <w:tc>
          <w:tcPr>
            <w:tcW w:w="1150" w:type="dxa"/>
          </w:tcPr>
          <w:p w14:paraId="62472C14">
            <w:pPr>
              <w:pStyle w:val="27"/>
            </w:pPr>
          </w:p>
        </w:tc>
        <w:tc>
          <w:tcPr>
            <w:tcW w:w="1240" w:type="dxa"/>
          </w:tcPr>
          <w:p w14:paraId="6C7CD678">
            <w:pPr>
              <w:pStyle w:val="27"/>
            </w:pPr>
          </w:p>
        </w:tc>
      </w:tr>
      <w:tr w14:paraId="1FFC32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7A98000D">
            <w:pPr>
              <w:pStyle w:val="27"/>
            </w:pPr>
          </w:p>
        </w:tc>
        <w:tc>
          <w:tcPr>
            <w:tcW w:w="919" w:type="dxa"/>
          </w:tcPr>
          <w:p w14:paraId="022D184E">
            <w:pPr>
              <w:pStyle w:val="27"/>
            </w:pPr>
          </w:p>
        </w:tc>
        <w:tc>
          <w:tcPr>
            <w:tcW w:w="2289" w:type="dxa"/>
          </w:tcPr>
          <w:p w14:paraId="786D864F">
            <w:pPr>
              <w:pStyle w:val="27"/>
            </w:pPr>
          </w:p>
        </w:tc>
        <w:tc>
          <w:tcPr>
            <w:tcW w:w="1148" w:type="dxa"/>
          </w:tcPr>
          <w:p w14:paraId="7884D3CD">
            <w:pPr>
              <w:pStyle w:val="27"/>
            </w:pPr>
          </w:p>
        </w:tc>
        <w:tc>
          <w:tcPr>
            <w:tcW w:w="1150" w:type="dxa"/>
          </w:tcPr>
          <w:p w14:paraId="63C3886F">
            <w:pPr>
              <w:pStyle w:val="27"/>
            </w:pPr>
          </w:p>
        </w:tc>
        <w:tc>
          <w:tcPr>
            <w:tcW w:w="1240" w:type="dxa"/>
          </w:tcPr>
          <w:p w14:paraId="78AB88D7">
            <w:pPr>
              <w:pStyle w:val="27"/>
            </w:pPr>
          </w:p>
        </w:tc>
      </w:tr>
    </w:tbl>
    <w:p w14:paraId="616D9C5E">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64A3C18">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FCAA413">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_Toc21189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_Toc21189 \h </w:instrText>
          </w:r>
          <w:r>
            <w:fldChar w:fldCharType="separate"/>
          </w:r>
          <w:r>
            <w:t>1</w:t>
          </w:r>
          <w:r>
            <w:fldChar w:fldCharType="end"/>
          </w:r>
          <w:r>
            <w:rPr>
              <w:rFonts w:hint="eastAsia" w:ascii="宋体" w:hAnsi="宋体" w:eastAsia="宋体" w:cs="宋体"/>
              <w:szCs w:val="24"/>
            </w:rPr>
            <w:fldChar w:fldCharType="end"/>
          </w:r>
        </w:p>
        <w:p w14:paraId="3BE73C4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_Toc6050 </w:instrText>
          </w:r>
          <w:r>
            <w:rPr>
              <w:rFonts w:hint="eastAsia" w:ascii="宋体" w:hAnsi="宋体" w:eastAsia="宋体" w:cs="宋体"/>
              <w:szCs w:val="24"/>
            </w:rPr>
            <w:fldChar w:fldCharType="separate"/>
          </w:r>
          <w:r>
            <w:rPr>
              <w:rFonts w:hint="eastAsia"/>
              <w:lang w:val="en-US" w:eastAsia="zh-CN"/>
            </w:rPr>
            <w:t>服务质量改进管理制度</w:t>
          </w:r>
          <w:r>
            <w:tab/>
          </w:r>
          <w:r>
            <w:fldChar w:fldCharType="begin"/>
          </w:r>
          <w:r>
            <w:instrText xml:space="preserve"> PAGEREF _Toc6050 \h </w:instrText>
          </w:r>
          <w:r>
            <w:fldChar w:fldCharType="separate"/>
          </w:r>
          <w:r>
            <w:t>1</w:t>
          </w:r>
          <w:r>
            <w:fldChar w:fldCharType="end"/>
          </w:r>
          <w:r>
            <w:rPr>
              <w:rFonts w:hint="eastAsia" w:ascii="宋体" w:hAnsi="宋体" w:eastAsia="宋体" w:cs="宋体"/>
              <w:szCs w:val="24"/>
            </w:rPr>
            <w:fldChar w:fldCharType="end"/>
          </w:r>
        </w:p>
        <w:p w14:paraId="5A12FCA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_Toc15249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_Toc15249 \h </w:instrText>
          </w:r>
          <w:r>
            <w:fldChar w:fldCharType="separate"/>
          </w:r>
          <w:r>
            <w:t>4</w:t>
          </w:r>
          <w:r>
            <w:fldChar w:fldCharType="end"/>
          </w:r>
          <w:r>
            <w:rPr>
              <w:rFonts w:hint="eastAsia" w:ascii="宋体" w:hAnsi="宋体" w:eastAsia="宋体" w:cs="宋体"/>
              <w:szCs w:val="24"/>
            </w:rPr>
            <w:fldChar w:fldCharType="end"/>
          </w:r>
        </w:p>
        <w:p w14:paraId="7532A48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_Toc5476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_Toc5476 \h </w:instrText>
          </w:r>
          <w:r>
            <w:fldChar w:fldCharType="separate"/>
          </w:r>
          <w:r>
            <w:t>4</w:t>
          </w:r>
          <w:r>
            <w:fldChar w:fldCharType="end"/>
          </w:r>
          <w:r>
            <w:rPr>
              <w:rFonts w:hint="eastAsia" w:ascii="宋体" w:hAnsi="宋体" w:eastAsia="宋体" w:cs="宋体"/>
              <w:szCs w:val="24"/>
            </w:rPr>
            <w:fldChar w:fldCharType="end"/>
          </w:r>
        </w:p>
        <w:p w14:paraId="0F3417A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_Toc8060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_Toc8060 \h </w:instrText>
          </w:r>
          <w:r>
            <w:fldChar w:fldCharType="separate"/>
          </w:r>
          <w:r>
            <w:t>4</w:t>
          </w:r>
          <w:r>
            <w:fldChar w:fldCharType="end"/>
          </w:r>
          <w:r>
            <w:rPr>
              <w:rFonts w:hint="eastAsia" w:ascii="宋体" w:hAnsi="宋体" w:eastAsia="宋体" w:cs="宋体"/>
              <w:szCs w:val="24"/>
            </w:rPr>
            <w:fldChar w:fldCharType="end"/>
          </w:r>
        </w:p>
        <w:p w14:paraId="29669E5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_Toc16684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_Toc16684 \h </w:instrText>
          </w:r>
          <w:r>
            <w:fldChar w:fldCharType="separate"/>
          </w:r>
          <w:r>
            <w:t>4</w:t>
          </w:r>
          <w:r>
            <w:fldChar w:fldCharType="end"/>
          </w:r>
          <w:r>
            <w:rPr>
              <w:rFonts w:hint="eastAsia" w:ascii="宋体" w:hAnsi="宋体" w:eastAsia="宋体" w:cs="宋体"/>
              <w:szCs w:val="24"/>
            </w:rPr>
            <w:fldChar w:fldCharType="end"/>
          </w:r>
        </w:p>
        <w:p w14:paraId="2EC0568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_Toc18463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质量部</w:t>
          </w:r>
          <w:r>
            <w:tab/>
          </w:r>
          <w:r>
            <w:fldChar w:fldCharType="begin"/>
          </w:r>
          <w:r>
            <w:instrText xml:space="preserve"> PAGEREF _Toc18463 \h </w:instrText>
          </w:r>
          <w:r>
            <w:fldChar w:fldCharType="separate"/>
          </w:r>
          <w:r>
            <w:t>4</w:t>
          </w:r>
          <w:r>
            <w:fldChar w:fldCharType="end"/>
          </w:r>
          <w:r>
            <w:rPr>
              <w:rFonts w:hint="eastAsia" w:ascii="宋体" w:hAnsi="宋体" w:eastAsia="宋体" w:cs="宋体"/>
              <w:szCs w:val="24"/>
            </w:rPr>
            <w:fldChar w:fldCharType="end"/>
          </w:r>
        </w:p>
        <w:p w14:paraId="105B57C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_Toc11123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管理者代表</w:t>
          </w:r>
          <w:r>
            <w:tab/>
          </w:r>
          <w:r>
            <w:fldChar w:fldCharType="begin"/>
          </w:r>
          <w:r>
            <w:instrText xml:space="preserve"> PAGEREF _Toc11123 \h </w:instrText>
          </w:r>
          <w:r>
            <w:fldChar w:fldCharType="separate"/>
          </w:r>
          <w:r>
            <w:t>4</w:t>
          </w:r>
          <w:r>
            <w:fldChar w:fldCharType="end"/>
          </w:r>
          <w:r>
            <w:rPr>
              <w:rFonts w:hint="eastAsia" w:ascii="宋体" w:hAnsi="宋体" w:eastAsia="宋体" w:cs="宋体"/>
              <w:szCs w:val="24"/>
            </w:rPr>
            <w:fldChar w:fldCharType="end"/>
          </w:r>
        </w:p>
        <w:p w14:paraId="47DDC79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_Toc9313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相关部门负责人</w:t>
          </w:r>
          <w:r>
            <w:tab/>
          </w:r>
          <w:r>
            <w:fldChar w:fldCharType="begin"/>
          </w:r>
          <w:r>
            <w:instrText xml:space="preserve"> PAGEREF _Toc9313 \h </w:instrText>
          </w:r>
          <w:r>
            <w:fldChar w:fldCharType="separate"/>
          </w:r>
          <w:r>
            <w:t>4</w:t>
          </w:r>
          <w:r>
            <w:fldChar w:fldCharType="end"/>
          </w:r>
          <w:r>
            <w:rPr>
              <w:rFonts w:hint="eastAsia" w:ascii="宋体" w:hAnsi="宋体" w:eastAsia="宋体" w:cs="宋体"/>
              <w:szCs w:val="24"/>
            </w:rPr>
            <w:fldChar w:fldCharType="end"/>
          </w:r>
        </w:p>
        <w:p w14:paraId="165C18B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_Toc28292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质量改进流程</w:t>
          </w:r>
          <w:r>
            <w:tab/>
          </w:r>
          <w:r>
            <w:fldChar w:fldCharType="begin"/>
          </w:r>
          <w:r>
            <w:instrText xml:space="preserve"> PAGEREF _Toc28292 \h </w:instrText>
          </w:r>
          <w:r>
            <w:fldChar w:fldCharType="separate"/>
          </w:r>
          <w:r>
            <w:t>5</w:t>
          </w:r>
          <w:r>
            <w:fldChar w:fldCharType="end"/>
          </w:r>
          <w:r>
            <w:rPr>
              <w:rFonts w:hint="eastAsia" w:ascii="宋体" w:hAnsi="宋体" w:eastAsia="宋体" w:cs="宋体"/>
              <w:szCs w:val="24"/>
            </w:rPr>
            <w:fldChar w:fldCharType="end"/>
          </w:r>
        </w:p>
        <w:p w14:paraId="231920E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_Toc22596 </w:instrText>
          </w:r>
          <w:r>
            <w:rPr>
              <w:rFonts w:hint="eastAsia" w:ascii="宋体" w:hAnsi="宋体" w:eastAsia="宋体" w:cs="宋体"/>
              <w:szCs w:val="24"/>
            </w:rPr>
            <w:fldChar w:fldCharType="separate"/>
          </w:r>
          <w:r>
            <w:rPr>
              <w:rFonts w:hint="default"/>
            </w:rPr>
            <w:t xml:space="preserve">5.1. </w:t>
          </w:r>
          <w:r>
            <w:t>制订年度质量工作规划</w:t>
          </w:r>
          <w:r>
            <w:tab/>
          </w:r>
          <w:r>
            <w:fldChar w:fldCharType="begin"/>
          </w:r>
          <w:r>
            <w:instrText xml:space="preserve"> PAGEREF _Toc22596 \h </w:instrText>
          </w:r>
          <w:r>
            <w:fldChar w:fldCharType="separate"/>
          </w:r>
          <w:r>
            <w:t>5</w:t>
          </w:r>
          <w:r>
            <w:fldChar w:fldCharType="end"/>
          </w:r>
          <w:r>
            <w:rPr>
              <w:rFonts w:hint="eastAsia" w:ascii="宋体" w:hAnsi="宋体" w:eastAsia="宋体" w:cs="宋体"/>
              <w:szCs w:val="24"/>
            </w:rPr>
            <w:fldChar w:fldCharType="end"/>
          </w:r>
        </w:p>
        <w:p w14:paraId="1B7BEED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_Toc19897 </w:instrText>
          </w:r>
          <w:r>
            <w:rPr>
              <w:rFonts w:hint="eastAsia" w:ascii="宋体" w:hAnsi="宋体" w:eastAsia="宋体" w:cs="宋体"/>
              <w:szCs w:val="24"/>
            </w:rPr>
            <w:fldChar w:fldCharType="separate"/>
          </w:r>
          <w:r>
            <w:rPr>
              <w:rFonts w:hint="default"/>
            </w:rPr>
            <w:t xml:space="preserve">5.2. </w:t>
          </w:r>
          <w:r>
            <w:t>内部审核</w:t>
          </w:r>
          <w:r>
            <w:tab/>
          </w:r>
          <w:r>
            <w:fldChar w:fldCharType="begin"/>
          </w:r>
          <w:r>
            <w:instrText xml:space="preserve"> PAGEREF _Toc19897 \h </w:instrText>
          </w:r>
          <w:r>
            <w:fldChar w:fldCharType="separate"/>
          </w:r>
          <w:r>
            <w:t>5</w:t>
          </w:r>
          <w:r>
            <w:fldChar w:fldCharType="end"/>
          </w:r>
          <w:r>
            <w:rPr>
              <w:rFonts w:hint="eastAsia" w:ascii="宋体" w:hAnsi="宋体" w:eastAsia="宋体" w:cs="宋体"/>
              <w:szCs w:val="24"/>
            </w:rPr>
            <w:fldChar w:fldCharType="end"/>
          </w:r>
        </w:p>
        <w:p w14:paraId="3494BCB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_Toc29612 </w:instrText>
          </w:r>
          <w:r>
            <w:rPr>
              <w:rFonts w:hint="eastAsia" w:ascii="宋体" w:hAnsi="宋体" w:eastAsia="宋体" w:cs="宋体"/>
              <w:szCs w:val="24"/>
            </w:rPr>
            <w:fldChar w:fldCharType="separate"/>
          </w:r>
          <w:r>
            <w:rPr>
              <w:rFonts w:hint="default"/>
            </w:rPr>
            <w:t xml:space="preserve">5.3. </w:t>
          </w:r>
          <w:r>
            <w:t>管理评审</w:t>
          </w:r>
          <w:r>
            <w:tab/>
          </w:r>
          <w:r>
            <w:fldChar w:fldCharType="begin"/>
          </w:r>
          <w:r>
            <w:instrText xml:space="preserve"> PAGEREF _Toc29612 \h </w:instrText>
          </w:r>
          <w:r>
            <w:fldChar w:fldCharType="separate"/>
          </w:r>
          <w:r>
            <w:t>5</w:t>
          </w:r>
          <w:r>
            <w:fldChar w:fldCharType="end"/>
          </w:r>
          <w:r>
            <w:rPr>
              <w:rFonts w:hint="eastAsia" w:ascii="宋体" w:hAnsi="宋体" w:eastAsia="宋体" w:cs="宋体"/>
              <w:szCs w:val="24"/>
            </w:rPr>
            <w:fldChar w:fldCharType="end"/>
          </w:r>
        </w:p>
        <w:p w14:paraId="3AB9628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_Toc21390 </w:instrText>
          </w:r>
          <w:r>
            <w:rPr>
              <w:rFonts w:hint="eastAsia" w:ascii="宋体" w:hAnsi="宋体" w:eastAsia="宋体" w:cs="宋体"/>
              <w:szCs w:val="24"/>
            </w:rPr>
            <w:fldChar w:fldCharType="separate"/>
          </w:r>
          <w:r>
            <w:rPr>
              <w:rFonts w:hint="default"/>
            </w:rPr>
            <w:t xml:space="preserve">5.4. </w:t>
          </w:r>
          <w:r>
            <w:t>持续改进</w:t>
          </w:r>
          <w:r>
            <w:tab/>
          </w:r>
          <w:r>
            <w:fldChar w:fldCharType="begin"/>
          </w:r>
          <w:r>
            <w:instrText xml:space="preserve"> PAGEREF _Toc21390 \h </w:instrText>
          </w:r>
          <w:r>
            <w:fldChar w:fldCharType="separate"/>
          </w:r>
          <w:r>
            <w:t>5</w:t>
          </w:r>
          <w:r>
            <w:fldChar w:fldCharType="end"/>
          </w:r>
          <w:r>
            <w:rPr>
              <w:rFonts w:hint="eastAsia" w:ascii="宋体" w:hAnsi="宋体" w:eastAsia="宋体" w:cs="宋体"/>
              <w:szCs w:val="24"/>
            </w:rPr>
            <w:fldChar w:fldCharType="end"/>
          </w:r>
        </w:p>
        <w:p w14:paraId="728F59D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_Toc20646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_Toc20646 \h </w:instrText>
          </w:r>
          <w:r>
            <w:fldChar w:fldCharType="separate"/>
          </w:r>
          <w:r>
            <w:t>6</w:t>
          </w:r>
          <w:r>
            <w:fldChar w:fldCharType="end"/>
          </w:r>
          <w:r>
            <w:rPr>
              <w:rFonts w:hint="eastAsia" w:ascii="宋体" w:hAnsi="宋体" w:eastAsia="宋体" w:cs="宋体"/>
              <w:szCs w:val="24"/>
            </w:rPr>
            <w:fldChar w:fldCharType="end"/>
          </w:r>
        </w:p>
        <w:p w14:paraId="0477BAB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_Toc3415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_Toc3415 \h </w:instrText>
          </w:r>
          <w:r>
            <w:fldChar w:fldCharType="separate"/>
          </w:r>
          <w:r>
            <w:t>7</w:t>
          </w:r>
          <w:r>
            <w:fldChar w:fldCharType="end"/>
          </w:r>
          <w:r>
            <w:rPr>
              <w:rFonts w:hint="eastAsia" w:ascii="宋体" w:hAnsi="宋体" w:eastAsia="宋体" w:cs="宋体"/>
              <w:szCs w:val="24"/>
            </w:rPr>
            <w:fldChar w:fldCharType="end"/>
          </w:r>
        </w:p>
        <w:p w14:paraId="11F35DB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_Toc23750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_Toc23750 \h </w:instrText>
          </w:r>
          <w:r>
            <w:fldChar w:fldCharType="separate"/>
          </w:r>
          <w:r>
            <w:t>7</w:t>
          </w:r>
          <w:r>
            <w:fldChar w:fldCharType="end"/>
          </w:r>
          <w:r>
            <w:rPr>
              <w:rFonts w:hint="eastAsia" w:ascii="宋体" w:hAnsi="宋体" w:eastAsia="宋体" w:cs="宋体"/>
              <w:szCs w:val="24"/>
            </w:rPr>
            <w:fldChar w:fldCharType="end"/>
          </w:r>
        </w:p>
        <w:p w14:paraId="0FDA5F99">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4F658A6A">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6A673A68">
      <w:pPr>
        <w:pStyle w:val="28"/>
        <w:bidi w:val="0"/>
      </w:pPr>
      <w:bookmarkStart w:id="2" w:name="_Toc15249"/>
      <w:r>
        <w:t>目的</w:t>
      </w:r>
      <w:bookmarkEnd w:id="2"/>
    </w:p>
    <w:p w14:paraId="41C0C347">
      <w:pPr>
        <w:pStyle w:val="29"/>
        <w:bidi w:val="0"/>
      </w:pPr>
      <w:r>
        <w:t>通过审核运维部所开展的各种服务质量管理活动，确保 ITSS 运维服务能力管理体系持续有效地运行、改进。</w:t>
      </w:r>
    </w:p>
    <w:p w14:paraId="34F406D2">
      <w:pPr>
        <w:pStyle w:val="28"/>
        <w:bidi w:val="0"/>
        <w:rPr>
          <w:rFonts w:hint="eastAsia"/>
          <w:lang w:val="en-US" w:eastAsia="zh-CN"/>
        </w:rPr>
      </w:pPr>
      <w:bookmarkStart w:id="3" w:name="_Toc5476"/>
      <w:r>
        <w:rPr>
          <w:rFonts w:hint="eastAsia"/>
          <w:lang w:val="en-US" w:eastAsia="zh-CN"/>
        </w:rPr>
        <w:t>原则</w:t>
      </w:r>
      <w:bookmarkEnd w:id="3"/>
    </w:p>
    <w:p w14:paraId="6B5BFEC7">
      <w:pPr>
        <w:pStyle w:val="29"/>
        <w:bidi w:val="0"/>
        <w:rPr>
          <w:rFonts w:hint="eastAsia"/>
          <w:lang w:val="en-US" w:eastAsia="zh-CN"/>
        </w:rPr>
      </w:pPr>
      <w:r>
        <w:t>循数据驱动、闭环管理的核心原则，通过持续测量、分析并迭代优化，实现服务效能的螺旋式提升。</w:t>
      </w:r>
    </w:p>
    <w:p w14:paraId="1A6F0756">
      <w:pPr>
        <w:pStyle w:val="28"/>
        <w:bidi w:val="0"/>
      </w:pPr>
      <w:bookmarkStart w:id="4" w:name="_Toc8060"/>
      <w:r>
        <w:rPr>
          <w:rFonts w:hint="eastAsia"/>
          <w:lang w:val="en-US" w:eastAsia="zh-CN"/>
        </w:rPr>
        <w:t>适用</w:t>
      </w:r>
      <w:r>
        <w:t>范围</w:t>
      </w:r>
      <w:bookmarkEnd w:id="4"/>
    </w:p>
    <w:p w14:paraId="68F6B525">
      <w:pPr>
        <w:pStyle w:val="29"/>
        <w:bidi w:val="0"/>
      </w:pPr>
      <w:r>
        <w:t>适用于公司运维部对 ITSS 运维服务能力管理体系的运行检查及审核。</w:t>
      </w:r>
    </w:p>
    <w:p w14:paraId="2D8EB175">
      <w:pPr>
        <w:pStyle w:val="28"/>
        <w:bidi w:val="0"/>
        <w:rPr>
          <w:rFonts w:hint="eastAsia"/>
          <w:lang w:val="en-US" w:eastAsia="zh-CN"/>
        </w:rPr>
      </w:pPr>
      <w:bookmarkStart w:id="5" w:name="_Toc16684"/>
      <w:r>
        <w:rPr>
          <w:rFonts w:hint="eastAsia"/>
          <w:lang w:val="en-US" w:eastAsia="zh-CN"/>
        </w:rPr>
        <w:t>岗位职责</w:t>
      </w:r>
      <w:bookmarkEnd w:id="5"/>
    </w:p>
    <w:p w14:paraId="067CD52F">
      <w:pPr>
        <w:pStyle w:val="30"/>
        <w:bidi w:val="0"/>
        <w:rPr>
          <w:rFonts w:hint="eastAsia"/>
          <w:lang w:val="en-US" w:eastAsia="zh-CN"/>
        </w:rPr>
      </w:pPr>
      <w:bookmarkStart w:id="6" w:name="_Toc18463"/>
      <w:r>
        <w:rPr>
          <w:rFonts w:hint="eastAsia"/>
          <w:lang w:val="en-US" w:eastAsia="zh-CN"/>
        </w:rPr>
        <w:t>质量部</w:t>
      </w:r>
      <w:bookmarkEnd w:id="6"/>
    </w:p>
    <w:p w14:paraId="25D4622D">
      <w:pPr>
        <w:pStyle w:val="29"/>
        <w:bidi w:val="0"/>
      </w:pPr>
      <w:r>
        <w:t>负责制订审核计划，组织、协调内部审核、管理评审活动的展开，监督各项改进措施的实施。</w:t>
      </w:r>
    </w:p>
    <w:p w14:paraId="5D1EE197">
      <w:pPr>
        <w:pStyle w:val="30"/>
        <w:bidi w:val="0"/>
        <w:rPr>
          <w:rFonts w:hint="eastAsia"/>
          <w:lang w:val="en-US" w:eastAsia="zh-CN"/>
        </w:rPr>
      </w:pPr>
      <w:bookmarkStart w:id="7" w:name="_Toc11123"/>
      <w:r>
        <w:rPr>
          <w:rFonts w:hint="eastAsia"/>
          <w:lang w:val="en-US" w:eastAsia="zh-CN"/>
        </w:rPr>
        <w:t>管理者代表</w:t>
      </w:r>
      <w:bookmarkEnd w:id="7"/>
    </w:p>
    <w:p w14:paraId="3EBE3BF2">
      <w:pPr>
        <w:pStyle w:val="29"/>
        <w:bidi w:val="0"/>
      </w:pPr>
      <w:r>
        <w:t>负责批准管理评审的计划和报告，批准内部审核、任命内审小组组长和成员，安排具体审核分工，审批内部审核报告，提出改进要求，评价改进结果。</w:t>
      </w:r>
    </w:p>
    <w:p w14:paraId="30FEECD6">
      <w:pPr>
        <w:pStyle w:val="30"/>
        <w:bidi w:val="0"/>
        <w:rPr>
          <w:rFonts w:hint="default"/>
          <w:lang w:val="en-US" w:eastAsia="zh-CN"/>
        </w:rPr>
      </w:pPr>
      <w:bookmarkStart w:id="8" w:name="_Toc9313"/>
      <w:r>
        <w:rPr>
          <w:rFonts w:hint="eastAsia"/>
          <w:lang w:val="en-US" w:eastAsia="zh-CN"/>
        </w:rPr>
        <w:t>相关部门负责人</w:t>
      </w:r>
      <w:bookmarkEnd w:id="8"/>
    </w:p>
    <w:p w14:paraId="68AD368B">
      <w:pPr>
        <w:pStyle w:val="29"/>
        <w:bidi w:val="0"/>
        <w:rPr>
          <w:rFonts w:hint="default"/>
          <w:lang w:val="en-US" w:eastAsia="zh-CN"/>
        </w:rPr>
      </w:pPr>
      <w:r>
        <w:t>参与内部审核、管理评审活动，制订改进措施，组织改进活动的实施并反馈改进的结果。</w:t>
      </w:r>
    </w:p>
    <w:p w14:paraId="7185133A">
      <w:pPr>
        <w:pStyle w:val="28"/>
        <w:bidi w:val="0"/>
        <w:rPr>
          <w:rFonts w:hint="default"/>
          <w:lang w:val="en-US" w:eastAsia="zh-CN"/>
        </w:rPr>
      </w:pPr>
      <w:bookmarkStart w:id="9" w:name="_Toc28292"/>
      <w:r>
        <w:rPr>
          <w:rFonts w:hint="eastAsia"/>
          <w:lang w:val="en-US" w:eastAsia="zh-CN"/>
        </w:rPr>
        <w:t>质量改进流程</w:t>
      </w:r>
      <w:bookmarkEnd w:id="9"/>
    </w:p>
    <w:p w14:paraId="315EB373">
      <w:pPr>
        <w:pStyle w:val="30"/>
        <w:bidi w:val="0"/>
      </w:pPr>
      <w:bookmarkStart w:id="10" w:name="_Toc22596"/>
      <w:r>
        <w:t>制订年度质量工作规划</w:t>
      </w:r>
      <w:bookmarkEnd w:id="10"/>
    </w:p>
    <w:p w14:paraId="3B7EAA64">
      <w:pPr>
        <w:pStyle w:val="29"/>
        <w:bidi w:val="0"/>
      </w:pPr>
      <w:r>
        <w:t>运维部根据公司管理方针和目标、公司的业务要求以及ITSS运维服务能力管理体系的运行状况，每年初制订《运维服务</w:t>
      </w:r>
      <w:r>
        <w:rPr>
          <w:rFonts w:hint="eastAsia"/>
          <w:lang w:val="en-US" w:eastAsia="zh-CN"/>
        </w:rPr>
        <w:t>能力</w:t>
      </w:r>
      <w:r>
        <w:t>管理计划》，对年度的服务质量管理活动进行规划，主要考虑：</w:t>
      </w:r>
    </w:p>
    <w:p w14:paraId="4C62A690">
      <w:pPr>
        <w:numPr>
          <w:ilvl w:val="0"/>
          <w:numId w:val="2"/>
        </w:numPr>
        <w:spacing w:before="1"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公司总体的服务方针和服务目标</w:t>
      </w:r>
    </w:p>
    <w:p w14:paraId="09FEE9C7">
      <w:pPr>
        <w:numPr>
          <w:ilvl w:val="0"/>
          <w:numId w:val="2"/>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公司服务管理要实现的阶段性目标、策略和要求。</w:t>
      </w:r>
    </w:p>
    <w:p w14:paraId="70F9BC15">
      <w:pPr>
        <w:numPr>
          <w:ilvl w:val="0"/>
          <w:numId w:val="2"/>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5"/>
          <w:sz w:val="24"/>
          <w:szCs w:val="24"/>
        </w:rPr>
        <w:t>内部审核的计划和安排。</w:t>
      </w:r>
    </w:p>
    <w:p w14:paraId="4BC6126C">
      <w:pPr>
        <w:numPr>
          <w:ilvl w:val="0"/>
          <w:numId w:val="2"/>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管理评审的计划和安排。</w:t>
      </w:r>
    </w:p>
    <w:p w14:paraId="6E27ADDB">
      <w:pPr>
        <w:numPr>
          <w:ilvl w:val="0"/>
          <w:numId w:val="2"/>
        </w:numPr>
        <w:spacing w:before="157" w:line="238"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服务质量改进和评价的准则和要求。</w:t>
      </w:r>
    </w:p>
    <w:p w14:paraId="0F9A9DEA">
      <w:pPr>
        <w:numPr>
          <w:ilvl w:val="0"/>
          <w:numId w:val="2"/>
        </w:numPr>
        <w:spacing w:before="158"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实施服务质量改进活动的资源、接口、流程和角色。</w:t>
      </w:r>
    </w:p>
    <w:p w14:paraId="47CDB55A">
      <w:pPr>
        <w:numPr>
          <w:ilvl w:val="0"/>
          <w:numId w:val="2"/>
        </w:numPr>
        <w:spacing w:before="159" w:line="23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《运维服务管理计划》经管理者代表批准后，由运维部组织实施。</w:t>
      </w:r>
    </w:p>
    <w:p w14:paraId="50228AFD">
      <w:pPr>
        <w:pStyle w:val="30"/>
        <w:bidi w:val="0"/>
      </w:pPr>
      <w:bookmarkStart w:id="11" w:name="_Toc19897"/>
      <w:r>
        <w:t>内部审核</w:t>
      </w:r>
      <w:bookmarkEnd w:id="11"/>
    </w:p>
    <w:p w14:paraId="447AED45">
      <w:pPr>
        <w:pStyle w:val="29"/>
        <w:bidi w:val="0"/>
      </w:pPr>
      <w:r>
        <w:rPr>
          <w:rFonts w:hint="eastAsia"/>
          <w:lang w:eastAsia="zh-CN"/>
        </w:rPr>
        <w:t>质量部</w:t>
      </w:r>
      <w:r>
        <w:t>根据《运维服务管理计划》的安排，按规定的频次制订《内部审核计划》，交管理者代表批准，组织内部审核工作。详见《内部审核</w:t>
      </w:r>
      <w:r>
        <w:rPr>
          <w:rFonts w:hint="eastAsia"/>
          <w:lang w:val="en-US" w:eastAsia="zh-CN"/>
        </w:rPr>
        <w:t>管理制度</w:t>
      </w:r>
      <w:r>
        <w:t>》。</w:t>
      </w:r>
    </w:p>
    <w:p w14:paraId="78FA9DDA">
      <w:pPr>
        <w:pStyle w:val="30"/>
        <w:bidi w:val="0"/>
      </w:pPr>
      <w:bookmarkStart w:id="12" w:name="_Toc29612"/>
      <w:r>
        <w:t>管理评审</w:t>
      </w:r>
      <w:bookmarkEnd w:id="12"/>
    </w:p>
    <w:p w14:paraId="4A4AB662">
      <w:pPr>
        <w:pStyle w:val="29"/>
        <w:bidi w:val="0"/>
        <w:rPr>
          <w:rStyle w:val="41"/>
          <w:rFonts w:cs="Times New Roman"/>
        </w:rPr>
      </w:pPr>
      <w:r>
        <w:t>在完成内部 ITSS 运维服务能力管理体系的审核活动后，运维部根据《运维服务</w:t>
      </w:r>
      <w:r>
        <w:rPr>
          <w:rFonts w:hint="eastAsia"/>
          <w:lang w:val="en-US" w:eastAsia="zh-CN"/>
        </w:rPr>
        <w:t>能力</w:t>
      </w:r>
      <w:r>
        <w:t>管理计划》的安排，组织、准备公司 ITSS 运维服务能力管理体系的管理评审工作。详见《管理评审</w:t>
      </w:r>
      <w:r>
        <w:rPr>
          <w:rFonts w:hint="eastAsia"/>
          <w:lang w:val="en-US" w:eastAsia="zh-CN"/>
        </w:rPr>
        <w:t>管理制度</w:t>
      </w:r>
      <w:r>
        <w:t>》。</w:t>
      </w:r>
    </w:p>
    <w:p w14:paraId="2707B930">
      <w:pPr>
        <w:pStyle w:val="30"/>
        <w:bidi w:val="0"/>
      </w:pPr>
      <w:bookmarkStart w:id="13" w:name="_Toc21390"/>
      <w:r>
        <w:t>持续改进</w:t>
      </w:r>
      <w:bookmarkEnd w:id="13"/>
    </w:p>
    <w:p w14:paraId="4C62D576">
      <w:pPr>
        <w:pStyle w:val="29"/>
        <w:bidi w:val="0"/>
      </w:pPr>
      <w:r>
        <w:t>按照</w:t>
      </w:r>
      <w:r>
        <w:rPr>
          <w:rFonts w:hint="eastAsia"/>
        </w:rPr>
        <w:t>“</w:t>
      </w:r>
      <w:r>
        <w:t>优质、专业、及时、热忱</w:t>
      </w:r>
      <w:r>
        <w:rPr>
          <w:rFonts w:hint="eastAsia"/>
        </w:rPr>
        <w:t>”</w:t>
      </w:r>
      <w:r>
        <w:t>总体服务方针的指导，运用PDCA的管理方法，综合评估质量、人员、能力、成本、生产率、资源利用和风险降低等因素，针对内部审核和管理评审中发现的问题，制定年度服务改进计划，促进运维服务水平的持续提高。</w:t>
      </w:r>
    </w:p>
    <w:p w14:paraId="18607E1F">
      <w:pPr>
        <w:pStyle w:val="29"/>
        <w:bidi w:val="0"/>
      </w:pPr>
      <w:r>
        <w:t>服务参与人员应意识到总是存在改进服务交付效率和有效性的潜在需要，服务质量改进方针是不断在各个流程执行过程中持续改进。</w:t>
      </w:r>
    </w:p>
    <w:p w14:paraId="2FA7EAD5">
      <w:pPr>
        <w:pStyle w:val="29"/>
        <w:bidi w:val="0"/>
      </w:pPr>
      <w:r>
        <w:t>在公司 ITSS 运维服务能力管理体系运行的过程中，运维部负责收集 ITSS 运维服务能力管理体系运行的信息，组织相关部门对出现的服务质量问题进行分析，按照《纠正和预防措施控制程序》中的规定予以解决，并组织相关部门进行验证。</w:t>
      </w:r>
    </w:p>
    <w:p w14:paraId="3D04FF6D">
      <w:pPr>
        <w:pStyle w:val="29"/>
        <w:bidi w:val="0"/>
        <w:rPr>
          <w:rFonts w:hint="eastAsia"/>
        </w:rPr>
      </w:pPr>
      <w:r>
        <w:rPr>
          <w:rFonts w:hint="eastAsia"/>
        </w:rPr>
        <w:t>客户部门负责与客户积极沟通，收集公司服务运维活动中 SLA 的运行信息、客户满意度数据以及客户不断更新的需求，提出新的或变更的服务需求，以及改进的要求。</w:t>
      </w:r>
    </w:p>
    <w:p w14:paraId="1E5B4A90">
      <w:pPr>
        <w:pStyle w:val="29"/>
        <w:bidi w:val="0"/>
        <w:rPr>
          <w:rFonts w:hint="eastAsia"/>
        </w:rPr>
      </w:pPr>
      <w:r>
        <w:rPr>
          <w:rFonts w:hint="eastAsia"/>
        </w:rPr>
        <w:t>运维部按SLA</w:t>
      </w:r>
      <w:bookmarkStart w:id="20" w:name="_GoBack"/>
      <w:bookmarkEnd w:id="20"/>
      <w:r>
        <w:rPr>
          <w:rFonts w:hint="eastAsia"/>
        </w:rPr>
        <w:t>的要求，负责维护、改进和实施网络运维服务的策划、运行、验证工作，管理变更活动。</w:t>
      </w:r>
    </w:p>
    <w:p w14:paraId="2AD081BE">
      <w:pPr>
        <w:pStyle w:val="29"/>
        <w:bidi w:val="0"/>
        <w:rPr>
          <w:rFonts w:hint="eastAsia"/>
        </w:rPr>
      </w:pPr>
      <w:r>
        <w:rPr>
          <w:rFonts w:hint="eastAsia"/>
        </w:rPr>
        <w:t>运维部按相关流程进行持续改进：</w:t>
      </w:r>
    </w:p>
    <w:p w14:paraId="204C03DE">
      <w:pPr>
        <w:numPr>
          <w:ilvl w:val="0"/>
          <w:numId w:val="3"/>
        </w:numPr>
        <w:spacing w:before="158"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过程框架设计管理评审。</w:t>
      </w:r>
    </w:p>
    <w:p w14:paraId="2D079AB6">
      <w:pPr>
        <w:numPr>
          <w:ilvl w:val="0"/>
          <w:numId w:val="3"/>
        </w:numPr>
        <w:spacing w:before="175"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服务级别管理评审。</w:t>
      </w:r>
    </w:p>
    <w:p w14:paraId="0F30F6E7">
      <w:pPr>
        <w:numPr>
          <w:ilvl w:val="0"/>
          <w:numId w:val="3"/>
        </w:numPr>
        <w:spacing w:before="175"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w:t>
      </w:r>
      <w:r>
        <w:rPr>
          <w:rFonts w:hint="eastAsia" w:ascii="宋体" w:hAnsi="宋体" w:cs="宋体"/>
          <w:spacing w:val="-2"/>
          <w:sz w:val="24"/>
          <w:szCs w:val="24"/>
          <w:lang w:val="en-US" w:eastAsia="zh-CN"/>
        </w:rPr>
        <w:t>报告</w:t>
      </w:r>
      <w:r>
        <w:rPr>
          <w:rFonts w:ascii="宋体" w:hAnsi="宋体" w:eastAsia="宋体" w:cs="宋体"/>
          <w:spacing w:val="-2"/>
          <w:sz w:val="24"/>
          <w:szCs w:val="24"/>
        </w:rPr>
        <w:t>管理评审。</w:t>
      </w:r>
    </w:p>
    <w:p w14:paraId="6236216F">
      <w:pPr>
        <w:numPr>
          <w:ilvl w:val="0"/>
          <w:numId w:val="3"/>
        </w:numPr>
        <w:spacing w:before="158" w:line="239" w:lineRule="auto"/>
        <w:ind w:left="425" w:leftChars="0" w:hanging="425" w:firstLineChars="0"/>
        <w:rPr>
          <w:rFonts w:ascii="宋体" w:hAnsi="宋体" w:eastAsia="宋体" w:cs="宋体"/>
          <w:sz w:val="24"/>
          <w:szCs w:val="24"/>
        </w:rPr>
      </w:pPr>
      <w:r>
        <w:rPr>
          <w:rFonts w:hint="eastAsia" w:ascii="宋体" w:hAnsi="宋体" w:cs="宋体"/>
          <w:spacing w:val="-8"/>
          <w:sz w:val="24"/>
          <w:szCs w:val="24"/>
          <w:lang w:val="en-US" w:eastAsia="zh-CN"/>
        </w:rPr>
        <w:t>事件</w:t>
      </w:r>
      <w:r>
        <w:rPr>
          <w:rFonts w:ascii="宋体" w:hAnsi="宋体" w:eastAsia="宋体" w:cs="宋体"/>
          <w:spacing w:val="-8"/>
          <w:sz w:val="24"/>
          <w:szCs w:val="24"/>
        </w:rPr>
        <w:t>管理评审。</w:t>
      </w:r>
    </w:p>
    <w:p w14:paraId="27619337">
      <w:pPr>
        <w:numPr>
          <w:ilvl w:val="0"/>
          <w:numId w:val="3"/>
        </w:numPr>
        <w:spacing w:before="158" w:line="239" w:lineRule="auto"/>
        <w:ind w:left="425" w:leftChars="0" w:hanging="425" w:firstLineChars="0"/>
        <w:rPr>
          <w:rFonts w:ascii="宋体" w:hAnsi="宋体" w:eastAsia="宋体" w:cs="宋体"/>
          <w:sz w:val="24"/>
          <w:szCs w:val="24"/>
        </w:rPr>
      </w:pPr>
      <w:r>
        <w:rPr>
          <w:rFonts w:ascii="宋体" w:hAnsi="宋体" w:eastAsia="宋体" w:cs="宋体"/>
          <w:spacing w:val="-8"/>
          <w:sz w:val="24"/>
          <w:szCs w:val="24"/>
        </w:rPr>
        <w:t>问题管理评审。</w:t>
      </w:r>
    </w:p>
    <w:p w14:paraId="2D73366F">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变更管理评审。</w:t>
      </w:r>
    </w:p>
    <w:p w14:paraId="5C3234DE">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发布管理评审。</w:t>
      </w:r>
    </w:p>
    <w:p w14:paraId="7E5BBC75">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配置管理评审</w:t>
      </w:r>
    </w:p>
    <w:p w14:paraId="0C08DD31">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服务连续性和可用性管理评审。</w:t>
      </w:r>
    </w:p>
    <w:p w14:paraId="639FE19F">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系统容量管理评审。</w:t>
      </w:r>
    </w:p>
    <w:p w14:paraId="14E51388">
      <w:pPr>
        <w:numPr>
          <w:ilvl w:val="0"/>
          <w:numId w:val="3"/>
        </w:numPr>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信息安全管理控制措施评审。</w:t>
      </w:r>
    </w:p>
    <w:p w14:paraId="3B556BEF">
      <w:pPr>
        <w:spacing w:before="166" w:line="361" w:lineRule="auto"/>
        <w:ind w:left="9" w:firstLine="483"/>
        <w:jc w:val="both"/>
        <w:rPr>
          <w:rFonts w:ascii="宋体" w:hAnsi="宋体" w:eastAsia="宋体" w:cs="宋体"/>
          <w:sz w:val="24"/>
          <w:szCs w:val="24"/>
        </w:rPr>
      </w:pPr>
      <w:r>
        <w:rPr>
          <w:rFonts w:hint="eastAsia" w:ascii="宋体" w:hAnsi="宋体" w:eastAsia="宋体" w:cs="宋体"/>
          <w:spacing w:val="-3"/>
          <w:sz w:val="24"/>
          <w:szCs w:val="24"/>
          <w:lang w:eastAsia="zh-CN"/>
        </w:rPr>
        <w:t>质量部</w:t>
      </w:r>
      <w:r>
        <w:rPr>
          <w:rFonts w:ascii="宋体" w:hAnsi="宋体" w:eastAsia="宋体" w:cs="宋体"/>
          <w:spacing w:val="-3"/>
          <w:sz w:val="24"/>
          <w:szCs w:val="24"/>
        </w:rPr>
        <w:t>将已经采纳的和将要采纳的纠正预防措施，在每</w:t>
      </w:r>
      <w:r>
        <w:rPr>
          <w:rFonts w:ascii="宋体" w:hAnsi="宋体" w:eastAsia="宋体" w:cs="宋体"/>
          <w:spacing w:val="-4"/>
          <w:sz w:val="24"/>
          <w:szCs w:val="24"/>
        </w:rPr>
        <w:t>月编制的《服务报告》中进</w:t>
      </w:r>
      <w:r>
        <w:rPr>
          <w:rFonts w:ascii="宋体" w:hAnsi="宋体" w:eastAsia="宋体" w:cs="宋体"/>
          <w:spacing w:val="-3"/>
          <w:sz w:val="24"/>
          <w:szCs w:val="24"/>
        </w:rPr>
        <w:t>行说明。并负责监控服务活动，收集、汇总、统计、报告服务信息，监控服务运行</w:t>
      </w:r>
      <w:r>
        <w:rPr>
          <w:rFonts w:ascii="宋体" w:hAnsi="宋体" w:eastAsia="宋体" w:cs="宋体"/>
          <w:spacing w:val="-4"/>
          <w:sz w:val="24"/>
          <w:szCs w:val="24"/>
        </w:rPr>
        <w:t>问题</w:t>
      </w:r>
      <w:r>
        <w:rPr>
          <w:rFonts w:ascii="宋体" w:hAnsi="宋体" w:eastAsia="宋体" w:cs="宋体"/>
          <w:spacing w:val="-7"/>
          <w:sz w:val="24"/>
          <w:szCs w:val="24"/>
        </w:rPr>
        <w:t>的处理，制订改进方案并监控实施，组织每月的运行维护分析会，并审核《服务报告》。</w:t>
      </w:r>
      <w:r>
        <w:rPr>
          <w:rFonts w:ascii="宋体" w:hAnsi="宋体" w:eastAsia="宋体" w:cs="宋体"/>
          <w:spacing w:val="-1"/>
          <w:sz w:val="24"/>
          <w:szCs w:val="24"/>
        </w:rPr>
        <w:t>所有的改进措施均应形成文件，并作为管理评审的输入。</w:t>
      </w:r>
    </w:p>
    <w:p w14:paraId="014C4474">
      <w:pPr>
        <w:rPr>
          <w:rStyle w:val="38"/>
          <w:rFonts w:hint="default" w:eastAsia="宋体"/>
          <w:lang w:val="en-US" w:eastAsia="zh-CN"/>
        </w:rPr>
      </w:pPr>
      <w:bookmarkStart w:id="14" w:name="bookmark3"/>
      <w:bookmarkEnd w:id="14"/>
      <w:bookmarkStart w:id="15" w:name="_Toc17424"/>
      <w:bookmarkStart w:id="16" w:name="_Toc20646"/>
      <w:r>
        <w:rPr>
          <w:rStyle w:val="38"/>
          <w:rFonts w:hint="eastAsia" w:eastAsia="宋体"/>
          <w:lang w:val="en-US" w:eastAsia="zh-CN"/>
        </w:rPr>
        <w:br w:type="page"/>
      </w:r>
    </w:p>
    <w:p w14:paraId="3733D3EF">
      <w:pPr>
        <w:pStyle w:val="28"/>
        <w:bidi w:val="0"/>
        <w:rPr>
          <w:rStyle w:val="38"/>
          <w:rFonts w:hint="default" w:eastAsia="宋体"/>
          <w:lang w:val="en-US" w:eastAsia="zh-CN"/>
        </w:rPr>
      </w:pPr>
      <w:r>
        <w:rPr>
          <w:rStyle w:val="38"/>
          <w:rFonts w:hint="eastAsia" w:eastAsia="宋体"/>
          <w:lang w:val="en-US" w:eastAsia="zh-CN"/>
        </w:rPr>
        <w:t>附则</w:t>
      </w:r>
      <w:bookmarkEnd w:id="15"/>
      <w:bookmarkEnd w:id="16"/>
    </w:p>
    <w:p w14:paraId="1CF055EF">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1478C82A">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B19FED8">
      <w:pPr>
        <w:pStyle w:val="28"/>
        <w:bidi w:val="0"/>
        <w:rPr>
          <w:rFonts w:hint="default"/>
          <w:lang w:val="en-US" w:eastAsia="zh-CN"/>
        </w:rPr>
      </w:pPr>
      <w:bookmarkStart w:id="17" w:name="bookmark14"/>
      <w:bookmarkEnd w:id="17"/>
      <w:bookmarkStart w:id="18" w:name="_Toc3415"/>
      <w:r>
        <w:rPr>
          <w:rFonts w:hint="eastAsia"/>
          <w:lang w:val="en-US" w:eastAsia="zh-CN"/>
        </w:rPr>
        <w:t>附件</w:t>
      </w:r>
      <w:bookmarkEnd w:id="18"/>
    </w:p>
    <w:p w14:paraId="0FE7DC82">
      <w:pPr>
        <w:pStyle w:val="29"/>
        <w:rPr>
          <w:rFonts w:hint="default"/>
          <w:lang w:val="en-US" w:eastAsia="zh-CN"/>
        </w:rPr>
      </w:pPr>
      <w:r>
        <w:rPr>
          <w:rFonts w:hint="eastAsia"/>
          <w:lang w:val="en-US" w:eastAsia="zh-CN"/>
        </w:rPr>
        <w:t>无</w:t>
      </w:r>
    </w:p>
    <w:p w14:paraId="714A0078">
      <w:pPr>
        <w:pStyle w:val="28"/>
        <w:bidi w:val="0"/>
        <w:rPr>
          <w:rFonts w:hint="eastAsia"/>
          <w:lang w:val="en-US" w:eastAsia="zh-CN"/>
        </w:rPr>
      </w:pPr>
      <w:bookmarkStart w:id="19" w:name="_Toc23750"/>
      <w:r>
        <w:rPr>
          <w:rFonts w:hint="eastAsia"/>
          <w:lang w:val="en-US" w:eastAsia="zh-CN"/>
        </w:rPr>
        <w:t>记录</w:t>
      </w:r>
      <w:bookmarkEnd w:id="19"/>
    </w:p>
    <w:p w14:paraId="209100E4">
      <w:pPr>
        <w:spacing w:before="231" w:line="219" w:lineRule="auto"/>
        <w:ind w:left="250"/>
        <w:rPr>
          <w:rFonts w:hint="eastAsia" w:ascii="宋体" w:hAnsi="宋体" w:eastAsia="宋体" w:cs="宋体"/>
          <w:sz w:val="24"/>
          <w:szCs w:val="24"/>
          <w:lang w:val="en-US" w:eastAsia="zh-CN"/>
        </w:rPr>
      </w:pPr>
      <w:r>
        <w:rPr>
          <w:rFonts w:ascii="宋体" w:hAnsi="宋体" w:eastAsia="宋体" w:cs="宋体"/>
          <w:spacing w:val="-2"/>
          <w:sz w:val="24"/>
          <w:szCs w:val="24"/>
        </w:rPr>
        <w:t>《服务改进计划》</w:t>
      </w:r>
    </w:p>
    <w:sectPr>
      <w:headerReference r:id="rId5" w:type="default"/>
      <w:footerReference r:id="rId6"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3F56A">
    <w:pPr>
      <w:spacing w:line="218" w:lineRule="auto"/>
      <w:ind w:left="7097"/>
      <w:rPr>
        <w:rFonts w:ascii="宋体" w:hAnsi="宋体" w:eastAsia="宋体" w:cs="宋体"/>
        <w:sz w:val="20"/>
        <w:szCs w:val="20"/>
      </w:rPr>
    </w:pPr>
    <w:r>
      <w:rPr>
        <w:rFonts w:ascii="宋体" w:hAnsi="宋体" w:eastAsia="宋体" w:cs="宋体"/>
        <w:spacing w:val="-3"/>
        <w:sz w:val="20"/>
        <w:szCs w:val="20"/>
      </w:rPr>
      <w:t>第</w:t>
    </w:r>
    <w:r>
      <w:rPr>
        <w:rFonts w:ascii="宋体" w:hAnsi="宋体" w:eastAsia="宋体" w:cs="宋体"/>
        <w:spacing w:val="18"/>
        <w:sz w:val="20"/>
        <w:szCs w:val="20"/>
      </w:rPr>
      <w:t xml:space="preserve"> </w:t>
    </w:r>
    <w:r>
      <w:rPr>
        <w:rFonts w:ascii="宋体" w:hAnsi="宋体" w:eastAsia="宋体" w:cs="宋体"/>
        <w:spacing w:val="-3"/>
        <w:sz w:val="20"/>
        <w:szCs w:val="20"/>
      </w:rPr>
      <w:t>5</w:t>
    </w:r>
    <w:r>
      <w:rPr>
        <w:rFonts w:ascii="宋体" w:hAnsi="宋体" w:eastAsia="宋体" w:cs="宋体"/>
        <w:spacing w:val="20"/>
        <w:sz w:val="20"/>
        <w:szCs w:val="20"/>
      </w:rPr>
      <w:t xml:space="preserve"> </w:t>
    </w:r>
    <w:r>
      <w:rPr>
        <w:rFonts w:ascii="宋体" w:hAnsi="宋体" w:eastAsia="宋体" w:cs="宋体"/>
        <w:spacing w:val="-3"/>
        <w:sz w:val="20"/>
        <w:szCs w:val="2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F2974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94A39A6"/>
    <w:multiLevelType w:val="singleLevel"/>
    <w:tmpl w:val="E94A39A6"/>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284FE7C3"/>
    <w:multiLevelType w:val="singleLevel"/>
    <w:tmpl w:val="284FE7C3"/>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3E77C3"/>
    <w:rsid w:val="0FC86314"/>
    <w:rsid w:val="0FD52407"/>
    <w:rsid w:val="1A644AB4"/>
    <w:rsid w:val="21B04A82"/>
    <w:rsid w:val="31264419"/>
    <w:rsid w:val="31DD71CE"/>
    <w:rsid w:val="34563267"/>
    <w:rsid w:val="3927587C"/>
    <w:rsid w:val="39861EF9"/>
    <w:rsid w:val="3BBA6E0C"/>
    <w:rsid w:val="3DF02037"/>
    <w:rsid w:val="3E29266E"/>
    <w:rsid w:val="41B44BC4"/>
    <w:rsid w:val="42905B96"/>
    <w:rsid w:val="45FB3C6E"/>
    <w:rsid w:val="48396CD0"/>
    <w:rsid w:val="55C53951"/>
    <w:rsid w:val="55DB7123"/>
    <w:rsid w:val="56426B33"/>
    <w:rsid w:val="5B2614A0"/>
    <w:rsid w:val="5E2C27BF"/>
    <w:rsid w:val="63C67212"/>
    <w:rsid w:val="659F7D1B"/>
    <w:rsid w:val="681F3395"/>
    <w:rsid w:val="68394C10"/>
    <w:rsid w:val="6A6E4160"/>
    <w:rsid w:val="6BB90154"/>
    <w:rsid w:val="7162370E"/>
    <w:rsid w:val="767D5E56"/>
    <w:rsid w:val="770C0F88"/>
    <w:rsid w:val="789A5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1574</Words>
  <Characters>1685</Characters>
  <Lines>0</Lines>
  <Paragraphs>0</Paragraphs>
  <TotalTime>0</TotalTime>
  <ScaleCrop>false</ScaleCrop>
  <LinksUpToDate>false</LinksUpToDate>
  <CharactersWithSpaces>1758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2025-09-15T07:31:46Z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