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67310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7FCDB06C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76DAB29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2025年1月4日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</w:rPr>
              <w:t>万洲奇智(青岛)信息科技有限公司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bookmarkStart w:id="21" w:name="_GoBack" w:colFirst="3" w:colLast="4"/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center"/>
          </w:tcPr>
          <w:p w14:paraId="30DF14CB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毛彦超</w:t>
            </w:r>
          </w:p>
        </w:tc>
        <w:tc>
          <w:tcPr>
            <w:tcW w:w="1953" w:type="dxa"/>
            <w:vAlign w:val="center"/>
          </w:tcPr>
          <w:p w14:paraId="7169F9B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郭万洲</w:t>
            </w:r>
          </w:p>
        </w:tc>
      </w:tr>
      <w:bookmarkEnd w:id="21"/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194A10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ascii="宋体" w:hAnsi="宋体" w:eastAsia="宋体" w:cs="宋体"/>
          <w:sz w:val="30"/>
          <w:szCs w:val="30"/>
        </w:rPr>
        <w:id w:val="14745298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11643745">
          <w:pPr>
            <w:spacing w:before="97" w:line="222" w:lineRule="auto"/>
            <w:ind w:left="4012"/>
            <w:rPr>
              <w:rFonts w:ascii="宋体" w:hAnsi="宋体" w:eastAsia="宋体" w:cs="宋体"/>
              <w:sz w:val="30"/>
              <w:szCs w:val="30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1"/>
              <w:sz w:val="30"/>
              <w:szCs w:val="30"/>
            </w:rPr>
            <w:t>目录</w:t>
          </w:r>
        </w:p>
        <w:p w14:paraId="70163CA3">
          <w:pPr>
            <w:tabs>
              <w:tab w:val="right" w:leader="dot" w:pos="8495"/>
            </w:tabs>
            <w:spacing w:before="158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93A5814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8262646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822A2A1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80BDE13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0FA5CD99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</w:p>
        <w:p w14:paraId="23B551B6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6.1.</w:t>
          </w:r>
          <w:r>
            <w:rPr>
              <w:rFonts w:ascii="宋体" w:hAnsi="宋体" w:eastAsia="宋体" w:cs="宋体"/>
              <w:spacing w:val="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</w:p>
        <w:p w14:paraId="40917CC9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7.</w:t>
          </w:r>
          <w:r>
            <w:rPr>
              <w:rFonts w:ascii="宋体" w:hAnsi="宋体" w:eastAsia="宋体" w:cs="宋体"/>
              <w:spacing w:val="4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内部信息沟通管理部门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5E8A704D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内部信息沟通工作要求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031C184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8.1. 文书类信息沟通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79BC98C4">
          <w:pPr>
            <w:tabs>
              <w:tab w:val="right" w:leader="dot" w:pos="8495"/>
            </w:tabs>
            <w:spacing w:before="72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8.2. 会议沟通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4EA3AA18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8.3.</w:t>
          </w:r>
          <w:r>
            <w:rPr>
              <w:rFonts w:ascii="宋体" w:hAnsi="宋体" w:eastAsia="宋体" w:cs="宋体"/>
              <w:spacing w:val="2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网络信息沟通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4C89C14F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8.4. 其它类沟通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187B3D2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8.5. 越级沟通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26839DF7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8.6. 制度的监督执行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4</w:t>
          </w:r>
        </w:p>
        <w:p w14:paraId="17C2C05B">
          <w:pPr>
            <w:tabs>
              <w:tab w:val="right" w:leader="dot" w:pos="8495"/>
            </w:tabs>
            <w:spacing w:before="72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9. 对外沟通</w:t>
          </w:r>
          <w:r>
            <w:rPr>
              <w:rFonts w:ascii="宋体" w:hAnsi="宋体" w:eastAsia="宋体" w:cs="宋体"/>
              <w:spacing w:val="-5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  <w:p w14:paraId="53EC2EAF">
          <w:pPr>
            <w:tabs>
              <w:tab w:val="right" w:leader="dot" w:pos="8495"/>
            </w:tabs>
            <w:spacing w:before="71" w:line="219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10.附</w:t>
          </w:r>
          <w:r>
            <w:rPr>
              <w:rFonts w:ascii="宋体" w:hAnsi="宋体" w:eastAsia="宋体" w:cs="宋体"/>
              <w:spacing w:val="8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</w:sdtContent>
    </w:sdt>
    <w:p w14:paraId="018D352C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1" w:name="bookmark2"/>
      <w:bookmarkEnd w:id="1"/>
      <w:r>
        <w:t>目的</w:t>
      </w:r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2" w:name="bookmark3"/>
      <w:bookmarkEnd w:id="2"/>
      <w:r>
        <w:t>适用范围</w:t>
      </w:r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万洲奇智(青岛)信息科技有限公司</w:t>
      </w:r>
      <w:r>
        <w:rPr>
          <w:rFonts w:ascii="宋体" w:hAnsi="宋体" w:eastAsia="宋体" w:cs="宋体"/>
          <w:spacing w:val="-1"/>
          <w:sz w:val="24"/>
          <w:szCs w:val="24"/>
        </w:rPr>
        <w:t>（以下简称“公司 ”）</w:t>
      </w:r>
    </w:p>
    <w:p w14:paraId="1CAA3D54">
      <w:pPr>
        <w:pStyle w:val="20"/>
        <w:bidi w:val="0"/>
      </w:pPr>
      <w:bookmarkStart w:id="3" w:name="bookmark4"/>
      <w:bookmarkEnd w:id="3"/>
      <w:r>
        <w:t>引用文件</w:t>
      </w:r>
    </w:p>
    <w:p w14:paraId="48966172">
      <w:pPr>
        <w:numPr>
          <w:ilvl w:val="0"/>
          <w:numId w:val="2"/>
        </w:num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7D421BB3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spacing w:before="210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4" w:name="bookmark5"/>
      <w:bookmarkEnd w:id="4"/>
      <w:r>
        <w:t>术语与定义</w:t>
      </w:r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5" w:name="bookmark6"/>
      <w:bookmarkEnd w:id="5"/>
      <w:r>
        <w:t>角色与职责</w:t>
      </w:r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6" w:name="bookmark8"/>
      <w:bookmarkEnd w:id="6"/>
      <w:bookmarkStart w:id="7" w:name="bookmark7"/>
      <w:bookmarkEnd w:id="7"/>
      <w:r>
        <w:t>内部信息沟通类别</w:t>
      </w:r>
    </w:p>
    <w:p w14:paraId="70F75F04">
      <w:pPr>
        <w:spacing w:before="215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6.1.</w:t>
      </w:r>
      <w:r>
        <w:rPr>
          <w:rFonts w:ascii="宋体" w:hAnsi="宋体" w:eastAsia="宋体" w:cs="宋体"/>
          <w:spacing w:val="9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内部信息沟通类别</w:t>
      </w:r>
    </w:p>
    <w:p w14:paraId="702D6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2.非正式沟通：户外拓展运动、节日庆典活动；</w:t>
      </w:r>
    </w:p>
    <w:p w14:paraId="5DEE60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5.网络沟通主要包括：企业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6.其它类沟通：培训、面谈、调查、意见箱等；</w:t>
      </w:r>
    </w:p>
    <w:p w14:paraId="23731DED">
      <w:pPr>
        <w:pStyle w:val="20"/>
        <w:bidi w:val="0"/>
      </w:pPr>
      <w:bookmarkStart w:id="9" w:name="bookmark9"/>
      <w:bookmarkEnd w:id="9"/>
      <w:r>
        <w:t>内部信息沟通管理部门</w:t>
      </w:r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z w:val="24"/>
          <w:szCs w:val="24"/>
        </w:rPr>
        <w:t>负责公司内部信息沟通制度的建立和</w:t>
      </w:r>
      <w:r>
        <w:rPr>
          <w:rFonts w:ascii="宋体" w:hAnsi="宋体" w:eastAsia="宋体" w:cs="宋体"/>
          <w:spacing w:val="-1"/>
          <w:sz w:val="24"/>
          <w:szCs w:val="24"/>
        </w:rPr>
        <w:t>协调管理，各职能部门负责</w:t>
      </w:r>
      <w:r>
        <w:rPr>
          <w:rFonts w:ascii="宋体" w:hAnsi="宋体" w:eastAsia="宋体" w:cs="宋体"/>
          <w:spacing w:val="-3"/>
          <w:sz w:val="24"/>
          <w:szCs w:val="24"/>
        </w:rPr>
        <w:t>本部门与所属业务对接信息沟通工作。</w:t>
      </w:r>
    </w:p>
    <w:p w14:paraId="659AB07D">
      <w:pPr>
        <w:pStyle w:val="20"/>
        <w:bidi w:val="0"/>
      </w:pPr>
      <w:bookmarkStart w:id="10" w:name="bookmark10"/>
      <w:bookmarkEnd w:id="10"/>
      <w:r>
        <w:t>内部信息沟通工作要求</w:t>
      </w:r>
    </w:p>
    <w:p w14:paraId="5DF22858">
      <w:pPr>
        <w:spacing w:before="196" w:line="219" w:lineRule="auto"/>
        <w:ind w:left="29"/>
        <w:outlineLvl w:val="1"/>
        <w:rPr>
          <w:rFonts w:ascii="宋体" w:hAnsi="宋体" w:eastAsia="宋体" w:cs="宋体"/>
          <w:sz w:val="36"/>
          <w:szCs w:val="36"/>
        </w:rPr>
      </w:pPr>
      <w:bookmarkStart w:id="11" w:name="bookmark11"/>
      <w:bookmarkEnd w:id="11"/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8.1.</w:t>
      </w:r>
      <w:r>
        <w:rPr>
          <w:rFonts w:ascii="宋体" w:hAnsi="宋体" w:eastAsia="宋体" w:cs="宋体"/>
          <w:spacing w:val="-39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文书类信息沟通</w:t>
      </w:r>
    </w:p>
    <w:p w14:paraId="72CA96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1.文件沟通：对于公司下发的各类文件，各部门必须认真学习，贯彻文件精神，以确保文件内容沟通、执行到位；</w:t>
      </w:r>
    </w:p>
    <w:p w14:paraId="1DA5B03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3.简报：各部门、各项目用于汇总专项或综合工作信息而制作的书面材料。由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每月制作各项目完成工程量、完成产值等内容。</w:t>
      </w:r>
    </w:p>
    <w:p w14:paraId="40683EC1">
      <w:pPr>
        <w:spacing w:before="231" w:line="219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2" w:name="bookmark12"/>
      <w:bookmarkEnd w:id="12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8.2.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会议沟通</w:t>
      </w:r>
    </w:p>
    <w:p w14:paraId="252ADB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3.其它会议需沟通的信息由主办部门主持人向总经理进行口头汇报会。</w:t>
      </w:r>
    </w:p>
    <w:p w14:paraId="52C756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4.会议沟通讲究会议效率，开会要有结果，不能议而不决，会后要抓好执行、跟踪、检查、评估、反馈等环节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。</w:t>
      </w:r>
    </w:p>
    <w:p w14:paraId="46818D80">
      <w:pP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br w:type="page"/>
      </w:r>
    </w:p>
    <w:p w14:paraId="3745EC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</w:p>
    <w:p w14:paraId="7CD72890">
      <w:pPr>
        <w:spacing w:before="233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3" w:name="bookmark13"/>
      <w:bookmarkEnd w:id="13"/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8.3.</w:t>
      </w:r>
      <w:r>
        <w:rPr>
          <w:rFonts w:ascii="宋体" w:hAnsi="宋体" w:eastAsia="宋体" w:cs="宋体"/>
          <w:spacing w:val="130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网络信息沟通</w:t>
      </w:r>
    </w:p>
    <w:p w14:paraId="03D1E8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2.质量管理专员每周五将邮件中需要进行回复的问题进行汇总，分发各职能部门负责人对提出的问题进行解答，由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4.各部门按照公司信息报送制度的要求，积极按时上报信息，网络工程师应及时刷新企业最新动态。</w:t>
      </w:r>
    </w:p>
    <w:p w14:paraId="01E1D8EB">
      <w:pPr>
        <w:spacing w:before="230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4" w:name="bookmark1"/>
      <w:bookmarkEnd w:id="14"/>
      <w:bookmarkStart w:id="15" w:name="bookmark14"/>
      <w:bookmarkEnd w:id="15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8.4.</w:t>
      </w:r>
      <w:r>
        <w:rPr>
          <w:rFonts w:ascii="宋体" w:hAnsi="宋体" w:eastAsia="宋体" w:cs="宋体"/>
          <w:spacing w:val="104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其它类沟通</w:t>
      </w:r>
    </w:p>
    <w:p w14:paraId="5FAA78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3.调查： 在各项与员工相关的管理制度下发之前，要充分沟通，了解员</w:t>
      </w:r>
    </w:p>
    <w:p w14:paraId="074B1B4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</w:t>
      </w:r>
    </w:p>
    <w:p w14:paraId="72E7CA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公告栏等方式及时、准确地向全体员工传达。</w:t>
      </w:r>
    </w:p>
    <w:p w14:paraId="1FEDA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4.意见箱：由质量管理专员每周五进行开箱收信，要高度重视，按电子邮件类型进行办理。</w:t>
      </w:r>
    </w:p>
    <w:p w14:paraId="3AC1EAB3">
      <w:pPr>
        <w:spacing w:before="23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6" w:name="bookmark15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8.5.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越级沟通</w:t>
      </w:r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对于正常的工作，各级工作人员要养成一种逐级上报的习惯。 但当工作中出现如下情况时，可以进行越级沟通：</w:t>
      </w:r>
    </w:p>
    <w:p w14:paraId="2DB978B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1、下级对上级汇报的工作内容，提出的意见和建议，多次得不到答复；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2、下级对上级的管理方式产生意见，需要投诉时；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3、下级发现上级的违规行为时；</w:t>
      </w:r>
    </w:p>
    <w:p w14:paraId="69604BFC">
      <w:pPr>
        <w:spacing w:before="17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8" w:name="bookmark16"/>
      <w:bookmarkEnd w:id="18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8.6.</w:t>
      </w:r>
      <w:r>
        <w:rPr>
          <w:rFonts w:ascii="宋体" w:hAnsi="宋体" w:eastAsia="宋体" w:cs="宋体"/>
          <w:spacing w:val="109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制度的监督执行</w:t>
      </w:r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19" w:name="bookmark17"/>
      <w:bookmarkEnd w:id="19"/>
      <w:r>
        <w:t>对外沟通</w:t>
      </w:r>
    </w:p>
    <w:p w14:paraId="331BA3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5.运维服务部应定期调查客户对本公司产品/服务的状况，以了解客户的满意度或意见，参照客户满意监视和测量控制程序执行。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6.客户抱怨的信息亦应适时宣导使员工知悉，以作为鼓励或激励的依据</w:t>
      </w:r>
    </w:p>
    <w:p w14:paraId="78EEC6E9">
      <w:pPr>
        <w:pStyle w:val="20"/>
        <w:bidi w:val="0"/>
      </w:pPr>
      <w:bookmarkStart w:id="20" w:name="bookmark18"/>
      <w:bookmarkEnd w:id="20"/>
      <w:r>
        <w:t>附  则</w:t>
      </w:r>
    </w:p>
    <w:p w14:paraId="0203B667">
      <w:pPr>
        <w:spacing w:before="178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1.公司内部沟通管理工作由公司的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实施</w:t>
      </w:r>
      <w:r>
        <w:rPr>
          <w:rFonts w:ascii="宋体" w:hAnsi="宋体" w:eastAsia="宋体" w:cs="宋体"/>
          <w:spacing w:val="-4"/>
          <w:sz w:val="24"/>
          <w:szCs w:val="24"/>
        </w:rPr>
        <w:t>管理。</w:t>
      </w:r>
    </w:p>
    <w:p w14:paraId="040F3BD6">
      <w:pPr>
        <w:spacing w:before="182" w:line="219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2.本制度未尽事宜按国家法律、法规、规范性文件和本公司章程规定执行。</w:t>
      </w:r>
    </w:p>
    <w:p w14:paraId="20861CBA">
      <w:pPr>
        <w:spacing w:before="185" w:line="289" w:lineRule="auto"/>
        <w:ind w:left="471" w:right="380" w:hanging="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3.本制度与国法律、法规、规范性文件和本公司章程规定不一致的，以有关</w:t>
      </w:r>
      <w:r>
        <w:rPr>
          <w:rFonts w:ascii="宋体" w:hAnsi="宋体" w:eastAsia="宋体" w:cs="宋体"/>
          <w:spacing w:val="-3"/>
          <w:sz w:val="24"/>
          <w:szCs w:val="24"/>
        </w:rPr>
        <w:t>国家法律、法规、规范性文件和本公司章程规定为准。</w:t>
      </w:r>
    </w:p>
    <w:p w14:paraId="079F7522">
      <w:pPr>
        <w:spacing w:before="183" w:line="217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4.本制度由公司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拟定,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自公司总经理批准颁布</w:t>
      </w:r>
      <w:r>
        <w:rPr>
          <w:rFonts w:ascii="宋体" w:hAnsi="宋体" w:eastAsia="宋体" w:cs="宋体"/>
          <w:spacing w:val="-4"/>
          <w:sz w:val="24"/>
          <w:szCs w:val="24"/>
        </w:rPr>
        <w:t>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A652F0"/>
    <w:multiLevelType w:val="singleLevel"/>
    <w:tmpl w:val="75A652F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E925F2"/>
    <w:rsid w:val="0A80786B"/>
    <w:rsid w:val="0AA30F3E"/>
    <w:rsid w:val="0EAC3092"/>
    <w:rsid w:val="0F824086"/>
    <w:rsid w:val="0FDA5C70"/>
    <w:rsid w:val="15D05B4B"/>
    <w:rsid w:val="18DC65B5"/>
    <w:rsid w:val="1C7F5BD5"/>
    <w:rsid w:val="202A40A9"/>
    <w:rsid w:val="20BF0C96"/>
    <w:rsid w:val="21A8797C"/>
    <w:rsid w:val="21C87751"/>
    <w:rsid w:val="22714212"/>
    <w:rsid w:val="247B4ED4"/>
    <w:rsid w:val="2E30169A"/>
    <w:rsid w:val="313308E4"/>
    <w:rsid w:val="335F6339"/>
    <w:rsid w:val="341D307C"/>
    <w:rsid w:val="346911EC"/>
    <w:rsid w:val="35AD6EB7"/>
    <w:rsid w:val="3727713D"/>
    <w:rsid w:val="37E62B54"/>
    <w:rsid w:val="38083E7D"/>
    <w:rsid w:val="3828316D"/>
    <w:rsid w:val="39CB2002"/>
    <w:rsid w:val="3AE55B57"/>
    <w:rsid w:val="3FDF3B97"/>
    <w:rsid w:val="41F61BE6"/>
    <w:rsid w:val="42827522"/>
    <w:rsid w:val="43670FED"/>
    <w:rsid w:val="44862580"/>
    <w:rsid w:val="460A5C60"/>
    <w:rsid w:val="47651A3C"/>
    <w:rsid w:val="47855EE6"/>
    <w:rsid w:val="480A63EB"/>
    <w:rsid w:val="48B425AE"/>
    <w:rsid w:val="4A927FF3"/>
    <w:rsid w:val="4BA353E1"/>
    <w:rsid w:val="4CFB6302"/>
    <w:rsid w:val="4EC217CD"/>
    <w:rsid w:val="512D516E"/>
    <w:rsid w:val="536C7F5A"/>
    <w:rsid w:val="53EE716F"/>
    <w:rsid w:val="550003BB"/>
    <w:rsid w:val="55DC05B3"/>
    <w:rsid w:val="5BAC73B5"/>
    <w:rsid w:val="64882719"/>
    <w:rsid w:val="67FC76A6"/>
    <w:rsid w:val="68F22857"/>
    <w:rsid w:val="72827AE5"/>
    <w:rsid w:val="760F284C"/>
    <w:rsid w:val="7631634E"/>
    <w:rsid w:val="772269FE"/>
    <w:rsid w:val="775A7F45"/>
    <w:rsid w:val="7859644F"/>
    <w:rsid w:val="7A825E0D"/>
    <w:rsid w:val="7AC06311"/>
    <w:rsid w:val="7DA401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2400</Words>
  <Characters>2548</Characters>
  <TotalTime>1</TotalTime>
  <ScaleCrop>false</ScaleCrop>
  <LinksUpToDate>false</LinksUpToDate>
  <CharactersWithSpaces>2668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2025-08-23T18:42:36Z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