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E70D2">
      <w:pPr>
        <w:pStyle w:val="11"/>
        <w:spacing w:line="241" w:lineRule="auto"/>
      </w:pPr>
    </w:p>
    <w:p w14:paraId="4318895D">
      <w:pPr>
        <w:pStyle w:val="11"/>
        <w:spacing w:line="242" w:lineRule="auto"/>
      </w:pPr>
    </w:p>
    <w:p w14:paraId="3A407139">
      <w:pPr>
        <w:pStyle w:val="11"/>
        <w:spacing w:line="242" w:lineRule="auto"/>
      </w:pPr>
    </w:p>
    <w:p w14:paraId="18F8791D">
      <w:pPr>
        <w:pStyle w:val="11"/>
        <w:spacing w:line="242" w:lineRule="auto"/>
      </w:pPr>
    </w:p>
    <w:p w14:paraId="1974C4D6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沟通管理制度</w:t>
      </w:r>
    </w:p>
    <w:p w14:paraId="73ADBE31">
      <w:pPr>
        <w:pStyle w:val="11"/>
        <w:spacing w:line="246" w:lineRule="auto"/>
      </w:pPr>
    </w:p>
    <w:p w14:paraId="11B62238">
      <w:pPr>
        <w:pStyle w:val="11"/>
        <w:spacing w:line="246" w:lineRule="auto"/>
      </w:pPr>
    </w:p>
    <w:p w14:paraId="162B0504">
      <w:pPr>
        <w:pStyle w:val="11"/>
        <w:spacing w:line="246" w:lineRule="auto"/>
      </w:pPr>
    </w:p>
    <w:p w14:paraId="29BC7171">
      <w:pPr>
        <w:pStyle w:val="11"/>
        <w:spacing w:line="246" w:lineRule="auto"/>
      </w:pPr>
    </w:p>
    <w:p w14:paraId="56D4399D">
      <w:pPr>
        <w:pStyle w:val="11"/>
        <w:spacing w:line="246" w:lineRule="auto"/>
      </w:pPr>
    </w:p>
    <w:p w14:paraId="683E4F4D">
      <w:pPr>
        <w:pStyle w:val="11"/>
        <w:spacing w:line="246" w:lineRule="auto"/>
      </w:pPr>
    </w:p>
    <w:p w14:paraId="3505BD6D">
      <w:pPr>
        <w:pStyle w:val="11"/>
        <w:spacing w:line="246" w:lineRule="auto"/>
      </w:pPr>
    </w:p>
    <w:p w14:paraId="02D6BA16">
      <w:pPr>
        <w:pStyle w:val="11"/>
        <w:spacing w:line="247" w:lineRule="auto"/>
      </w:pPr>
    </w:p>
    <w:p w14:paraId="3F61C186">
      <w:pPr>
        <w:spacing w:line="1292" w:lineRule="exact"/>
        <w:ind w:firstLine="2001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67310</wp:posOffset>
            </wp:positionV>
            <wp:extent cx="4028440" cy="1285240"/>
            <wp:effectExtent l="0" t="0" r="10160" b="10160"/>
            <wp:wrapSquare wrapText="bothSides"/>
            <wp:docPr id="1" name="图片 1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762ee5761bed248175e83484c3b6f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9A417">
      <w:pPr>
        <w:pStyle w:val="11"/>
        <w:spacing w:line="245" w:lineRule="auto"/>
      </w:pPr>
    </w:p>
    <w:p w14:paraId="418D7122">
      <w:pPr>
        <w:pStyle w:val="11"/>
        <w:spacing w:line="245" w:lineRule="auto"/>
      </w:pPr>
    </w:p>
    <w:p w14:paraId="4BE971BA">
      <w:pPr>
        <w:pStyle w:val="11"/>
        <w:spacing w:line="245" w:lineRule="auto"/>
      </w:pPr>
    </w:p>
    <w:p w14:paraId="04387814">
      <w:pPr>
        <w:pStyle w:val="11"/>
        <w:spacing w:line="245" w:lineRule="auto"/>
      </w:pPr>
    </w:p>
    <w:p w14:paraId="3590F0AF">
      <w:pPr>
        <w:pStyle w:val="11"/>
        <w:spacing w:line="245" w:lineRule="auto"/>
      </w:pPr>
    </w:p>
    <w:p w14:paraId="2626A9FD">
      <w:pPr>
        <w:pStyle w:val="11"/>
        <w:spacing w:line="245" w:lineRule="auto"/>
      </w:pPr>
    </w:p>
    <w:p w14:paraId="2990DC57">
      <w:pPr>
        <w:pStyle w:val="11"/>
        <w:spacing w:line="245" w:lineRule="auto"/>
      </w:pPr>
    </w:p>
    <w:p w14:paraId="58A76C24">
      <w:pPr>
        <w:pStyle w:val="11"/>
        <w:spacing w:line="245" w:lineRule="auto"/>
      </w:pPr>
    </w:p>
    <w:p w14:paraId="0670DB49">
      <w:pPr>
        <w:pStyle w:val="11"/>
        <w:spacing w:line="245" w:lineRule="auto"/>
      </w:pPr>
    </w:p>
    <w:p w14:paraId="3F19EE9E">
      <w:pPr>
        <w:pStyle w:val="11"/>
        <w:spacing w:line="245" w:lineRule="auto"/>
      </w:pPr>
    </w:p>
    <w:p w14:paraId="697E2E6D">
      <w:pPr>
        <w:pStyle w:val="11"/>
        <w:spacing w:line="245" w:lineRule="auto"/>
      </w:pPr>
    </w:p>
    <w:p w14:paraId="14931B2B">
      <w:pPr>
        <w:pStyle w:val="11"/>
        <w:spacing w:line="245" w:lineRule="auto"/>
      </w:pPr>
    </w:p>
    <w:p w14:paraId="2F2F4547">
      <w:pPr>
        <w:pStyle w:val="11"/>
        <w:spacing w:line="246" w:lineRule="auto"/>
      </w:pPr>
    </w:p>
    <w:p w14:paraId="787D09BF">
      <w:pPr>
        <w:pStyle w:val="11"/>
        <w:spacing w:line="246" w:lineRule="auto"/>
      </w:pPr>
    </w:p>
    <w:p w14:paraId="0BD9AF66">
      <w:pPr>
        <w:pStyle w:val="11"/>
        <w:spacing w:line="246" w:lineRule="auto"/>
      </w:pPr>
    </w:p>
    <w:p w14:paraId="41A96F20">
      <w:pPr>
        <w:pStyle w:val="11"/>
        <w:spacing w:line="246" w:lineRule="auto"/>
      </w:pPr>
    </w:p>
    <w:p w14:paraId="0C3EECB1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pacing w:val="-1"/>
          <w:sz w:val="36"/>
          <w:szCs w:val="36"/>
        </w:rPr>
        <w:t>万洲奇智(青岛)信息科技有限公</w:t>
      </w:r>
      <w:r>
        <w:rPr>
          <w:rFonts w:ascii="宋体" w:hAnsi="宋体" w:eastAsia="宋体" w:cs="宋体"/>
          <w:spacing w:val="-1"/>
          <w:sz w:val="36"/>
          <w:szCs w:val="36"/>
        </w:rPr>
        <w:t>司</w:t>
      </w:r>
    </w:p>
    <w:p w14:paraId="7FCDB06C">
      <w:pPr>
        <w:spacing w:line="219" w:lineRule="auto"/>
        <w:rPr>
          <w:rFonts w:ascii="宋体" w:hAnsi="宋体" w:eastAsia="宋体" w:cs="宋体"/>
          <w:sz w:val="36"/>
          <w:szCs w:val="36"/>
        </w:rPr>
      </w:pPr>
    </w:p>
    <w:p w14:paraId="76DAB29A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2025年1月4日</w:t>
      </w:r>
    </w:p>
    <w:p w14:paraId="788352B3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D90FCD6">
      <w:pPr>
        <w:pStyle w:val="11"/>
        <w:spacing w:line="252" w:lineRule="auto"/>
      </w:pPr>
    </w:p>
    <w:p w14:paraId="51AB0BAA">
      <w:pPr>
        <w:pStyle w:val="11"/>
        <w:spacing w:line="253" w:lineRule="auto"/>
      </w:pPr>
    </w:p>
    <w:p w14:paraId="3A157720">
      <w:pPr>
        <w:pStyle w:val="11"/>
        <w:spacing w:line="253" w:lineRule="auto"/>
      </w:pPr>
    </w:p>
    <w:p w14:paraId="258F2806">
      <w:pPr>
        <w:pStyle w:val="11"/>
        <w:spacing w:line="253" w:lineRule="auto"/>
      </w:pPr>
    </w:p>
    <w:p w14:paraId="585AE987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F605BB6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793C0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7832DE7F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7DCD5A6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沟通管理制度（</w:t>
            </w: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  <w:lang w:val="en-US" w:eastAsia="zh-CN"/>
              </w:rPr>
              <w:t>WZQZ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-ITSS-GTGL）</w:t>
            </w:r>
          </w:p>
        </w:tc>
      </w:tr>
      <w:tr w14:paraId="5A625C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CC014B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3F5037E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pacing w:val="-1"/>
                <w:sz w:val="24"/>
                <w:szCs w:val="24"/>
              </w:rPr>
              <w:t>万洲奇智(青岛)信息科技有限公司</w:t>
            </w:r>
          </w:p>
        </w:tc>
      </w:tr>
      <w:tr w14:paraId="7CF9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350FF8A5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60B85EA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52AB296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EB8DEF4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09D0B9B0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B64C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9E6897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AE3AF0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A0A0911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center"/>
          </w:tcPr>
          <w:p w14:paraId="30DF14CB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毛彦超</w:t>
            </w:r>
          </w:p>
        </w:tc>
        <w:tc>
          <w:tcPr>
            <w:tcW w:w="1953" w:type="dxa"/>
            <w:vAlign w:val="center"/>
          </w:tcPr>
          <w:p w14:paraId="7169F9B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郭万洲</w:t>
            </w:r>
          </w:p>
        </w:tc>
      </w:tr>
      <w:tr w14:paraId="133E1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B688395">
            <w:pPr>
              <w:pStyle w:val="19"/>
            </w:pPr>
          </w:p>
        </w:tc>
        <w:tc>
          <w:tcPr>
            <w:tcW w:w="1413" w:type="dxa"/>
            <w:vAlign w:val="top"/>
          </w:tcPr>
          <w:p w14:paraId="6CBDE2A3">
            <w:pPr>
              <w:pStyle w:val="19"/>
            </w:pPr>
          </w:p>
        </w:tc>
        <w:tc>
          <w:tcPr>
            <w:tcW w:w="2303" w:type="dxa"/>
            <w:vAlign w:val="top"/>
          </w:tcPr>
          <w:p w14:paraId="62849D96">
            <w:pPr>
              <w:pStyle w:val="19"/>
            </w:pPr>
          </w:p>
        </w:tc>
        <w:tc>
          <w:tcPr>
            <w:tcW w:w="1557" w:type="dxa"/>
            <w:vAlign w:val="top"/>
          </w:tcPr>
          <w:p w14:paraId="47CA7537">
            <w:pPr>
              <w:pStyle w:val="19"/>
            </w:pPr>
          </w:p>
        </w:tc>
        <w:tc>
          <w:tcPr>
            <w:tcW w:w="1953" w:type="dxa"/>
            <w:vAlign w:val="top"/>
          </w:tcPr>
          <w:p w14:paraId="3AA7B0FB">
            <w:pPr>
              <w:pStyle w:val="19"/>
            </w:pPr>
          </w:p>
        </w:tc>
      </w:tr>
      <w:tr w14:paraId="369CC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6D1CCED">
            <w:pPr>
              <w:pStyle w:val="19"/>
            </w:pPr>
          </w:p>
        </w:tc>
        <w:tc>
          <w:tcPr>
            <w:tcW w:w="1413" w:type="dxa"/>
            <w:vAlign w:val="top"/>
          </w:tcPr>
          <w:p w14:paraId="2A4E93F5">
            <w:pPr>
              <w:pStyle w:val="19"/>
            </w:pPr>
          </w:p>
        </w:tc>
        <w:tc>
          <w:tcPr>
            <w:tcW w:w="2303" w:type="dxa"/>
            <w:vAlign w:val="top"/>
          </w:tcPr>
          <w:p w14:paraId="1482C95D">
            <w:pPr>
              <w:pStyle w:val="19"/>
            </w:pPr>
          </w:p>
        </w:tc>
        <w:tc>
          <w:tcPr>
            <w:tcW w:w="1557" w:type="dxa"/>
            <w:vAlign w:val="top"/>
          </w:tcPr>
          <w:p w14:paraId="192737E8">
            <w:pPr>
              <w:pStyle w:val="19"/>
            </w:pPr>
          </w:p>
        </w:tc>
        <w:tc>
          <w:tcPr>
            <w:tcW w:w="1953" w:type="dxa"/>
            <w:vAlign w:val="top"/>
          </w:tcPr>
          <w:p w14:paraId="31C25347">
            <w:pPr>
              <w:pStyle w:val="19"/>
            </w:pPr>
          </w:p>
        </w:tc>
      </w:tr>
      <w:tr w14:paraId="4F86E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093C206">
            <w:pPr>
              <w:pStyle w:val="19"/>
            </w:pPr>
          </w:p>
        </w:tc>
        <w:tc>
          <w:tcPr>
            <w:tcW w:w="1413" w:type="dxa"/>
            <w:vAlign w:val="top"/>
          </w:tcPr>
          <w:p w14:paraId="3F520450">
            <w:pPr>
              <w:pStyle w:val="19"/>
            </w:pPr>
          </w:p>
        </w:tc>
        <w:tc>
          <w:tcPr>
            <w:tcW w:w="2303" w:type="dxa"/>
            <w:vAlign w:val="top"/>
          </w:tcPr>
          <w:p w14:paraId="3BA9C6C9">
            <w:pPr>
              <w:pStyle w:val="19"/>
            </w:pPr>
          </w:p>
        </w:tc>
        <w:tc>
          <w:tcPr>
            <w:tcW w:w="1557" w:type="dxa"/>
            <w:vAlign w:val="top"/>
          </w:tcPr>
          <w:p w14:paraId="13DC3CD1">
            <w:pPr>
              <w:pStyle w:val="19"/>
            </w:pPr>
          </w:p>
        </w:tc>
        <w:tc>
          <w:tcPr>
            <w:tcW w:w="1953" w:type="dxa"/>
            <w:vAlign w:val="top"/>
          </w:tcPr>
          <w:p w14:paraId="22698DF8">
            <w:pPr>
              <w:pStyle w:val="19"/>
            </w:pPr>
          </w:p>
        </w:tc>
      </w:tr>
      <w:tr w14:paraId="76C1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A27DDE9">
            <w:pPr>
              <w:pStyle w:val="19"/>
            </w:pPr>
          </w:p>
        </w:tc>
        <w:tc>
          <w:tcPr>
            <w:tcW w:w="1413" w:type="dxa"/>
            <w:vAlign w:val="top"/>
          </w:tcPr>
          <w:p w14:paraId="026F92F6">
            <w:pPr>
              <w:pStyle w:val="19"/>
            </w:pPr>
          </w:p>
        </w:tc>
        <w:tc>
          <w:tcPr>
            <w:tcW w:w="2303" w:type="dxa"/>
            <w:vAlign w:val="top"/>
          </w:tcPr>
          <w:p w14:paraId="4429FC1F">
            <w:pPr>
              <w:pStyle w:val="19"/>
            </w:pPr>
          </w:p>
        </w:tc>
        <w:tc>
          <w:tcPr>
            <w:tcW w:w="1557" w:type="dxa"/>
            <w:vAlign w:val="top"/>
          </w:tcPr>
          <w:p w14:paraId="26DC5BD4">
            <w:pPr>
              <w:pStyle w:val="19"/>
            </w:pPr>
          </w:p>
        </w:tc>
        <w:tc>
          <w:tcPr>
            <w:tcW w:w="1953" w:type="dxa"/>
            <w:vAlign w:val="top"/>
          </w:tcPr>
          <w:p w14:paraId="37CCFC22">
            <w:pPr>
              <w:pStyle w:val="19"/>
            </w:pPr>
          </w:p>
        </w:tc>
      </w:tr>
      <w:tr w14:paraId="145B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03D0B6B2">
            <w:pPr>
              <w:pStyle w:val="19"/>
            </w:pPr>
          </w:p>
        </w:tc>
        <w:tc>
          <w:tcPr>
            <w:tcW w:w="1413" w:type="dxa"/>
            <w:vAlign w:val="top"/>
          </w:tcPr>
          <w:p w14:paraId="0EFB3109">
            <w:pPr>
              <w:pStyle w:val="19"/>
            </w:pPr>
          </w:p>
        </w:tc>
        <w:tc>
          <w:tcPr>
            <w:tcW w:w="2303" w:type="dxa"/>
            <w:vAlign w:val="top"/>
          </w:tcPr>
          <w:p w14:paraId="34A1342E">
            <w:pPr>
              <w:pStyle w:val="19"/>
            </w:pPr>
          </w:p>
        </w:tc>
        <w:tc>
          <w:tcPr>
            <w:tcW w:w="1557" w:type="dxa"/>
            <w:vAlign w:val="top"/>
          </w:tcPr>
          <w:p w14:paraId="1D36B6B8">
            <w:pPr>
              <w:pStyle w:val="19"/>
            </w:pPr>
          </w:p>
        </w:tc>
        <w:tc>
          <w:tcPr>
            <w:tcW w:w="1953" w:type="dxa"/>
            <w:vAlign w:val="top"/>
          </w:tcPr>
          <w:p w14:paraId="0862213C">
            <w:pPr>
              <w:pStyle w:val="19"/>
            </w:pPr>
          </w:p>
        </w:tc>
      </w:tr>
    </w:tbl>
    <w:p w14:paraId="13194A10">
      <w:pPr>
        <w:pStyle w:val="11"/>
      </w:pPr>
    </w:p>
    <w:p w14:paraId="6AA4DF46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655F1E3B">
      <w:pPr>
        <w:pStyle w:val="11"/>
        <w:spacing w:line="268" w:lineRule="auto"/>
      </w:pPr>
    </w:p>
    <w:p w14:paraId="5F3C444E">
      <w:pPr>
        <w:pStyle w:val="11"/>
        <w:spacing w:line="269" w:lineRule="auto"/>
      </w:pPr>
    </w:p>
    <w:p w14:paraId="3E88D8EB">
      <w:pPr>
        <w:pStyle w:val="11"/>
        <w:spacing w:line="269" w:lineRule="auto"/>
      </w:pPr>
    </w:p>
    <w:p w14:paraId="48FE1D5B">
      <w:pPr>
        <w:pStyle w:val="11"/>
        <w:spacing w:line="269" w:lineRule="auto"/>
      </w:pPr>
    </w:p>
    <w:p w14:paraId="5B5288A5">
      <w:pPr>
        <w:pStyle w:val="11"/>
        <w:spacing w:line="269" w:lineRule="auto"/>
      </w:pPr>
    </w:p>
    <w:p w14:paraId="4DE0111C">
      <w:pPr>
        <w:pStyle w:val="11"/>
        <w:spacing w:line="269" w:lineRule="auto"/>
      </w:pPr>
    </w:p>
    <w:p w14:paraId="7E6F9C77">
      <w:pPr>
        <w:pStyle w:val="11"/>
        <w:spacing w:line="269" w:lineRule="auto"/>
      </w:pPr>
    </w:p>
    <w:sdt>
      <w:sdtPr>
        <w:rPr>
          <w:rFonts w:ascii="宋体" w:hAnsi="宋体" w:eastAsia="宋体" w:cs="宋体"/>
          <w:sz w:val="30"/>
          <w:szCs w:val="30"/>
        </w:rPr>
        <w:id w:val="147452989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11643745">
          <w:pPr>
            <w:spacing w:before="97" w:line="222" w:lineRule="auto"/>
            <w:ind w:left="4012"/>
            <w:rPr>
              <w:rFonts w:ascii="宋体" w:hAnsi="宋体" w:eastAsia="宋体" w:cs="宋体"/>
              <w:sz w:val="30"/>
              <w:szCs w:val="30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21"/>
              <w:sz w:val="30"/>
              <w:szCs w:val="30"/>
            </w:rPr>
            <w:t>目录</w:t>
          </w:r>
        </w:p>
        <w:p w14:paraId="70163CA3">
          <w:pPr>
            <w:tabs>
              <w:tab w:val="right" w:leader="dot" w:pos="8495"/>
            </w:tabs>
            <w:spacing w:before="158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1.</w:t>
          </w:r>
          <w:r>
            <w:rPr>
              <w:rFonts w:ascii="宋体" w:hAnsi="宋体" w:eastAsia="宋体" w:cs="宋体"/>
              <w:spacing w:val="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693A5814">
          <w:pPr>
            <w:tabs>
              <w:tab w:val="right" w:leader="dot" w:pos="8495"/>
            </w:tabs>
            <w:spacing w:before="71" w:line="196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2. 适用范围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8262646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3.</w:t>
          </w:r>
          <w:r>
            <w:rPr>
              <w:rFonts w:ascii="宋体" w:hAnsi="宋体" w:eastAsia="宋体" w:cs="宋体"/>
              <w:spacing w:val="2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引用文件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2822A2A1">
          <w:pPr>
            <w:tabs>
              <w:tab w:val="right" w:leader="dot" w:pos="8495"/>
            </w:tabs>
            <w:spacing w:before="71" w:line="196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4. 术语与定义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480BDE13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5.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0FA5CD99">
          <w:pPr>
            <w:tabs>
              <w:tab w:val="right" w:leader="dot" w:pos="8495"/>
            </w:tabs>
            <w:spacing w:before="71" w:line="196" w:lineRule="auto"/>
            <w:ind w:left="2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</w:t>
          </w:r>
          <w:r>
            <w:rPr>
              <w:rFonts w:ascii="宋体" w:hAnsi="宋体" w:eastAsia="宋体" w:cs="宋体"/>
              <w:spacing w:val="3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内部信息沟通类别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1</w:t>
          </w:r>
        </w:p>
        <w:p w14:paraId="23B551B6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6.1.</w:t>
          </w:r>
          <w:r>
            <w:rPr>
              <w:rFonts w:ascii="宋体" w:hAnsi="宋体" w:eastAsia="宋体" w:cs="宋体"/>
              <w:spacing w:val="4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内部信息沟通类别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1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-21"/>
              <w:sz w:val="24"/>
              <w:szCs w:val="24"/>
            </w:rPr>
            <w:t>1</w:t>
          </w:r>
        </w:p>
        <w:p w14:paraId="40917CC9">
          <w:pPr>
            <w:tabs>
              <w:tab w:val="right" w:leader="dot" w:pos="8495"/>
            </w:tabs>
            <w:spacing w:before="71" w:line="196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7.</w:t>
          </w:r>
          <w:r>
            <w:rPr>
              <w:rFonts w:ascii="宋体" w:hAnsi="宋体" w:eastAsia="宋体" w:cs="宋体"/>
              <w:spacing w:val="4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内部信息沟通管理部门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5E8A704D">
          <w:pPr>
            <w:tabs>
              <w:tab w:val="right" w:leader="dot" w:pos="8495"/>
            </w:tabs>
            <w:spacing w:before="71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8.</w:t>
          </w:r>
          <w:r>
            <w:rPr>
              <w:rFonts w:ascii="宋体" w:hAnsi="宋体" w:eastAsia="宋体" w:cs="宋体"/>
              <w:spacing w:val="4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内部信息沟通工作要求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031C184A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8.1. 文书类信息沟通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2</w:t>
          </w:r>
        </w:p>
        <w:p w14:paraId="79BC98C4">
          <w:pPr>
            <w:tabs>
              <w:tab w:val="right" w:leader="dot" w:pos="8495"/>
            </w:tabs>
            <w:spacing w:before="72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8.2. 会议沟通</w:t>
          </w:r>
          <w:r>
            <w:rPr>
              <w:rFonts w:ascii="宋体" w:hAnsi="宋体" w:eastAsia="宋体" w:cs="宋体"/>
              <w:spacing w:val="-5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2</w:t>
          </w:r>
        </w:p>
        <w:p w14:paraId="4EA3AA18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8.3.</w:t>
          </w:r>
          <w:r>
            <w:rPr>
              <w:rFonts w:ascii="宋体" w:hAnsi="宋体" w:eastAsia="宋体" w:cs="宋体"/>
              <w:spacing w:val="2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网络信息沟通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2</w:t>
          </w:r>
        </w:p>
        <w:p w14:paraId="4C89C14F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8.4. 其它类沟通</w:t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187B3D2A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8.5. 越级沟通</w:t>
          </w:r>
          <w:r>
            <w:rPr>
              <w:rFonts w:ascii="宋体" w:hAnsi="宋体" w:eastAsia="宋体" w:cs="宋体"/>
              <w:spacing w:val="-54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26839DF7">
          <w:pPr>
            <w:tabs>
              <w:tab w:val="right" w:leader="dot" w:pos="8495"/>
            </w:tabs>
            <w:spacing w:before="71" w:line="196" w:lineRule="auto"/>
            <w:ind w:left="481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8.6. 制度的监督执行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4</w:t>
          </w:r>
        </w:p>
        <w:p w14:paraId="17C2C05B">
          <w:pPr>
            <w:tabs>
              <w:tab w:val="right" w:leader="dot" w:pos="8495"/>
            </w:tabs>
            <w:spacing w:before="72" w:line="196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9. 对外沟通</w:t>
          </w:r>
          <w:r>
            <w:rPr>
              <w:rFonts w:ascii="宋体" w:hAnsi="宋体" w:eastAsia="宋体" w:cs="宋体"/>
              <w:spacing w:val="-5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</w:p>
        <w:p w14:paraId="53EC2EAF">
          <w:pPr>
            <w:tabs>
              <w:tab w:val="right" w:leader="dot" w:pos="8495"/>
            </w:tabs>
            <w:spacing w:before="71" w:line="219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9"/>
              <w:sz w:val="24"/>
              <w:szCs w:val="24"/>
            </w:rPr>
            <w:t>10.附</w:t>
          </w:r>
          <w:r>
            <w:rPr>
              <w:rFonts w:ascii="宋体" w:hAnsi="宋体" w:eastAsia="宋体" w:cs="宋体"/>
              <w:spacing w:val="8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9"/>
              <w:sz w:val="24"/>
              <w:szCs w:val="24"/>
            </w:rPr>
            <w:t>则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4</w:t>
          </w:r>
        </w:p>
      </w:sdtContent>
    </w:sdt>
    <w:p w14:paraId="018D352C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AE3C9A7">
      <w:pPr>
        <w:pStyle w:val="20"/>
        <w:bidi w:val="0"/>
      </w:pPr>
      <w:bookmarkStart w:id="1" w:name="bookmark2"/>
      <w:bookmarkEnd w:id="1"/>
      <w:r>
        <w:t>目的</w:t>
      </w:r>
    </w:p>
    <w:p w14:paraId="71D7C88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为提高工作效率，避免出现因内部各环节沟通不及时或不顺畅导致的工作脱节、互相推诿、埋怨现象，增进团结友爱，紧密配合意识</w:t>
      </w:r>
      <w:r>
        <w:rPr>
          <w:rFonts w:ascii="宋体" w:hAnsi="宋体" w:eastAsia="宋体" w:cs="宋体"/>
          <w:spacing w:val="-2"/>
          <w:sz w:val="24"/>
          <w:szCs w:val="24"/>
        </w:rPr>
        <w:t>，特制订本制度。</w:t>
      </w:r>
    </w:p>
    <w:p w14:paraId="04BC548C">
      <w:pPr>
        <w:pStyle w:val="20"/>
        <w:bidi w:val="0"/>
      </w:pPr>
      <w:bookmarkStart w:id="2" w:name="bookmark3"/>
      <w:bookmarkEnd w:id="2"/>
      <w:r>
        <w:t>适用范围</w:t>
      </w:r>
    </w:p>
    <w:p w14:paraId="204DE0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本制度适用于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万洲奇智(青岛)信息科技有限公司</w:t>
      </w:r>
      <w:r>
        <w:rPr>
          <w:rFonts w:ascii="宋体" w:hAnsi="宋体" w:eastAsia="宋体" w:cs="宋体"/>
          <w:spacing w:val="-1"/>
          <w:sz w:val="24"/>
          <w:szCs w:val="24"/>
        </w:rPr>
        <w:t>（以下简称“公司 ”）</w:t>
      </w:r>
    </w:p>
    <w:p w14:paraId="1CAA3D54">
      <w:pPr>
        <w:pStyle w:val="20"/>
        <w:bidi w:val="0"/>
      </w:pPr>
      <w:bookmarkStart w:id="3" w:name="bookmark4"/>
      <w:bookmarkEnd w:id="3"/>
      <w:r>
        <w:t>引用文件</w:t>
      </w:r>
    </w:p>
    <w:p w14:paraId="48966172">
      <w:pPr>
        <w:numPr>
          <w:ilvl w:val="0"/>
          <w:numId w:val="2"/>
        </w:numPr>
        <w:spacing w:before="177" w:line="220" w:lineRule="auto"/>
        <w:ind w:left="6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ITSS.1—2015 《信息技术服务 运行维护服务能力成熟度模型》</w:t>
      </w:r>
    </w:p>
    <w:p w14:paraId="7D421BB3">
      <w:pPr>
        <w:spacing w:before="182" w:line="220" w:lineRule="auto"/>
        <w:ind w:left="6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92F78C4">
      <w:pPr>
        <w:spacing w:before="210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44BE3C0F">
      <w:pPr>
        <w:spacing w:before="182" w:line="220" w:lineRule="auto"/>
        <w:ind w:left="60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4.国家有关法律、法规及行业标准</w:t>
      </w:r>
    </w:p>
    <w:p w14:paraId="4E8A3B38">
      <w:pPr>
        <w:pStyle w:val="11"/>
        <w:spacing w:line="242" w:lineRule="auto"/>
      </w:pPr>
    </w:p>
    <w:p w14:paraId="0CC4FB44">
      <w:pPr>
        <w:pStyle w:val="20"/>
        <w:bidi w:val="0"/>
      </w:pPr>
      <w:bookmarkStart w:id="4" w:name="bookmark5"/>
      <w:bookmarkEnd w:id="4"/>
      <w:r>
        <w:t>术语与定义</w:t>
      </w:r>
    </w:p>
    <w:p w14:paraId="0081EB85">
      <w:pPr>
        <w:spacing w:before="178" w:line="220" w:lineRule="auto"/>
        <w:ind w:left="1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B0F0EEE">
      <w:pPr>
        <w:pStyle w:val="20"/>
        <w:bidi w:val="0"/>
      </w:pPr>
      <w:bookmarkStart w:id="5" w:name="bookmark6"/>
      <w:bookmarkEnd w:id="5"/>
      <w:r>
        <w:t>角色与职责</w:t>
      </w:r>
    </w:p>
    <w:p w14:paraId="1B0E57BC">
      <w:pPr>
        <w:spacing w:line="62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3116"/>
        <w:gridCol w:w="3392"/>
      </w:tblGrid>
      <w:tr w14:paraId="4BAD3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shd w:val="clear" w:color="auto" w:fill="BFBFBF"/>
            <w:vAlign w:val="top"/>
          </w:tcPr>
          <w:p w14:paraId="34FD7E71">
            <w:pPr>
              <w:spacing w:before="130" w:line="219" w:lineRule="auto"/>
              <w:ind w:left="8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3116" w:type="dxa"/>
            <w:shd w:val="clear" w:color="auto" w:fill="BFBFBF"/>
            <w:vAlign w:val="top"/>
          </w:tcPr>
          <w:p w14:paraId="4F31231C">
            <w:pPr>
              <w:spacing w:before="130" w:line="221" w:lineRule="auto"/>
              <w:ind w:left="13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392" w:type="dxa"/>
            <w:shd w:val="clear" w:color="auto" w:fill="BFBFBF"/>
            <w:vAlign w:val="top"/>
          </w:tcPr>
          <w:p w14:paraId="3D7943A1">
            <w:pPr>
              <w:spacing w:before="130" w:line="219" w:lineRule="auto"/>
              <w:ind w:left="1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61870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2DF074DC">
            <w:pPr>
              <w:spacing w:before="127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3116" w:type="dxa"/>
            <w:vAlign w:val="top"/>
          </w:tcPr>
          <w:p w14:paraId="096CEB8D">
            <w:pPr>
              <w:spacing w:before="127" w:line="220" w:lineRule="auto"/>
              <w:ind w:left="5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392" w:type="dxa"/>
            <w:vAlign w:val="top"/>
          </w:tcPr>
          <w:p w14:paraId="385E508A">
            <w:pPr>
              <w:spacing w:before="127" w:line="220" w:lineRule="auto"/>
              <w:ind w:left="10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3183F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32A7AA1F">
            <w:pPr>
              <w:spacing w:before="130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3116" w:type="dxa"/>
            <w:vAlign w:val="top"/>
          </w:tcPr>
          <w:p w14:paraId="1EEACEF4">
            <w:pPr>
              <w:spacing w:before="130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392" w:type="dxa"/>
            <w:vAlign w:val="top"/>
          </w:tcPr>
          <w:p w14:paraId="76B6EB7A">
            <w:pPr>
              <w:spacing w:before="129" w:line="220" w:lineRule="auto"/>
              <w:ind w:left="128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7CC7F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vAlign w:val="top"/>
          </w:tcPr>
          <w:p w14:paraId="3E3EE137">
            <w:pPr>
              <w:spacing w:before="132" w:line="220" w:lineRule="auto"/>
              <w:ind w:left="7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3116" w:type="dxa"/>
            <w:vAlign w:val="top"/>
          </w:tcPr>
          <w:p w14:paraId="5472F08D">
            <w:pPr>
              <w:spacing w:before="132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392" w:type="dxa"/>
            <w:vAlign w:val="top"/>
          </w:tcPr>
          <w:p w14:paraId="27578B9C">
            <w:pPr>
              <w:spacing w:before="132" w:line="229" w:lineRule="auto"/>
              <w:ind w:left="13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6D517D60">
      <w:pPr>
        <w:pStyle w:val="11"/>
      </w:pPr>
    </w:p>
    <w:p w14:paraId="0BBD4B46">
      <w:pPr>
        <w:pStyle w:val="11"/>
        <w:spacing w:line="241" w:lineRule="auto"/>
      </w:pPr>
    </w:p>
    <w:p w14:paraId="743AF9CD">
      <w:pPr>
        <w:pStyle w:val="20"/>
        <w:bidi w:val="0"/>
      </w:pPr>
      <w:bookmarkStart w:id="6" w:name="bookmark7"/>
      <w:bookmarkEnd w:id="6"/>
      <w:bookmarkStart w:id="7" w:name="bookmark8"/>
      <w:bookmarkEnd w:id="7"/>
      <w:r>
        <w:t>内部信息沟通类别</w:t>
      </w:r>
    </w:p>
    <w:p w14:paraId="70F75F04">
      <w:pPr>
        <w:spacing w:before="215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8" w:name="bookmark19"/>
      <w:bookmarkEnd w:id="8"/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6.1.</w:t>
      </w:r>
      <w:r>
        <w:rPr>
          <w:rFonts w:ascii="宋体" w:hAnsi="宋体" w:eastAsia="宋体" w:cs="宋体"/>
          <w:spacing w:val="98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2"/>
          <w:szCs w:val="32"/>
        </w:rPr>
        <w:t>内部信息沟通类别</w:t>
      </w:r>
    </w:p>
    <w:p w14:paraId="702D62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1.正式沟通：文书类信息沟通、会议沟通、网络沟通、其它类沟通等；</w:t>
      </w:r>
    </w:p>
    <w:p w14:paraId="59E350D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2.非正式沟通：户外拓展运动、节日庆典活动；</w:t>
      </w:r>
    </w:p>
    <w:p w14:paraId="5DEE603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3.文书类信息沟通包括：文件、工作计划与总结、各项工作报表、各项工作记录等各类书面的信息；</w:t>
      </w:r>
    </w:p>
    <w:p w14:paraId="025CA68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4.会议沟通主要包括：公司级专题工作会议、小组讨论会议、项目例会和茶话会等；</w:t>
      </w:r>
    </w:p>
    <w:p w14:paraId="5FB0D1C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5.网络沟通主要包括：企业 QQ 群、公司电子邮箱、电话沟通等；</w:t>
      </w:r>
    </w:p>
    <w:p w14:paraId="76B05D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6.其它类沟通：培训、面谈、调查、意见箱等；</w:t>
      </w:r>
    </w:p>
    <w:p w14:paraId="23731DED">
      <w:pPr>
        <w:pStyle w:val="20"/>
        <w:bidi w:val="0"/>
      </w:pPr>
      <w:bookmarkStart w:id="9" w:name="bookmark9"/>
      <w:bookmarkEnd w:id="9"/>
      <w:r>
        <w:t>内部信息沟通管理部门</w:t>
      </w:r>
    </w:p>
    <w:p w14:paraId="2AAE13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z w:val="24"/>
          <w:szCs w:val="24"/>
        </w:rPr>
        <w:t>负责公司内部信息沟通制度的建立和</w:t>
      </w:r>
      <w:r>
        <w:rPr>
          <w:rFonts w:ascii="宋体" w:hAnsi="宋体" w:eastAsia="宋体" w:cs="宋体"/>
          <w:spacing w:val="-1"/>
          <w:sz w:val="24"/>
          <w:szCs w:val="24"/>
        </w:rPr>
        <w:t>协调管理，各职能部门负责</w:t>
      </w:r>
      <w:r>
        <w:rPr>
          <w:rFonts w:ascii="宋体" w:hAnsi="宋体" w:eastAsia="宋体" w:cs="宋体"/>
          <w:spacing w:val="-3"/>
          <w:sz w:val="24"/>
          <w:szCs w:val="24"/>
        </w:rPr>
        <w:t>本部门与所属业务对接信息沟通工作。</w:t>
      </w:r>
    </w:p>
    <w:p w14:paraId="659AB07D">
      <w:pPr>
        <w:pStyle w:val="20"/>
        <w:bidi w:val="0"/>
      </w:pPr>
      <w:bookmarkStart w:id="10" w:name="bookmark10"/>
      <w:bookmarkEnd w:id="10"/>
      <w:r>
        <w:t>内部信息沟通工作要求</w:t>
      </w:r>
    </w:p>
    <w:p w14:paraId="5DF22858">
      <w:pPr>
        <w:spacing w:before="196" w:line="219" w:lineRule="auto"/>
        <w:ind w:left="29"/>
        <w:outlineLvl w:val="1"/>
        <w:rPr>
          <w:rFonts w:ascii="宋体" w:hAnsi="宋体" w:eastAsia="宋体" w:cs="宋体"/>
          <w:sz w:val="36"/>
          <w:szCs w:val="36"/>
        </w:rPr>
      </w:pPr>
      <w:bookmarkStart w:id="11" w:name="bookmark11"/>
      <w:bookmarkEnd w:id="11"/>
      <w:r>
        <w:rPr>
          <w:rFonts w:ascii="宋体" w:hAnsi="宋体" w:eastAsia="宋体" w:cs="宋体"/>
          <w:b/>
          <w:bCs/>
          <w:spacing w:val="-7"/>
          <w:sz w:val="36"/>
          <w:szCs w:val="36"/>
        </w:rPr>
        <w:t>8.1.</w:t>
      </w:r>
      <w:r>
        <w:rPr>
          <w:rFonts w:ascii="宋体" w:hAnsi="宋体" w:eastAsia="宋体" w:cs="宋体"/>
          <w:spacing w:val="-39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6"/>
          <w:szCs w:val="36"/>
        </w:rPr>
        <w:t>文书类信息沟通</w:t>
      </w:r>
    </w:p>
    <w:p w14:paraId="72CA969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1.文件沟通：对于公司下发的各类文件，各部门必须认真学习，贯彻文件精神，以确保文件内容沟通、执行到位；</w:t>
      </w:r>
    </w:p>
    <w:p w14:paraId="1DA5B03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2.工作类报告：类似于报告的沟通方式还有请示、向公司上一级主管提出意见或建议等。需要批复或口头上给予反馈，从而形成上下信息交流上的互动；</w:t>
      </w:r>
    </w:p>
    <w:p w14:paraId="419F5B0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3.简报：各部门、各项目用于汇总专项或综合工作信息而制作的书面材料。由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每月制作各项目完成工程量、完成产值等内容。</w:t>
      </w:r>
    </w:p>
    <w:p w14:paraId="40683EC1">
      <w:pPr>
        <w:spacing w:before="231" w:line="219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2" w:name="bookmark12"/>
      <w:bookmarkEnd w:id="12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8.2.</w:t>
      </w:r>
      <w:r>
        <w:rPr>
          <w:rFonts w:ascii="宋体" w:hAnsi="宋体" w:eastAsia="宋体" w:cs="宋体"/>
          <w:spacing w:val="101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会议沟通</w:t>
      </w:r>
    </w:p>
    <w:p w14:paraId="252ADB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1.召开公司级专题工作会议，各部门专题会议、部门例会后，形成会议纪要，由专题工作主办部门起草，经主办部门负责人审核，报主持会议的公司领导签发、传阅。</w:t>
      </w:r>
    </w:p>
    <w:p w14:paraId="611FF72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2.形成会议纪要，由主办部门起草，经部门（中心）负责人审核签发，主送公司领导传阅。</w:t>
      </w:r>
    </w:p>
    <w:p w14:paraId="30D679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3.其它会议需沟通的信息由主办部门主持人向总经理进行口头汇报会。</w:t>
      </w:r>
    </w:p>
    <w:p w14:paraId="52C756D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4.会议沟通讲究会议效率，开会要有结果，不能议而不决，会后要抓好执行、跟踪、检查、评估、反馈等环节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。</w:t>
      </w:r>
    </w:p>
    <w:p w14:paraId="46818D80">
      <w:pP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br w:type="page"/>
      </w:r>
    </w:p>
    <w:p w14:paraId="3745ECB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</w:pPr>
    </w:p>
    <w:p w14:paraId="7CD72890">
      <w:pPr>
        <w:spacing w:before="233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3" w:name="bookmark13"/>
      <w:bookmarkEnd w:id="13"/>
      <w:r>
        <w:rPr>
          <w:rFonts w:ascii="宋体" w:hAnsi="宋体" w:eastAsia="宋体" w:cs="宋体"/>
          <w:b/>
          <w:bCs/>
          <w:spacing w:val="-8"/>
          <w:sz w:val="30"/>
          <w:szCs w:val="30"/>
        </w:rPr>
        <w:t>8.3.</w:t>
      </w:r>
      <w:r>
        <w:rPr>
          <w:rFonts w:ascii="宋体" w:hAnsi="宋体" w:eastAsia="宋体" w:cs="宋体"/>
          <w:spacing w:val="130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0"/>
          <w:szCs w:val="30"/>
        </w:rPr>
        <w:t>网络信息沟通</w:t>
      </w:r>
    </w:p>
    <w:p w14:paraId="03D1E8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将公司、总经理、职能部门及各管理中心负责人工</w:t>
      </w:r>
      <w:r>
        <w:rPr>
          <w:rFonts w:ascii="宋体" w:hAnsi="宋体" w:eastAsia="宋体" w:cs="宋体"/>
          <w:spacing w:val="-3"/>
          <w:sz w:val="24"/>
          <w:szCs w:val="24"/>
        </w:rPr>
        <w:t>作所用的电子邮箱汇总并进行发布。用于管理者与员工之间对工作中提出的意见和建议的沟通</w:t>
      </w:r>
    </w:p>
    <w:p w14:paraId="59D6222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2.质量管理专员每周五将邮件中需要进行回复的问题进行汇总，分发各职能部门负责人对提出的问题进行解答，由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统一进行回复；对于各部门暂时不能准确答复的问题给予说明，并书面报总经理，做详细登记。</w:t>
      </w:r>
    </w:p>
    <w:p w14:paraId="234BBB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3.对提出的建议、意见进行汇总，书面汇总后报总经理审批。</w:t>
      </w:r>
    </w:p>
    <w:p w14:paraId="1B0E492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4.各部门按照公司信息报送制度的要求，积极按时上报信息，网络工程师应及时刷新企业最新动态。</w:t>
      </w:r>
    </w:p>
    <w:p w14:paraId="01E1D8EB">
      <w:pPr>
        <w:spacing w:before="230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4" w:name="bookmark1"/>
      <w:bookmarkEnd w:id="14"/>
      <w:bookmarkStart w:id="15" w:name="bookmark14"/>
      <w:bookmarkEnd w:id="15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8.4.</w:t>
      </w:r>
      <w:r>
        <w:rPr>
          <w:rFonts w:ascii="宋体" w:hAnsi="宋体" w:eastAsia="宋体" w:cs="宋体"/>
          <w:spacing w:val="104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其它类沟通</w:t>
      </w:r>
    </w:p>
    <w:p w14:paraId="5FAA78C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1.培训：新员工入职培训、领导者及管理者培训、专业培训、通用技能培训等，要多以体验式、课堂式、交流研讨会等形式，注重培训效果的巩固与应用，将相关信息进行记录。</w:t>
      </w:r>
    </w:p>
    <w:p w14:paraId="1CAB95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2.面谈：管理者与员工进行的一对一、一对多、或多对多的面谈沟通，有效征求员工意见，反馈工作信息，激励员工行为。</w:t>
      </w:r>
    </w:p>
    <w:p w14:paraId="08A8F58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3.调查： 在各项与员工相关的管理制度下发之前，要充分沟通，了解员</w:t>
      </w:r>
    </w:p>
    <w:p w14:paraId="074B1B4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工对制度的意见或建议；在各项与工作相关的制度和流程下发之前，要和相关岗位的员工充分沟通，听取他们的分析，了解他们的意见和建议，提高制度与流程的准确性与可执行性；公司下发的文件，要通过通知、</w:t>
      </w:r>
    </w:p>
    <w:p w14:paraId="72E7CAB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公告栏等方式及时、准确地向全体员工传达。</w:t>
      </w:r>
    </w:p>
    <w:p w14:paraId="1FEDAD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4.意见箱：由质量管理专员每周五进行开箱收信，要高度重视，按电子邮件类型进行办理。</w:t>
      </w:r>
    </w:p>
    <w:p w14:paraId="3AC1EAB3">
      <w:pPr>
        <w:spacing w:before="232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6" w:name="bookmark1"/>
      <w:bookmarkEnd w:id="16"/>
      <w:bookmarkStart w:id="17" w:name="bookmark15"/>
      <w:bookmarkEnd w:id="17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8.5.</w:t>
      </w:r>
      <w:r>
        <w:rPr>
          <w:rFonts w:ascii="宋体" w:hAnsi="宋体" w:eastAsia="宋体" w:cs="宋体"/>
          <w:spacing w:val="101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越级沟通</w:t>
      </w:r>
    </w:p>
    <w:p w14:paraId="6F45B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对于正常的工作，各级工作人员要养成一种逐级上报的习惯。 但当工作中出现如下情况时，可以进行越级沟通：</w:t>
      </w:r>
    </w:p>
    <w:p w14:paraId="2DB978B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1、下级对上级汇报的工作内容，提出的意见和建议，多次得不到答复；</w:t>
      </w:r>
    </w:p>
    <w:p w14:paraId="319BF86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2、下级对上级的管理方式产生意见，需要投诉时；</w:t>
      </w:r>
    </w:p>
    <w:p w14:paraId="7D69EE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3、下级发现上级的违规行为时；</w:t>
      </w:r>
    </w:p>
    <w:p w14:paraId="69604BFC">
      <w:pPr>
        <w:spacing w:before="172" w:line="220" w:lineRule="auto"/>
        <w:ind w:left="26"/>
        <w:outlineLvl w:val="1"/>
        <w:rPr>
          <w:rFonts w:ascii="宋体" w:hAnsi="宋体" w:eastAsia="宋体" w:cs="宋体"/>
          <w:sz w:val="30"/>
          <w:szCs w:val="30"/>
        </w:rPr>
      </w:pPr>
      <w:bookmarkStart w:id="18" w:name="bookmark16"/>
      <w:bookmarkEnd w:id="18"/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8.6.</w:t>
      </w:r>
      <w:r>
        <w:rPr>
          <w:rFonts w:ascii="宋体" w:hAnsi="宋体" w:eastAsia="宋体" w:cs="宋体"/>
          <w:spacing w:val="109"/>
          <w:sz w:val="30"/>
          <w:szCs w:val="30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制度的监督执行</w:t>
      </w:r>
    </w:p>
    <w:p w14:paraId="157F08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2"/>
          <w:sz w:val="24"/>
          <w:szCs w:val="24"/>
        </w:rPr>
        <w:t>负责对信息内部沟通进行检查，各部门需提供相应的书面材料。对因信息不畅，造成工作任务未完成部门及个人将予以通报批评。</w:t>
      </w:r>
    </w:p>
    <w:p w14:paraId="2F275A53">
      <w:pPr>
        <w:pStyle w:val="20"/>
        <w:bidi w:val="0"/>
      </w:pPr>
      <w:bookmarkStart w:id="19" w:name="bookmark17"/>
      <w:bookmarkEnd w:id="19"/>
      <w:r>
        <w:t>对外沟通</w:t>
      </w:r>
    </w:p>
    <w:p w14:paraId="331BA3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1.本公司的产品信息，以质量目标、口头、书面或广告等方式让客户了解。</w:t>
      </w:r>
    </w:p>
    <w:p w14:paraId="45C915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运维服务部主动掌握客户的需求或客户需求服务时，由承办人员填写内部联络单，反映给部门主管签核，以确定客户服务的需求。业务人员针对内部联络单之需求，适时处理客户需求，并将相关部门所回复的处理结果填入内部联络单呈部门主管核阅，将处理结果以电话、传真或邮寄方式回复客户确认是否满足其客户需求。</w:t>
      </w:r>
    </w:p>
    <w:p w14:paraId="7CEEEB4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3.由公司授权运维服务部负责与客户签订合同或合同变更，处理方式依顾客要求评审控制程序规定办理。</w:t>
      </w:r>
    </w:p>
    <w:p w14:paraId="3CE03F7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4.客户以书面或口头等方式，向运维服务部提出抱怨时，必须将抱怨事实依据客户信息反馈管理制度规定办理。</w:t>
      </w:r>
    </w:p>
    <w:p w14:paraId="1E60099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5.运维服务部应定期调查客户对本公司产品/服务的状况，以了解客户的满意度或意见，参照客户满意监视和测量控制程序执行。</w:t>
      </w:r>
    </w:p>
    <w:p w14:paraId="5D7F30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68" w:hanging="468" w:hanging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6.客户抱怨的信息亦应适时宣导使员工知悉，以作为鼓励或激励的依据</w:t>
      </w:r>
    </w:p>
    <w:p w14:paraId="78EEC6E9">
      <w:pPr>
        <w:pStyle w:val="20"/>
        <w:bidi w:val="0"/>
      </w:pPr>
      <w:bookmarkStart w:id="20" w:name="bookmark18"/>
      <w:bookmarkEnd w:id="20"/>
      <w:r>
        <w:t>附  则</w:t>
      </w:r>
    </w:p>
    <w:p w14:paraId="0203B667">
      <w:pPr>
        <w:spacing w:before="178" w:line="220" w:lineRule="auto"/>
        <w:ind w:left="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1.公司内部沟通管理工作由公司的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实施</w:t>
      </w:r>
      <w:r>
        <w:rPr>
          <w:rFonts w:ascii="宋体" w:hAnsi="宋体" w:eastAsia="宋体" w:cs="宋体"/>
          <w:spacing w:val="-4"/>
          <w:sz w:val="24"/>
          <w:szCs w:val="24"/>
        </w:rPr>
        <w:t>管理。</w:t>
      </w:r>
    </w:p>
    <w:p w14:paraId="040F3BD6">
      <w:pPr>
        <w:spacing w:before="182" w:line="219" w:lineRule="auto"/>
        <w:ind w:left="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2.本制度未尽事宜按国家法律、法规、规范性文件和本公司章程规定执行。</w:t>
      </w:r>
    </w:p>
    <w:p w14:paraId="20861CBA">
      <w:pPr>
        <w:spacing w:before="185" w:line="289" w:lineRule="auto"/>
        <w:ind w:left="471" w:right="380" w:hanging="4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3.本制度与国法律、法规、规范性文件和本公司章程规定不一致的，以有关</w:t>
      </w:r>
      <w:r>
        <w:rPr>
          <w:rFonts w:ascii="宋体" w:hAnsi="宋体" w:eastAsia="宋体" w:cs="宋体"/>
          <w:spacing w:val="-3"/>
          <w:sz w:val="24"/>
          <w:szCs w:val="24"/>
        </w:rPr>
        <w:t>国家法律、法规、规范性文件和本公司章程规定为准。</w:t>
      </w:r>
    </w:p>
    <w:p w14:paraId="079F7522">
      <w:pPr>
        <w:spacing w:before="183" w:line="217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4.本制度由公司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3"/>
          <w:sz w:val="24"/>
          <w:szCs w:val="24"/>
        </w:rPr>
        <w:t>拟定,</w:t>
      </w:r>
      <w:r>
        <w:rPr>
          <w:rFonts w:ascii="宋体" w:hAnsi="宋体" w:eastAsia="宋体" w:cs="宋体"/>
          <w:spacing w:val="-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自公司总经理批准颁布</w:t>
      </w:r>
      <w:r>
        <w:rPr>
          <w:rFonts w:ascii="宋体" w:hAnsi="宋体" w:eastAsia="宋体" w:cs="宋体"/>
          <w:spacing w:val="-4"/>
          <w:sz w:val="24"/>
          <w:szCs w:val="24"/>
        </w:rPr>
        <w:t>之日起施行。</w:t>
      </w:r>
      <w:bookmarkStart w:id="21" w:name="_GoBack"/>
      <w:bookmarkEnd w:id="21"/>
    </w:p>
    <w:sectPr>
      <w:footerReference r:id="rId5" w:type="default"/>
      <w:pgSz w:w="11906" w:h="16839"/>
      <w:pgMar w:top="1431" w:right="1620" w:bottom="1374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C1EB6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5A652F0"/>
    <w:multiLevelType w:val="singleLevel"/>
    <w:tmpl w:val="75A652F0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E925F2"/>
    <w:rsid w:val="0A80786B"/>
    <w:rsid w:val="0AA30F3E"/>
    <w:rsid w:val="0EAC3092"/>
    <w:rsid w:val="0F824086"/>
    <w:rsid w:val="0FDA5C70"/>
    <w:rsid w:val="15D05B4B"/>
    <w:rsid w:val="18DC65B5"/>
    <w:rsid w:val="1C7F5BD5"/>
    <w:rsid w:val="202A40A9"/>
    <w:rsid w:val="20BF0C96"/>
    <w:rsid w:val="21A8797C"/>
    <w:rsid w:val="21C87751"/>
    <w:rsid w:val="22714212"/>
    <w:rsid w:val="247B4ED4"/>
    <w:rsid w:val="2E30169A"/>
    <w:rsid w:val="313308E4"/>
    <w:rsid w:val="335F6339"/>
    <w:rsid w:val="341D307C"/>
    <w:rsid w:val="346911EC"/>
    <w:rsid w:val="35AD6EB7"/>
    <w:rsid w:val="3727713D"/>
    <w:rsid w:val="37E62B54"/>
    <w:rsid w:val="38083E7D"/>
    <w:rsid w:val="3828316D"/>
    <w:rsid w:val="39CB2002"/>
    <w:rsid w:val="3AE55B57"/>
    <w:rsid w:val="3FDF3B97"/>
    <w:rsid w:val="41F61BE6"/>
    <w:rsid w:val="42827522"/>
    <w:rsid w:val="43670FED"/>
    <w:rsid w:val="44862580"/>
    <w:rsid w:val="460A5C60"/>
    <w:rsid w:val="47651A3C"/>
    <w:rsid w:val="47855EE6"/>
    <w:rsid w:val="480A63EB"/>
    <w:rsid w:val="48B425AE"/>
    <w:rsid w:val="4A927FF3"/>
    <w:rsid w:val="4BA353E1"/>
    <w:rsid w:val="4CFB6302"/>
    <w:rsid w:val="4EC217CD"/>
    <w:rsid w:val="512D516E"/>
    <w:rsid w:val="536C7F5A"/>
    <w:rsid w:val="53EE716F"/>
    <w:rsid w:val="550003BB"/>
    <w:rsid w:val="55DC05B3"/>
    <w:rsid w:val="5BAC73B5"/>
    <w:rsid w:val="64882719"/>
    <w:rsid w:val="67FC76A6"/>
    <w:rsid w:val="68F22857"/>
    <w:rsid w:val="72827AE5"/>
    <w:rsid w:val="760F284C"/>
    <w:rsid w:val="7631634E"/>
    <w:rsid w:val="772269FE"/>
    <w:rsid w:val="775A7F45"/>
    <w:rsid w:val="7859644F"/>
    <w:rsid w:val="7AC06311"/>
    <w:rsid w:val="7DA401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2438</Words>
  <Characters>2592</Characters>
  <TotalTime>0</TotalTime>
  <ScaleCrop>false</ScaleCrop>
  <LinksUpToDate>false</LinksUpToDate>
  <CharactersWithSpaces>2758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2025-08-18T17:59:00Z</dcterms:created>
  <dc:creator>谢永刚</dc:creator>
  <cp:lastModifiedBy>郝宇</cp:lastModifiedBy>
  <dcterms:modified xsi:type="dcterms:W3CDTF">2025-08-23T09:17:09Z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2025-08-20T23:59:32Z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E8CF62B20D64493791925A727BD83F6C_12</vt:lpwstr>
  </property>
</Properties>
</file>