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9EFB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6</w:t>
      </w:r>
    </w:p>
    <w:p w14:paraId="26292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C014374">
      <w:pPr>
        <w:pStyle w:val="24"/>
        <w:bidi w:val="0"/>
      </w:pPr>
      <w:bookmarkStart w:id="0" w:name="_Toc3170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272EE56">
      <w:pPr>
        <w:pStyle w:val="25"/>
        <w:bidi w:val="0"/>
        <w:rPr>
          <w:rFonts w:hint="default"/>
          <w:lang w:val="en-US"/>
        </w:rPr>
      </w:pPr>
      <w:bookmarkStart w:id="1" w:name="_Toc10377"/>
      <w:r>
        <w:rPr>
          <w:rFonts w:hint="eastAsia"/>
          <w:lang w:val="en-US" w:eastAsia="zh-CN"/>
        </w:rPr>
        <w:t>沟通管理制度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9CF3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F24E7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0C3BA931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5666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3C0E010C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92F97C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E0F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B9B47C5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3F4E7A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6098EAEE">
      <w:r>
        <w:br w:type="page"/>
      </w:r>
    </w:p>
    <w:p w14:paraId="6768AF9C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70FA67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25BC661C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5E8CBBE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04B25E3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EE28A68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7C137F5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A55E496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198D01A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33D1889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2775E91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AA6FF8B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A0C2F8D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432736671"/>
                <w:lang w:val="en-US" w:eastAsia="zh-CN"/>
              </w:rPr>
              <w:t>孙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432736671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67C8B7A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544751AC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FB8DB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B1FAF90">
            <w:pPr>
              <w:pStyle w:val="27"/>
            </w:pPr>
          </w:p>
        </w:tc>
        <w:tc>
          <w:tcPr>
            <w:tcW w:w="919" w:type="dxa"/>
          </w:tcPr>
          <w:p w14:paraId="0374FCD5">
            <w:pPr>
              <w:pStyle w:val="27"/>
            </w:pPr>
          </w:p>
        </w:tc>
        <w:tc>
          <w:tcPr>
            <w:tcW w:w="2289" w:type="dxa"/>
          </w:tcPr>
          <w:p w14:paraId="0745C65F">
            <w:pPr>
              <w:pStyle w:val="27"/>
            </w:pPr>
          </w:p>
        </w:tc>
        <w:tc>
          <w:tcPr>
            <w:tcW w:w="1148" w:type="dxa"/>
          </w:tcPr>
          <w:p w14:paraId="46C8C27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FC93D0E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FD33C1F">
            <w:pPr>
              <w:pStyle w:val="27"/>
            </w:pPr>
          </w:p>
        </w:tc>
      </w:tr>
      <w:tr w14:paraId="15EAA5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82FF2CD">
            <w:pPr>
              <w:pStyle w:val="27"/>
            </w:pPr>
          </w:p>
        </w:tc>
        <w:tc>
          <w:tcPr>
            <w:tcW w:w="919" w:type="dxa"/>
          </w:tcPr>
          <w:p w14:paraId="4B9C7258">
            <w:pPr>
              <w:pStyle w:val="27"/>
            </w:pPr>
          </w:p>
        </w:tc>
        <w:tc>
          <w:tcPr>
            <w:tcW w:w="2289" w:type="dxa"/>
          </w:tcPr>
          <w:p w14:paraId="39FEDAD0">
            <w:pPr>
              <w:pStyle w:val="27"/>
            </w:pPr>
          </w:p>
        </w:tc>
        <w:tc>
          <w:tcPr>
            <w:tcW w:w="1148" w:type="dxa"/>
          </w:tcPr>
          <w:p w14:paraId="761C254D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604F01A5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56D490DF">
            <w:pPr>
              <w:pStyle w:val="27"/>
            </w:pPr>
          </w:p>
        </w:tc>
      </w:tr>
      <w:tr w14:paraId="51C6E2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8DFBF35">
            <w:pPr>
              <w:pStyle w:val="27"/>
            </w:pPr>
          </w:p>
        </w:tc>
        <w:tc>
          <w:tcPr>
            <w:tcW w:w="919" w:type="dxa"/>
          </w:tcPr>
          <w:p w14:paraId="5A28FEBD">
            <w:pPr>
              <w:pStyle w:val="27"/>
            </w:pPr>
          </w:p>
        </w:tc>
        <w:tc>
          <w:tcPr>
            <w:tcW w:w="2289" w:type="dxa"/>
          </w:tcPr>
          <w:p w14:paraId="26840061">
            <w:pPr>
              <w:pStyle w:val="27"/>
            </w:pPr>
          </w:p>
        </w:tc>
        <w:tc>
          <w:tcPr>
            <w:tcW w:w="1148" w:type="dxa"/>
          </w:tcPr>
          <w:p w14:paraId="1066F84C">
            <w:pPr>
              <w:pStyle w:val="27"/>
            </w:pPr>
          </w:p>
        </w:tc>
        <w:tc>
          <w:tcPr>
            <w:tcW w:w="1150" w:type="dxa"/>
          </w:tcPr>
          <w:p w14:paraId="27B4DBBD">
            <w:pPr>
              <w:pStyle w:val="27"/>
            </w:pPr>
          </w:p>
        </w:tc>
        <w:tc>
          <w:tcPr>
            <w:tcW w:w="1240" w:type="dxa"/>
          </w:tcPr>
          <w:p w14:paraId="646F74EA">
            <w:pPr>
              <w:pStyle w:val="27"/>
            </w:pPr>
          </w:p>
        </w:tc>
      </w:tr>
      <w:tr w14:paraId="53069A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E8D89EA">
            <w:pPr>
              <w:pStyle w:val="27"/>
            </w:pPr>
          </w:p>
        </w:tc>
        <w:tc>
          <w:tcPr>
            <w:tcW w:w="919" w:type="dxa"/>
          </w:tcPr>
          <w:p w14:paraId="4685BB96">
            <w:pPr>
              <w:pStyle w:val="27"/>
            </w:pPr>
          </w:p>
        </w:tc>
        <w:tc>
          <w:tcPr>
            <w:tcW w:w="2289" w:type="dxa"/>
          </w:tcPr>
          <w:p w14:paraId="3643B591">
            <w:pPr>
              <w:pStyle w:val="27"/>
            </w:pPr>
          </w:p>
        </w:tc>
        <w:tc>
          <w:tcPr>
            <w:tcW w:w="1148" w:type="dxa"/>
          </w:tcPr>
          <w:p w14:paraId="4C4D5B17">
            <w:pPr>
              <w:pStyle w:val="27"/>
            </w:pPr>
          </w:p>
        </w:tc>
        <w:tc>
          <w:tcPr>
            <w:tcW w:w="1150" w:type="dxa"/>
          </w:tcPr>
          <w:p w14:paraId="21EEE1BE">
            <w:pPr>
              <w:pStyle w:val="27"/>
            </w:pPr>
          </w:p>
        </w:tc>
        <w:tc>
          <w:tcPr>
            <w:tcW w:w="1240" w:type="dxa"/>
          </w:tcPr>
          <w:p w14:paraId="31D44789">
            <w:pPr>
              <w:pStyle w:val="27"/>
            </w:pPr>
          </w:p>
        </w:tc>
      </w:tr>
      <w:tr w14:paraId="75E0B0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437BFC28">
            <w:pPr>
              <w:pStyle w:val="27"/>
            </w:pPr>
          </w:p>
        </w:tc>
        <w:tc>
          <w:tcPr>
            <w:tcW w:w="919" w:type="dxa"/>
          </w:tcPr>
          <w:p w14:paraId="258B2E64">
            <w:pPr>
              <w:pStyle w:val="27"/>
            </w:pPr>
          </w:p>
        </w:tc>
        <w:tc>
          <w:tcPr>
            <w:tcW w:w="2289" w:type="dxa"/>
          </w:tcPr>
          <w:p w14:paraId="1D9121F8">
            <w:pPr>
              <w:pStyle w:val="27"/>
            </w:pPr>
          </w:p>
        </w:tc>
        <w:tc>
          <w:tcPr>
            <w:tcW w:w="1148" w:type="dxa"/>
          </w:tcPr>
          <w:p w14:paraId="55FFD045">
            <w:pPr>
              <w:pStyle w:val="27"/>
            </w:pPr>
          </w:p>
        </w:tc>
        <w:tc>
          <w:tcPr>
            <w:tcW w:w="1150" w:type="dxa"/>
          </w:tcPr>
          <w:p w14:paraId="05050970">
            <w:pPr>
              <w:pStyle w:val="27"/>
            </w:pPr>
          </w:p>
        </w:tc>
        <w:tc>
          <w:tcPr>
            <w:tcW w:w="1240" w:type="dxa"/>
          </w:tcPr>
          <w:p w14:paraId="3C08BC89">
            <w:pPr>
              <w:pStyle w:val="27"/>
            </w:pPr>
          </w:p>
        </w:tc>
      </w:tr>
    </w:tbl>
    <w:p w14:paraId="0FD0432B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273540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733998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_Toc31704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_Toc31704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C5FA0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沟通管理制度</w:t>
          </w:r>
          <w:r>
            <w:tab/>
          </w:r>
          <w:r>
            <w:fldChar w:fldCharType="begin"/>
          </w:r>
          <w:r>
            <w:instrText xml:space="preserve"> PAGEREF _Toc10377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D063A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_Toc4304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_Toc4304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E88C8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_Toc14555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4952D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_Toc23109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_Toc23109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1D305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_Toc13523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257E6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_Toc1655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B1ABC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_Toc21651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服务台</w:t>
          </w:r>
          <w:r>
            <w:tab/>
          </w:r>
          <w:r>
            <w:fldChar w:fldCharType="begin"/>
          </w:r>
          <w:r>
            <w:instrText xml:space="preserve"> PAGEREF _Toc21651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AFF83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_Toc11347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沟通管理流程</w:t>
          </w:r>
          <w:r>
            <w:tab/>
          </w:r>
          <w:r>
            <w:fldChar w:fldCharType="begin"/>
          </w:r>
          <w:r>
            <w:instrText xml:space="preserve"> PAGEREF _Toc11347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30274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_Toc32070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沟通矩阵</w:t>
          </w:r>
          <w:r>
            <w:tab/>
          </w:r>
          <w:r>
            <w:fldChar w:fldCharType="begin"/>
          </w:r>
          <w:r>
            <w:instrText xml:space="preserve"> PAGEREF _Toc32070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297B3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_Toc26250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沟通方法</w:t>
          </w:r>
          <w:r>
            <w:tab/>
          </w:r>
          <w:r>
            <w:fldChar w:fldCharType="begin"/>
          </w:r>
          <w:r>
            <w:instrText xml:space="preserve"> PAGEREF _Toc26250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9CD37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沟通内容</w:t>
          </w:r>
          <w:r>
            <w:tab/>
          </w:r>
          <w:r>
            <w:fldChar w:fldCharType="begin"/>
          </w:r>
          <w:r>
            <w:instrText xml:space="preserve"> PAGEREF _Toc10330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C4501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_Toc29764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客户意见的分析</w:t>
          </w:r>
          <w:r>
            <w:tab/>
          </w:r>
          <w:r>
            <w:fldChar w:fldCharType="begin"/>
          </w:r>
          <w:r>
            <w:instrText xml:space="preserve"> PAGEREF _Toc29764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E9EC0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客户意见的处理</w:t>
          </w:r>
          <w:r>
            <w:tab/>
          </w:r>
          <w:r>
            <w:fldChar w:fldCharType="begin"/>
          </w:r>
          <w:r>
            <w:instrText xml:space="preserve"> PAGEREF _Toc32233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E3414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_Toc29822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BB7D1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AB0EE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_Toc14685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B658D2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870E23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D159EA9">
      <w:pPr>
        <w:pStyle w:val="28"/>
        <w:bidi w:val="0"/>
      </w:pPr>
      <w:bookmarkStart w:id="2" w:name="_Toc4304"/>
      <w:r>
        <w:t>目的</w:t>
      </w:r>
      <w:bookmarkEnd w:id="2"/>
    </w:p>
    <w:p w14:paraId="3590C602">
      <w:pPr>
        <w:pStyle w:val="29"/>
        <w:bidi w:val="0"/>
      </w:pPr>
      <w:r>
        <w:t>为了规范</w:t>
      </w:r>
      <w:r>
        <w:rPr>
          <w:rFonts w:hint="eastAsia"/>
          <w:lang w:val="en-US" w:eastAsia="zh-CN"/>
        </w:rPr>
        <w:t>运维服务过程中</w:t>
      </w:r>
      <w:r>
        <w:t>与各方的沟通活动，听取客户对改进服务的意见和建议，提升运维工作质量，特制定本沟通管理</w:t>
      </w:r>
      <w:r>
        <w:rPr>
          <w:rFonts w:hint="eastAsia"/>
          <w:lang w:val="en-US" w:eastAsia="zh-CN"/>
        </w:rPr>
        <w:t>制度</w:t>
      </w:r>
      <w:r>
        <w:t>。</w:t>
      </w:r>
    </w:p>
    <w:p w14:paraId="473892DC">
      <w:pPr>
        <w:pStyle w:val="28"/>
        <w:bidi w:val="0"/>
        <w:rPr>
          <w:rFonts w:hint="eastAsia"/>
          <w:lang w:val="en-US" w:eastAsia="zh-CN"/>
        </w:rPr>
      </w:pPr>
      <w:bookmarkStart w:id="3" w:name="_Toc14555"/>
      <w:r>
        <w:rPr>
          <w:rFonts w:hint="eastAsia"/>
          <w:lang w:val="en-US" w:eastAsia="zh-CN"/>
        </w:rPr>
        <w:t>原则</w:t>
      </w:r>
      <w:bookmarkEnd w:id="3"/>
    </w:p>
    <w:p w14:paraId="3E7F8DCE">
      <w:pPr>
        <w:pStyle w:val="29"/>
        <w:bidi w:val="0"/>
        <w:rPr>
          <w:rFonts w:hint="eastAsia"/>
          <w:lang w:val="en-US" w:eastAsia="zh-CN"/>
        </w:rPr>
      </w:pPr>
      <w:r>
        <w:t>应建立主动、清晰、双向的沟通机制，确保信息传递及时准确，并贯穿于事件全生命周期，以促进共识、消除歧义。</w:t>
      </w:r>
    </w:p>
    <w:p w14:paraId="3DF43207">
      <w:pPr>
        <w:pStyle w:val="28"/>
        <w:bidi w:val="0"/>
      </w:pPr>
      <w:bookmarkStart w:id="4" w:name="_Toc23109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5CBA245">
      <w:pPr>
        <w:pStyle w:val="29"/>
        <w:bidi w:val="0"/>
      </w:pPr>
      <w:r>
        <w:t>适用于公司运维服务相关的沟通活动。</w:t>
      </w:r>
    </w:p>
    <w:p w14:paraId="307B92D8">
      <w:pPr>
        <w:pStyle w:val="28"/>
        <w:bidi w:val="0"/>
        <w:rPr>
          <w:rFonts w:hint="eastAsia"/>
          <w:lang w:val="en-US" w:eastAsia="zh-CN"/>
        </w:rPr>
      </w:pPr>
      <w:bookmarkStart w:id="5" w:name="_Toc13523"/>
      <w:r>
        <w:rPr>
          <w:rFonts w:hint="eastAsia"/>
          <w:lang w:val="en-US" w:eastAsia="zh-CN"/>
        </w:rPr>
        <w:t>岗位职责</w:t>
      </w:r>
      <w:bookmarkEnd w:id="5"/>
    </w:p>
    <w:p w14:paraId="48475514">
      <w:pPr>
        <w:pStyle w:val="30"/>
        <w:bidi w:val="0"/>
        <w:rPr>
          <w:rFonts w:hint="eastAsia"/>
          <w:lang w:val="en-US" w:eastAsia="zh-CN"/>
        </w:rPr>
      </w:pPr>
      <w:bookmarkStart w:id="6" w:name="_Toc1655"/>
      <w:r>
        <w:rPr>
          <w:rFonts w:hint="eastAsia"/>
          <w:lang w:val="en-US" w:eastAsia="zh-CN"/>
        </w:rPr>
        <w:t>运维项目经理</w:t>
      </w:r>
      <w:bookmarkEnd w:id="6"/>
    </w:p>
    <w:p w14:paraId="0D0320AC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对所负责的项目定期与客户进行联系与沟通；</w:t>
      </w:r>
    </w:p>
    <w:p w14:paraId="1ED720A9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听取客户意见和建议，并对意见或建议进行分析处理。</w:t>
      </w:r>
    </w:p>
    <w:p w14:paraId="60DF7C88">
      <w:pPr>
        <w:pStyle w:val="30"/>
        <w:bidi w:val="0"/>
        <w:rPr>
          <w:rFonts w:hint="default"/>
          <w:lang w:val="en-US" w:eastAsia="zh-CN"/>
        </w:rPr>
      </w:pPr>
      <w:bookmarkStart w:id="7" w:name="_Toc21651"/>
      <w:r>
        <w:rPr>
          <w:rFonts w:hint="eastAsia"/>
          <w:lang w:val="en-US" w:eastAsia="zh-CN"/>
        </w:rPr>
        <w:t>服务台</w:t>
      </w:r>
      <w:bookmarkEnd w:id="7"/>
    </w:p>
    <w:p w14:paraId="746EFCAE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对报障与服务请求与客户进行沟通；</w:t>
      </w:r>
    </w:p>
    <w:p w14:paraId="4412E16C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对处理完成的保障与服务请求进行客户回访，听取客户提出的意见；</w:t>
      </w:r>
    </w:p>
    <w:p w14:paraId="3AA81FC6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对客户的投诉进行沟通，并积极上报。</w:t>
      </w:r>
    </w:p>
    <w:p w14:paraId="57B344A8">
      <w:pPr>
        <w:pStyle w:val="28"/>
        <w:bidi w:val="0"/>
        <w:rPr>
          <w:rFonts w:hint="default"/>
          <w:lang w:val="en-US" w:eastAsia="zh-CN"/>
        </w:rPr>
      </w:pPr>
      <w:bookmarkStart w:id="8" w:name="_Toc11347"/>
      <w:r>
        <w:rPr>
          <w:rFonts w:hint="eastAsia"/>
          <w:lang w:val="en-US" w:eastAsia="zh-CN"/>
        </w:rPr>
        <w:t>沟通管理流程</w:t>
      </w:r>
      <w:bookmarkEnd w:id="8"/>
    </w:p>
    <w:p w14:paraId="165540E9">
      <w:pPr>
        <w:pStyle w:val="30"/>
        <w:bidi w:val="0"/>
      </w:pPr>
      <w:bookmarkStart w:id="9" w:name="_Toc32070"/>
      <w:r>
        <w:t>沟通矩阵</w:t>
      </w:r>
      <w:bookmarkEnd w:id="9"/>
    </w:p>
    <w:p w14:paraId="582B48E1">
      <w:pPr>
        <w:spacing w:line="96" w:lineRule="exact"/>
      </w:pPr>
    </w:p>
    <w:tbl>
      <w:tblPr>
        <w:tblStyle w:val="26"/>
        <w:tblW w:w="701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2"/>
        <w:gridCol w:w="1479"/>
        <w:gridCol w:w="2343"/>
      </w:tblGrid>
      <w:tr w14:paraId="3E23A0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80" w:hRule="atLeast"/>
        </w:trPr>
        <w:tc>
          <w:tcPr>
            <w:tcW w:w="3192" w:type="dxa"/>
            <w:shd w:val="clear" w:color="auto" w:fill="D9D9D9"/>
          </w:tcPr>
          <w:p w14:paraId="61D71C32">
            <w:pPr>
              <w:spacing w:before="33" w:line="218" w:lineRule="auto"/>
              <w:ind w:left="14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沟通内容</w:t>
            </w:r>
          </w:p>
        </w:tc>
        <w:tc>
          <w:tcPr>
            <w:tcW w:w="1479" w:type="dxa"/>
            <w:shd w:val="clear" w:color="auto" w:fill="D9D9D9"/>
          </w:tcPr>
          <w:p w14:paraId="17CFBA9A">
            <w:pPr>
              <w:spacing w:before="33" w:line="218" w:lineRule="auto"/>
              <w:ind w:left="4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服务台</w:t>
            </w:r>
          </w:p>
        </w:tc>
        <w:tc>
          <w:tcPr>
            <w:tcW w:w="2343" w:type="dxa"/>
            <w:shd w:val="clear" w:color="auto" w:fill="D9D9D9"/>
          </w:tcPr>
          <w:p w14:paraId="4387C226">
            <w:pPr>
              <w:spacing w:before="33" w:line="218" w:lineRule="auto"/>
              <w:ind w:left="439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6"/>
                <w:sz w:val="20"/>
                <w:szCs w:val="20"/>
                <w:lang w:eastAsia="zh-CN"/>
              </w:rPr>
              <w:t>运维项目经理</w:t>
            </w:r>
          </w:p>
        </w:tc>
      </w:tr>
      <w:tr w14:paraId="40A0C4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</w:tcPr>
          <w:p w14:paraId="0E49D2B0">
            <w:pPr>
              <w:spacing w:before="94" w:line="228" w:lineRule="auto"/>
              <w:ind w:left="8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报障与服务请求</w:t>
            </w:r>
          </w:p>
        </w:tc>
        <w:tc>
          <w:tcPr>
            <w:tcW w:w="1479" w:type="dxa"/>
          </w:tcPr>
          <w:p w14:paraId="5872EB22">
            <w:pPr>
              <w:spacing w:before="94" w:line="268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</w:tcPr>
          <w:p w14:paraId="65196D03">
            <w:pPr>
              <w:spacing w:before="94" w:line="268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4776B9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</w:tcPr>
          <w:p w14:paraId="7830A566">
            <w:pPr>
              <w:spacing w:before="95" w:line="226" w:lineRule="auto"/>
              <w:ind w:left="11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服务报告</w:t>
            </w:r>
          </w:p>
        </w:tc>
        <w:tc>
          <w:tcPr>
            <w:tcW w:w="1479" w:type="dxa"/>
          </w:tcPr>
          <w:p w14:paraId="1EEF8C0C">
            <w:pPr>
              <w:pStyle w:val="27"/>
            </w:pPr>
          </w:p>
        </w:tc>
        <w:tc>
          <w:tcPr>
            <w:tcW w:w="2343" w:type="dxa"/>
          </w:tcPr>
          <w:p w14:paraId="59D7BA1B">
            <w:pPr>
              <w:spacing w:before="95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3A67F4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3192" w:type="dxa"/>
          </w:tcPr>
          <w:p w14:paraId="4374313E">
            <w:pPr>
              <w:spacing w:before="96" w:line="228" w:lineRule="auto"/>
              <w:ind w:left="11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项目沟通</w:t>
            </w:r>
          </w:p>
        </w:tc>
        <w:tc>
          <w:tcPr>
            <w:tcW w:w="1479" w:type="dxa"/>
          </w:tcPr>
          <w:p w14:paraId="1A4D290C">
            <w:pPr>
              <w:pStyle w:val="27"/>
            </w:pPr>
          </w:p>
        </w:tc>
        <w:tc>
          <w:tcPr>
            <w:tcW w:w="2343" w:type="dxa"/>
          </w:tcPr>
          <w:p w14:paraId="3ED564AB">
            <w:pPr>
              <w:spacing w:before="96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7F61E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</w:tcPr>
          <w:p w14:paraId="385E2B5B">
            <w:pPr>
              <w:spacing w:before="96" w:line="228" w:lineRule="auto"/>
              <w:ind w:left="14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回访</w:t>
            </w:r>
          </w:p>
        </w:tc>
        <w:tc>
          <w:tcPr>
            <w:tcW w:w="1479" w:type="dxa"/>
          </w:tcPr>
          <w:p w14:paraId="46B7C37E">
            <w:pPr>
              <w:spacing w:before="96" w:line="268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</w:tcPr>
          <w:p w14:paraId="1281A16E">
            <w:pPr>
              <w:pStyle w:val="27"/>
            </w:pPr>
          </w:p>
        </w:tc>
      </w:tr>
      <w:tr w14:paraId="021700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192" w:type="dxa"/>
          </w:tcPr>
          <w:p w14:paraId="4391C75C">
            <w:pPr>
              <w:spacing w:before="96" w:line="228" w:lineRule="auto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满意度调查</w:t>
            </w:r>
          </w:p>
        </w:tc>
        <w:tc>
          <w:tcPr>
            <w:tcW w:w="1479" w:type="dxa"/>
          </w:tcPr>
          <w:p w14:paraId="263853FC">
            <w:pPr>
              <w:pStyle w:val="27"/>
            </w:pPr>
          </w:p>
        </w:tc>
        <w:tc>
          <w:tcPr>
            <w:tcW w:w="2343" w:type="dxa"/>
          </w:tcPr>
          <w:p w14:paraId="4476C713">
            <w:pPr>
              <w:spacing w:before="97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  <w:tr w14:paraId="4E8BF7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3192" w:type="dxa"/>
          </w:tcPr>
          <w:p w14:paraId="627BDA01">
            <w:pPr>
              <w:spacing w:before="98" w:line="228" w:lineRule="auto"/>
              <w:ind w:left="13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投诉</w:t>
            </w:r>
          </w:p>
        </w:tc>
        <w:tc>
          <w:tcPr>
            <w:tcW w:w="1479" w:type="dxa"/>
          </w:tcPr>
          <w:p w14:paraId="2B1B1CBF">
            <w:pPr>
              <w:spacing w:before="98" w:line="267" w:lineRule="exact"/>
              <w:ind w:left="6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  <w:tc>
          <w:tcPr>
            <w:tcW w:w="2343" w:type="dxa"/>
          </w:tcPr>
          <w:p w14:paraId="663F6B73">
            <w:pPr>
              <w:spacing w:before="98" w:line="267" w:lineRule="exact"/>
              <w:ind w:left="10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■</w:t>
            </w:r>
          </w:p>
        </w:tc>
      </w:tr>
    </w:tbl>
    <w:p w14:paraId="3DF5C755">
      <w:pPr>
        <w:pStyle w:val="30"/>
        <w:bidi w:val="0"/>
        <w:rPr>
          <w:rFonts w:hint="default"/>
          <w:lang w:val="en-US" w:eastAsia="zh-CN"/>
        </w:rPr>
      </w:pPr>
      <w:bookmarkStart w:id="10" w:name="_Toc26250"/>
      <w:r>
        <w:rPr>
          <w:rFonts w:hint="eastAsia"/>
          <w:lang w:val="en-US" w:eastAsia="zh-CN"/>
        </w:rPr>
        <w:t>沟通方法</w:t>
      </w:r>
      <w:bookmarkEnd w:id="10"/>
    </w:p>
    <w:p w14:paraId="103526D1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运维项目经理</w:t>
      </w:r>
      <w:bookmarkStart w:id="24" w:name="_GoBack"/>
      <w:bookmarkEnd w:id="24"/>
      <w:r>
        <w:t>采用服务热线、信函、面访等方式与客户进行交流沟通，征集客户意见、建议；听取反馈信息、收集客户意见、提出整改方案、积极落实推进。</w:t>
      </w:r>
    </w:p>
    <w:p w14:paraId="6891ECCA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服务台接收到客户保障、服务请求、投诉时，清晰的了解客户反馈的信息并记录，处理完成后以电话形式进行回访，听取客户的反馈。</w:t>
      </w:r>
    </w:p>
    <w:p w14:paraId="332FC42C">
      <w:pPr>
        <w:pStyle w:val="30"/>
        <w:bidi w:val="0"/>
      </w:pPr>
      <w:bookmarkStart w:id="11" w:name="bookmark10"/>
      <w:bookmarkEnd w:id="11"/>
      <w:bookmarkStart w:id="12" w:name="bookmark15"/>
      <w:bookmarkEnd w:id="12"/>
      <w:bookmarkStart w:id="13" w:name="_Toc10330"/>
      <w:r>
        <w:t>沟通内容</w:t>
      </w:r>
      <w:bookmarkEnd w:id="13"/>
    </w:p>
    <w:p w14:paraId="595F5A0F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客户对运维服务质量的评价、意见或建议；</w:t>
      </w:r>
    </w:p>
    <w:p w14:paraId="5EFC8699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与客户共同探讨提升服务的方法，了解客户需求，共同建立改进计划等。</w:t>
      </w:r>
    </w:p>
    <w:p w14:paraId="361AF586">
      <w:pPr>
        <w:pStyle w:val="30"/>
        <w:bidi w:val="0"/>
      </w:pPr>
      <w:bookmarkStart w:id="14" w:name="bookmark11"/>
      <w:bookmarkEnd w:id="14"/>
      <w:bookmarkStart w:id="15" w:name="_Toc29764"/>
      <w:r>
        <w:t>客户意见的分析</w:t>
      </w:r>
      <w:bookmarkEnd w:id="15"/>
    </w:p>
    <w:p w14:paraId="71680738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t>公司部门接到客户意见或建议，如该意见或建议能由本部门自行解决，对客户意见或建议的问题进行分析和处理，合理的客户意见应纳入到服务改进计划中进行实施。</w:t>
      </w:r>
    </w:p>
    <w:p w14:paraId="435107ED">
      <w:pPr>
        <w:pStyle w:val="30"/>
        <w:bidi w:val="0"/>
      </w:pPr>
      <w:bookmarkStart w:id="16" w:name="bookmark12"/>
      <w:bookmarkEnd w:id="16"/>
      <w:bookmarkStart w:id="17" w:name="_Toc32233"/>
      <w:r>
        <w:t>客户意见的处理</w:t>
      </w:r>
      <w:bookmarkEnd w:id="17"/>
    </w:p>
    <w:p w14:paraId="6A0065C9">
      <w:pPr>
        <w:pStyle w:val="3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运维项目经理</w:t>
      </w:r>
      <w:r>
        <w:t>根据客户意见或建议的问题的处理结果以邮件形式给顾客正式答复，必要时进行面访沟通。</w:t>
      </w:r>
    </w:p>
    <w:p w14:paraId="4D395107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8" w:name="bookmark3"/>
      <w:bookmarkEnd w:id="18"/>
      <w:bookmarkStart w:id="19" w:name="_Toc17424"/>
      <w:bookmarkStart w:id="20" w:name="_Toc29822"/>
      <w:r>
        <w:rPr>
          <w:rStyle w:val="38"/>
          <w:rFonts w:hint="eastAsia" w:eastAsia="宋体"/>
          <w:lang w:val="en-US" w:eastAsia="zh-CN"/>
        </w:rPr>
        <w:t>附则</w:t>
      </w:r>
      <w:bookmarkEnd w:id="19"/>
      <w:bookmarkEnd w:id="20"/>
    </w:p>
    <w:p w14:paraId="6828079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2FB0A2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63104AB1">
      <w:pPr>
        <w:pStyle w:val="28"/>
        <w:bidi w:val="0"/>
        <w:rPr>
          <w:rFonts w:hint="default"/>
          <w:lang w:val="en-US" w:eastAsia="zh-CN"/>
        </w:rPr>
      </w:pPr>
      <w:bookmarkStart w:id="21" w:name="bookmark14"/>
      <w:bookmarkEnd w:id="21"/>
      <w:bookmarkStart w:id="22" w:name="_Toc796"/>
      <w:r>
        <w:rPr>
          <w:rFonts w:hint="eastAsia"/>
          <w:lang w:val="en-US" w:eastAsia="zh-CN"/>
        </w:rPr>
        <w:t>附件</w:t>
      </w:r>
      <w:bookmarkEnd w:id="22"/>
    </w:p>
    <w:p w14:paraId="0ED47C97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D6B41C4">
      <w:pPr>
        <w:pStyle w:val="28"/>
        <w:bidi w:val="0"/>
        <w:rPr>
          <w:rFonts w:hint="eastAsia"/>
          <w:lang w:val="en-US" w:eastAsia="zh-CN"/>
        </w:rPr>
      </w:pPr>
      <w:bookmarkStart w:id="23" w:name="_Toc14685"/>
      <w:r>
        <w:rPr>
          <w:rFonts w:hint="eastAsia"/>
          <w:lang w:val="en-US" w:eastAsia="zh-CN"/>
        </w:rPr>
        <w:t>记录</w:t>
      </w:r>
      <w:bookmarkEnd w:id="23"/>
    </w:p>
    <w:p w14:paraId="31E79A1A">
      <w:pPr>
        <w:pStyle w:val="39"/>
        <w:bidi w:val="0"/>
      </w:pPr>
      <w:r>
        <w:t>各类处理工单</w:t>
      </w:r>
    </w:p>
    <w:p w14:paraId="3453BF01">
      <w:pPr>
        <w:pStyle w:val="39"/>
        <w:bidi w:val="0"/>
        <w:rPr>
          <w:rFonts w:hint="eastAsia"/>
          <w:lang w:val="en-US" w:eastAsia="zh-CN"/>
        </w:rPr>
      </w:pPr>
      <w:r>
        <w:t>服务报告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B512ED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27B0E"/>
    <w:multiLevelType w:val="singleLevel"/>
    <w:tmpl w:val="86127B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AFDFB38A"/>
    <w:multiLevelType w:val="singleLevel"/>
    <w:tmpl w:val="AFDFB3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817A530"/>
    <w:multiLevelType w:val="singleLevel"/>
    <w:tmpl w:val="C817A5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8B6DCD1"/>
    <w:multiLevelType w:val="singleLevel"/>
    <w:tmpl w:val="08B6DC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28CAFC3"/>
    <w:multiLevelType w:val="singleLevel"/>
    <w:tmpl w:val="428CAF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0AC9104"/>
    <w:multiLevelType w:val="singleLevel"/>
    <w:tmpl w:val="50AC91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5A0AFC"/>
    <w:rsid w:val="17343EB7"/>
    <w:rsid w:val="1D7A45EE"/>
    <w:rsid w:val="207B3CA7"/>
    <w:rsid w:val="37C4498C"/>
    <w:rsid w:val="50713626"/>
    <w:rsid w:val="7F77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891</Words>
  <Characters>977</Characters>
  <Lines>0</Lines>
  <Paragraphs>0</Paragraphs>
  <TotalTime>2</TotalTime>
  <ScaleCrop>false</ScaleCrop>
  <LinksUpToDate>false</LinksUpToDate>
  <CharactersWithSpaces>1043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2025-09-18T08:15:40Z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