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EE0E31">
      <w:pPr>
        <w:pStyle w:val="11"/>
        <w:spacing w:line="253" w:lineRule="auto"/>
      </w:pPr>
    </w:p>
    <w:p w14:paraId="59CC7782">
      <w:pPr>
        <w:pStyle w:val="11"/>
        <w:spacing w:line="253" w:lineRule="auto"/>
      </w:pPr>
    </w:p>
    <w:p w14:paraId="47002587">
      <w:pPr>
        <w:pStyle w:val="11"/>
        <w:spacing w:line="253" w:lineRule="auto"/>
      </w:pPr>
    </w:p>
    <w:p w14:paraId="7521DB15">
      <w:pPr>
        <w:pStyle w:val="11"/>
        <w:spacing w:line="253" w:lineRule="auto"/>
      </w:pPr>
    </w:p>
    <w:p w14:paraId="53D92FAA">
      <w:pPr>
        <w:spacing w:before="169" w:line="220" w:lineRule="auto"/>
        <w:ind w:left="2107"/>
        <w:outlineLvl w:val="0"/>
        <w:rPr>
          <w:rFonts w:ascii="宋体" w:hAnsi="宋体" w:eastAsia="宋体" w:cs="宋体"/>
          <w:sz w:val="52"/>
          <w:szCs w:val="52"/>
        </w:rPr>
      </w:pPr>
      <w:r>
        <w:rPr>
          <w:rFonts w:ascii="宋体" w:hAnsi="宋体" w:eastAsia="宋体" w:cs="宋体"/>
          <w:b/>
          <w:bCs/>
          <w:spacing w:val="-8"/>
          <w:sz w:val="52"/>
          <w:szCs w:val="52"/>
        </w:rPr>
        <w:t>运维服务改进制度</w:t>
      </w:r>
    </w:p>
    <w:p w14:paraId="24138164">
      <w:pPr>
        <w:pStyle w:val="11"/>
        <w:spacing w:line="259" w:lineRule="auto"/>
      </w:pPr>
    </w:p>
    <w:p w14:paraId="7FE8C983">
      <w:pPr>
        <w:pStyle w:val="11"/>
        <w:spacing w:line="259" w:lineRule="auto"/>
      </w:pPr>
    </w:p>
    <w:p w14:paraId="6DB1B8C6">
      <w:pPr>
        <w:pStyle w:val="11"/>
        <w:spacing w:line="259" w:lineRule="auto"/>
      </w:pPr>
    </w:p>
    <w:p w14:paraId="5B5F1865">
      <w:pPr>
        <w:pStyle w:val="11"/>
        <w:spacing w:line="259" w:lineRule="auto"/>
      </w:pPr>
    </w:p>
    <w:p w14:paraId="132E793E">
      <w:pPr>
        <w:pStyle w:val="11"/>
        <w:spacing w:line="259" w:lineRule="auto"/>
      </w:pPr>
    </w:p>
    <w:p w14:paraId="5C97C8EE">
      <w:pPr>
        <w:pStyle w:val="11"/>
        <w:spacing w:line="259" w:lineRule="auto"/>
      </w:pPr>
    </w:p>
    <w:p w14:paraId="1BC84E52">
      <w:pPr>
        <w:pStyle w:val="11"/>
        <w:spacing w:line="259" w:lineRule="auto"/>
      </w:pPr>
    </w:p>
    <w:p w14:paraId="5307D6F3">
      <w:pPr>
        <w:pStyle w:val="11"/>
        <w:spacing w:line="259" w:lineRule="auto"/>
      </w:pPr>
    </w:p>
    <w:p w14:paraId="6CA7B7C2">
      <w:pPr>
        <w:pStyle w:val="11"/>
        <w:spacing w:line="259" w:lineRule="auto"/>
      </w:pPr>
    </w:p>
    <w:p w14:paraId="23761B40">
      <w:pPr>
        <w:pStyle w:val="11"/>
        <w:spacing w:line="260" w:lineRule="auto"/>
      </w:pPr>
    </w:p>
    <w:p w14:paraId="36E8B29F">
      <w:pPr>
        <w:pStyle w:val="11"/>
        <w:spacing w:line="260" w:lineRule="auto"/>
      </w:pPr>
    </w:p>
    <w:p w14:paraId="09E4D849">
      <w:pPr>
        <w:pStyle w:val="11"/>
        <w:spacing w:line="260" w:lineRule="auto"/>
      </w:pPr>
    </w:p>
    <w:p w14:paraId="5F304E43">
      <w:pPr>
        <w:spacing w:line="1293" w:lineRule="exact"/>
        <w:ind w:firstLine="2001"/>
      </w:pPr>
      <w:r>
        <w:rPr>
          <w:rFonts w:hint="eastAsia" w:eastAsia="宋体"/>
          <w:lang w:eastAsia="zh-CN"/>
        </w:rPr>
        <w:drawing>
          <wp:anchor distT="0" distB="0" distL="114300" distR="114300" simplePos="0" relativeHeight="251659264" behindDoc="0" locked="0" layoutInCell="1" allowOverlap="1">
            <wp:simplePos x="0" y="0"/>
            <wp:positionH relativeFrom="column">
              <wp:posOffset>622935</wp:posOffset>
            </wp:positionH>
            <wp:positionV relativeFrom="paragraph">
              <wp:posOffset>-718185</wp:posOffset>
            </wp:positionV>
            <wp:extent cx="4028440" cy="1285240"/>
            <wp:effectExtent l="0" t="0" r="10160" b="10160"/>
            <wp:wrapSquare wrapText="bothSides"/>
            <wp:docPr id="5" name="图片 5" descr="5a762ee5761bed248175e83484c3b6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a762ee5761bed248175e83484c3b6fa"/>
                    <pic:cNvPicPr>
                      <a:picLocks noChangeAspect="1"/>
                    </pic:cNvPicPr>
                  </pic:nvPicPr>
                  <pic:blipFill>
                    <a:blip r:embed="rId8"/>
                    <a:stretch>
                      <a:fillRect/>
                    </a:stretch>
                  </pic:blipFill>
                  <pic:spPr>
                    <a:xfrm>
                      <a:off x="0" y="0"/>
                      <a:ext cx="4028440" cy="1285240"/>
                    </a:xfrm>
                    <a:prstGeom prst="rect">
                      <a:avLst/>
                    </a:prstGeom>
                  </pic:spPr>
                </pic:pic>
              </a:graphicData>
            </a:graphic>
          </wp:anchor>
        </w:drawing>
      </w:r>
    </w:p>
    <w:p w14:paraId="53732AA7">
      <w:pPr>
        <w:pStyle w:val="11"/>
        <w:spacing w:line="248" w:lineRule="auto"/>
      </w:pPr>
    </w:p>
    <w:p w14:paraId="58D4A241">
      <w:pPr>
        <w:pStyle w:val="11"/>
        <w:spacing w:line="248" w:lineRule="auto"/>
      </w:pPr>
    </w:p>
    <w:p w14:paraId="463DABB1">
      <w:pPr>
        <w:pStyle w:val="11"/>
        <w:spacing w:line="248" w:lineRule="auto"/>
      </w:pPr>
    </w:p>
    <w:p w14:paraId="72838370">
      <w:pPr>
        <w:pStyle w:val="11"/>
        <w:spacing w:line="248" w:lineRule="auto"/>
      </w:pPr>
    </w:p>
    <w:p w14:paraId="3F8B7BDA">
      <w:pPr>
        <w:pStyle w:val="11"/>
        <w:spacing w:line="248" w:lineRule="auto"/>
      </w:pPr>
    </w:p>
    <w:p w14:paraId="1308EB32">
      <w:pPr>
        <w:pStyle w:val="11"/>
        <w:spacing w:line="248" w:lineRule="auto"/>
      </w:pPr>
    </w:p>
    <w:p w14:paraId="69BB7078">
      <w:pPr>
        <w:pStyle w:val="11"/>
        <w:spacing w:line="248" w:lineRule="auto"/>
      </w:pPr>
    </w:p>
    <w:p w14:paraId="36DDA01F">
      <w:pPr>
        <w:pStyle w:val="11"/>
        <w:spacing w:line="248" w:lineRule="auto"/>
      </w:pPr>
    </w:p>
    <w:p w14:paraId="4573BE17">
      <w:pPr>
        <w:pStyle w:val="11"/>
        <w:spacing w:line="248" w:lineRule="auto"/>
      </w:pPr>
    </w:p>
    <w:p w14:paraId="2520ADC9">
      <w:pPr>
        <w:pStyle w:val="11"/>
        <w:spacing w:line="248" w:lineRule="auto"/>
      </w:pPr>
    </w:p>
    <w:p w14:paraId="2FFE7B14">
      <w:pPr>
        <w:pStyle w:val="11"/>
        <w:spacing w:line="248" w:lineRule="auto"/>
      </w:pPr>
    </w:p>
    <w:p w14:paraId="4B151332">
      <w:pPr>
        <w:pStyle w:val="11"/>
        <w:spacing w:line="249" w:lineRule="auto"/>
      </w:pPr>
    </w:p>
    <w:p w14:paraId="6CC62607">
      <w:pPr>
        <w:pStyle w:val="11"/>
        <w:spacing w:line="249" w:lineRule="auto"/>
      </w:pPr>
    </w:p>
    <w:p w14:paraId="67FA6EB7">
      <w:pPr>
        <w:pStyle w:val="11"/>
        <w:spacing w:line="249" w:lineRule="auto"/>
      </w:pPr>
    </w:p>
    <w:p w14:paraId="579FBFD3">
      <w:pPr>
        <w:pStyle w:val="11"/>
        <w:spacing w:line="249" w:lineRule="auto"/>
      </w:pPr>
    </w:p>
    <w:p w14:paraId="12EEF8C6">
      <w:pPr>
        <w:pStyle w:val="11"/>
        <w:spacing w:line="249" w:lineRule="auto"/>
      </w:pPr>
    </w:p>
    <w:p w14:paraId="1E69E876">
      <w:pPr>
        <w:spacing w:before="114" w:line="224" w:lineRule="auto"/>
        <w:jc w:val="center"/>
        <w:rPr>
          <w:rFonts w:ascii="宋体" w:hAnsi="宋体" w:eastAsia="宋体" w:cs="宋体"/>
          <w:sz w:val="35"/>
          <w:szCs w:val="35"/>
        </w:rPr>
      </w:pPr>
      <w:r>
        <w:rPr>
          <w:rFonts w:hint="eastAsia" w:ascii="宋体" w:hAnsi="宋体" w:eastAsia="宋体" w:cs="宋体"/>
          <w:spacing w:val="7"/>
          <w:sz w:val="35"/>
          <w:szCs w:val="35"/>
        </w:rPr>
        <w:t>万洲奇智(青岛)信息科技有限公司</w:t>
      </w:r>
    </w:p>
    <w:p w14:paraId="0490DD44">
      <w:pPr>
        <w:spacing w:line="219" w:lineRule="auto"/>
        <w:rPr>
          <w:rFonts w:ascii="宋体" w:hAnsi="宋体" w:eastAsia="宋体" w:cs="宋体"/>
          <w:sz w:val="30"/>
          <w:szCs w:val="30"/>
        </w:rPr>
        <w:sectPr>
          <w:pgSz w:w="11906" w:h="16839"/>
          <w:pgMar w:top="1431" w:right="1785" w:bottom="0" w:left="1785" w:header="0" w:footer="0" w:gutter="0"/>
          <w:cols w:space="720" w:num="1"/>
        </w:sectPr>
      </w:pPr>
    </w:p>
    <w:p w14:paraId="5F7527EC">
      <w:pPr>
        <w:pStyle w:val="11"/>
        <w:spacing w:line="363" w:lineRule="auto"/>
      </w:pPr>
    </w:p>
    <w:p w14:paraId="1E82BABD">
      <w:pPr>
        <w:spacing w:before="91" w:line="220" w:lineRule="auto"/>
        <w:ind w:left="3710"/>
        <w:outlineLvl w:val="0"/>
        <w:rPr>
          <w:rFonts w:ascii="宋体" w:hAnsi="宋体" w:eastAsia="宋体" w:cs="宋体"/>
          <w:sz w:val="28"/>
          <w:szCs w:val="28"/>
        </w:rPr>
      </w:pPr>
      <w:r>
        <w:rPr>
          <w:rFonts w:ascii="宋体" w:hAnsi="宋体" w:eastAsia="宋体" w:cs="宋体"/>
          <w:spacing w:val="-3"/>
          <w:sz w:val="28"/>
          <w:szCs w:val="28"/>
        </w:rPr>
        <w:t>文档信息</w:t>
      </w:r>
    </w:p>
    <w:p w14:paraId="32E3CFCA">
      <w:pPr>
        <w:spacing w:line="131" w:lineRule="exact"/>
      </w:pPr>
    </w:p>
    <w:tbl>
      <w:tblPr>
        <w:tblStyle w:val="18"/>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3"/>
        <w:gridCol w:w="1557"/>
        <w:gridCol w:w="1953"/>
      </w:tblGrid>
      <w:tr w14:paraId="5B80E6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089B1E0C">
            <w:pPr>
              <w:spacing w:before="185" w:line="220" w:lineRule="auto"/>
              <w:ind w:left="207"/>
              <w:rPr>
                <w:rFonts w:ascii="宋体" w:hAnsi="宋体" w:eastAsia="宋体" w:cs="宋体"/>
                <w:sz w:val="24"/>
                <w:szCs w:val="24"/>
              </w:rPr>
            </w:pPr>
            <w:r>
              <w:rPr>
                <w:rFonts w:ascii="宋体" w:hAnsi="宋体" w:eastAsia="宋体" w:cs="宋体"/>
                <w:spacing w:val="-2"/>
                <w:sz w:val="24"/>
                <w:szCs w:val="24"/>
              </w:rPr>
              <w:t>文档名称编号</w:t>
            </w:r>
          </w:p>
        </w:tc>
        <w:tc>
          <w:tcPr>
            <w:tcW w:w="7226" w:type="dxa"/>
            <w:gridSpan w:val="4"/>
            <w:vAlign w:val="top"/>
          </w:tcPr>
          <w:p w14:paraId="0ED18E20">
            <w:pPr>
              <w:spacing w:before="185" w:line="218" w:lineRule="auto"/>
              <w:ind w:left="109"/>
              <w:rPr>
                <w:rFonts w:ascii="宋体" w:hAnsi="宋体" w:eastAsia="宋体" w:cs="宋体"/>
                <w:sz w:val="24"/>
                <w:szCs w:val="24"/>
              </w:rPr>
            </w:pPr>
            <w:r>
              <w:rPr>
                <w:rFonts w:ascii="宋体" w:hAnsi="宋体" w:eastAsia="宋体" w:cs="宋体"/>
                <w:spacing w:val="-1"/>
                <w:sz w:val="24"/>
                <w:szCs w:val="24"/>
              </w:rPr>
              <w:t>运维服务改进制度（</w:t>
            </w:r>
            <w:r>
              <w:rPr>
                <w:rFonts w:hint="eastAsia" w:ascii="宋体" w:hAnsi="宋体" w:eastAsia="宋体" w:cs="宋体"/>
                <w:spacing w:val="-1"/>
                <w:sz w:val="24"/>
                <w:szCs w:val="24"/>
                <w:lang w:val="en-US" w:eastAsia="zh-CN"/>
              </w:rPr>
              <w:t>WZQZ</w:t>
            </w:r>
            <w:r>
              <w:rPr>
                <w:rFonts w:ascii="宋体" w:hAnsi="宋体" w:eastAsia="宋体" w:cs="宋体"/>
                <w:spacing w:val="-1"/>
                <w:sz w:val="24"/>
                <w:szCs w:val="24"/>
              </w:rPr>
              <w:t>-ITSS-YWFWGJ）</w:t>
            </w:r>
          </w:p>
        </w:tc>
      </w:tr>
      <w:tr w14:paraId="2D0F4C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shd w:val="clear"/>
            <w:vAlign w:val="top"/>
          </w:tcPr>
          <w:p w14:paraId="2B33E774">
            <w:pPr>
              <w:spacing w:before="209" w:line="228" w:lineRule="auto"/>
              <w:ind w:left="377" w:leftChars="0"/>
              <w:rPr>
                <w:rFonts w:ascii="宋体" w:hAnsi="宋体" w:eastAsia="宋体" w:cs="宋体"/>
                <w:snapToGrid w:val="0"/>
                <w:color w:val="000000"/>
                <w:kern w:val="0"/>
                <w:sz w:val="20"/>
                <w:szCs w:val="20"/>
                <w:lang w:val="en-US" w:eastAsia="en-US" w:bidi="ar-SA"/>
              </w:rPr>
            </w:pPr>
            <w:r>
              <w:rPr>
                <w:rFonts w:ascii="宋体" w:hAnsi="宋体" w:eastAsia="宋体" w:cs="宋体"/>
                <w:spacing w:val="5"/>
                <w:sz w:val="20"/>
                <w:szCs w:val="20"/>
              </w:rPr>
              <w:t>编制单位</w:t>
            </w:r>
          </w:p>
        </w:tc>
        <w:tc>
          <w:tcPr>
            <w:tcW w:w="7226" w:type="dxa"/>
            <w:gridSpan w:val="4"/>
            <w:shd w:val="clear"/>
            <w:vAlign w:val="top"/>
          </w:tcPr>
          <w:p w14:paraId="46DE24E9">
            <w:pPr>
              <w:spacing w:before="209" w:line="227" w:lineRule="auto"/>
              <w:ind w:left="116" w:leftChars="0"/>
              <w:rPr>
                <w:rFonts w:ascii="宋体" w:hAnsi="宋体" w:eastAsia="宋体" w:cs="宋体"/>
                <w:snapToGrid w:val="0"/>
                <w:color w:val="000000"/>
                <w:kern w:val="0"/>
                <w:sz w:val="20"/>
                <w:szCs w:val="20"/>
                <w:lang w:val="en-US" w:eastAsia="en-US" w:bidi="ar-SA"/>
              </w:rPr>
            </w:pPr>
            <w:r>
              <w:rPr>
                <w:rFonts w:hint="eastAsia" w:ascii="宋体" w:hAnsi="宋体" w:eastAsia="宋体" w:cs="宋体"/>
                <w:spacing w:val="8"/>
                <w:sz w:val="20"/>
                <w:szCs w:val="20"/>
              </w:rPr>
              <w:t>万洲奇智(青岛)信息科技有限公司</w:t>
            </w:r>
          </w:p>
        </w:tc>
      </w:tr>
      <w:tr w14:paraId="6078FC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3D0643D2">
            <w:pPr>
              <w:spacing w:before="183" w:line="219" w:lineRule="auto"/>
              <w:ind w:left="447"/>
              <w:rPr>
                <w:rFonts w:ascii="宋体" w:hAnsi="宋体" w:eastAsia="宋体" w:cs="宋体"/>
                <w:sz w:val="24"/>
                <w:szCs w:val="24"/>
              </w:rPr>
            </w:pPr>
            <w:r>
              <w:rPr>
                <w:rFonts w:ascii="宋体" w:hAnsi="宋体" w:eastAsia="宋体" w:cs="宋体"/>
                <w:spacing w:val="-3"/>
                <w:sz w:val="24"/>
                <w:szCs w:val="24"/>
              </w:rPr>
              <w:t>文档版本</w:t>
            </w:r>
          </w:p>
        </w:tc>
        <w:tc>
          <w:tcPr>
            <w:tcW w:w="1413" w:type="dxa"/>
            <w:vAlign w:val="top"/>
          </w:tcPr>
          <w:p w14:paraId="0A0D3ADF">
            <w:pPr>
              <w:spacing w:before="183" w:line="219" w:lineRule="auto"/>
              <w:ind w:left="229"/>
              <w:rPr>
                <w:rFonts w:ascii="宋体" w:hAnsi="宋体" w:eastAsia="宋体" w:cs="宋体"/>
                <w:sz w:val="24"/>
                <w:szCs w:val="24"/>
              </w:rPr>
            </w:pPr>
            <w:r>
              <w:rPr>
                <w:rFonts w:ascii="宋体" w:hAnsi="宋体" w:eastAsia="宋体" w:cs="宋体"/>
                <w:spacing w:val="-2"/>
                <w:sz w:val="24"/>
                <w:szCs w:val="24"/>
              </w:rPr>
              <w:t>版本日期</w:t>
            </w:r>
          </w:p>
        </w:tc>
        <w:tc>
          <w:tcPr>
            <w:tcW w:w="2303" w:type="dxa"/>
            <w:vAlign w:val="top"/>
          </w:tcPr>
          <w:p w14:paraId="30C7C1F6">
            <w:pPr>
              <w:spacing w:before="183" w:line="219" w:lineRule="auto"/>
              <w:ind w:left="676"/>
              <w:rPr>
                <w:rFonts w:ascii="宋体" w:hAnsi="宋体" w:eastAsia="宋体" w:cs="宋体"/>
                <w:sz w:val="24"/>
                <w:szCs w:val="24"/>
              </w:rPr>
            </w:pPr>
            <w:r>
              <w:rPr>
                <w:rFonts w:ascii="宋体" w:hAnsi="宋体" w:eastAsia="宋体" w:cs="宋体"/>
                <w:spacing w:val="-2"/>
                <w:sz w:val="24"/>
                <w:szCs w:val="24"/>
              </w:rPr>
              <w:t>版本说明</w:t>
            </w:r>
          </w:p>
        </w:tc>
        <w:tc>
          <w:tcPr>
            <w:tcW w:w="1557" w:type="dxa"/>
            <w:vAlign w:val="top"/>
          </w:tcPr>
          <w:p w14:paraId="2A314533">
            <w:pPr>
              <w:spacing w:before="184" w:line="220" w:lineRule="auto"/>
              <w:ind w:left="545"/>
              <w:rPr>
                <w:rFonts w:ascii="宋体" w:hAnsi="宋体" w:eastAsia="宋体" w:cs="宋体"/>
                <w:sz w:val="24"/>
                <w:szCs w:val="24"/>
              </w:rPr>
            </w:pPr>
            <w:r>
              <w:rPr>
                <w:rFonts w:ascii="宋体" w:hAnsi="宋体" w:eastAsia="宋体" w:cs="宋体"/>
                <w:spacing w:val="-3"/>
                <w:sz w:val="24"/>
                <w:szCs w:val="24"/>
              </w:rPr>
              <w:t>作者</w:t>
            </w:r>
          </w:p>
        </w:tc>
        <w:tc>
          <w:tcPr>
            <w:tcW w:w="1953" w:type="dxa"/>
            <w:vAlign w:val="top"/>
          </w:tcPr>
          <w:p w14:paraId="43E1B3B7">
            <w:pPr>
              <w:spacing w:before="184" w:line="220" w:lineRule="auto"/>
              <w:ind w:left="754"/>
              <w:rPr>
                <w:rFonts w:ascii="宋体" w:hAnsi="宋体" w:eastAsia="宋体" w:cs="宋体"/>
                <w:sz w:val="24"/>
                <w:szCs w:val="24"/>
              </w:rPr>
            </w:pPr>
            <w:r>
              <w:rPr>
                <w:rFonts w:ascii="宋体" w:hAnsi="宋体" w:eastAsia="宋体" w:cs="宋体"/>
                <w:spacing w:val="-6"/>
                <w:sz w:val="24"/>
                <w:szCs w:val="24"/>
              </w:rPr>
              <w:t>审核</w:t>
            </w:r>
          </w:p>
        </w:tc>
      </w:tr>
      <w:tr w14:paraId="3CD90D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07A06C88">
            <w:pPr>
              <w:spacing w:before="162"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78DA9A85">
            <w:pPr>
              <w:spacing w:before="162"/>
              <w:ind w:left="290"/>
              <w:rPr>
                <w:rFonts w:ascii="宋体" w:hAnsi="宋体" w:eastAsia="宋体" w:cs="宋体"/>
                <w:sz w:val="21"/>
                <w:szCs w:val="21"/>
              </w:rPr>
            </w:pPr>
            <w:r>
              <w:rPr>
                <w:rFonts w:ascii="宋体" w:hAnsi="宋体" w:eastAsia="宋体" w:cs="宋体"/>
                <w:spacing w:val="-2"/>
                <w:sz w:val="21"/>
                <w:szCs w:val="21"/>
              </w:rPr>
              <w:t>2025-1-4</w:t>
            </w:r>
          </w:p>
        </w:tc>
        <w:tc>
          <w:tcPr>
            <w:tcW w:w="2303" w:type="dxa"/>
            <w:vAlign w:val="top"/>
          </w:tcPr>
          <w:p w14:paraId="7CB242F2">
            <w:pPr>
              <w:spacing w:before="132"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center"/>
          </w:tcPr>
          <w:p w14:paraId="26070E9E">
            <w:pPr>
              <w:keepNext w:val="0"/>
              <w:keepLines w:val="0"/>
              <w:widowControl/>
              <w:suppressLineNumbers w:val="0"/>
              <w:jc w:val="center"/>
              <w:textAlignment w:val="center"/>
              <w:rPr>
                <w:rFonts w:ascii="宋体" w:hAnsi="宋体" w:eastAsia="宋体" w:cs="宋体"/>
                <w:sz w:val="21"/>
                <w:szCs w:val="21"/>
              </w:rPr>
            </w:pPr>
            <w:r>
              <w:rPr>
                <w:rFonts w:hint="eastAsia" w:ascii="宋体" w:hAnsi="宋体" w:eastAsia="宋体" w:cs="宋体"/>
                <w:i w:val="0"/>
                <w:iCs w:val="0"/>
                <w:snapToGrid w:val="0"/>
                <w:color w:val="000000"/>
                <w:kern w:val="0"/>
                <w:sz w:val="24"/>
                <w:szCs w:val="24"/>
                <w:u w:val="none"/>
                <w:lang w:val="en-US" w:eastAsia="zh-CN" w:bidi="ar"/>
              </w:rPr>
              <w:t>毛彦超</w:t>
            </w:r>
          </w:p>
        </w:tc>
        <w:tc>
          <w:tcPr>
            <w:tcW w:w="1953" w:type="dxa"/>
            <w:vAlign w:val="center"/>
          </w:tcPr>
          <w:p w14:paraId="5D6BD1A9">
            <w:pPr>
              <w:keepNext w:val="0"/>
              <w:keepLines w:val="0"/>
              <w:widowControl/>
              <w:suppressLineNumbers w:val="0"/>
              <w:jc w:val="center"/>
              <w:textAlignment w:val="center"/>
              <w:rPr>
                <w:rFonts w:ascii="宋体" w:hAnsi="宋体" w:eastAsia="宋体" w:cs="宋体"/>
                <w:sz w:val="21"/>
                <w:szCs w:val="21"/>
              </w:rPr>
            </w:pPr>
            <w:r>
              <w:rPr>
                <w:rFonts w:hint="eastAsia" w:ascii="宋体" w:hAnsi="宋体" w:eastAsia="宋体" w:cs="宋体"/>
                <w:i w:val="0"/>
                <w:iCs w:val="0"/>
                <w:snapToGrid w:val="0"/>
                <w:color w:val="000000"/>
                <w:kern w:val="0"/>
                <w:sz w:val="24"/>
                <w:szCs w:val="24"/>
                <w:u w:val="none"/>
                <w:lang w:val="en-US" w:eastAsia="zh-CN" w:bidi="ar"/>
              </w:rPr>
              <w:t>郭万洲</w:t>
            </w:r>
          </w:p>
        </w:tc>
      </w:tr>
      <w:tr w14:paraId="3E13BB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6360228">
            <w:pPr>
              <w:pStyle w:val="19"/>
            </w:pPr>
          </w:p>
        </w:tc>
        <w:tc>
          <w:tcPr>
            <w:tcW w:w="1413" w:type="dxa"/>
            <w:vAlign w:val="top"/>
          </w:tcPr>
          <w:p w14:paraId="5E510759">
            <w:pPr>
              <w:pStyle w:val="19"/>
            </w:pPr>
          </w:p>
        </w:tc>
        <w:tc>
          <w:tcPr>
            <w:tcW w:w="2303" w:type="dxa"/>
            <w:vAlign w:val="top"/>
          </w:tcPr>
          <w:p w14:paraId="4AC5891A">
            <w:pPr>
              <w:pStyle w:val="19"/>
            </w:pPr>
          </w:p>
        </w:tc>
        <w:tc>
          <w:tcPr>
            <w:tcW w:w="1557" w:type="dxa"/>
            <w:vAlign w:val="top"/>
          </w:tcPr>
          <w:p w14:paraId="118F808E">
            <w:pPr>
              <w:pStyle w:val="19"/>
            </w:pPr>
          </w:p>
        </w:tc>
        <w:tc>
          <w:tcPr>
            <w:tcW w:w="1953" w:type="dxa"/>
            <w:vAlign w:val="top"/>
          </w:tcPr>
          <w:p w14:paraId="39222066">
            <w:pPr>
              <w:pStyle w:val="19"/>
            </w:pPr>
          </w:p>
        </w:tc>
      </w:tr>
      <w:tr w14:paraId="528671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3E8C84C">
            <w:pPr>
              <w:pStyle w:val="19"/>
            </w:pPr>
          </w:p>
        </w:tc>
        <w:tc>
          <w:tcPr>
            <w:tcW w:w="1413" w:type="dxa"/>
            <w:vAlign w:val="top"/>
          </w:tcPr>
          <w:p w14:paraId="62EC6452">
            <w:pPr>
              <w:pStyle w:val="19"/>
            </w:pPr>
          </w:p>
        </w:tc>
        <w:tc>
          <w:tcPr>
            <w:tcW w:w="2303" w:type="dxa"/>
            <w:vAlign w:val="top"/>
          </w:tcPr>
          <w:p w14:paraId="66E1C871">
            <w:pPr>
              <w:pStyle w:val="19"/>
            </w:pPr>
          </w:p>
        </w:tc>
        <w:tc>
          <w:tcPr>
            <w:tcW w:w="1557" w:type="dxa"/>
            <w:vAlign w:val="top"/>
          </w:tcPr>
          <w:p w14:paraId="1377C094">
            <w:pPr>
              <w:pStyle w:val="19"/>
            </w:pPr>
          </w:p>
        </w:tc>
        <w:tc>
          <w:tcPr>
            <w:tcW w:w="1953" w:type="dxa"/>
            <w:vAlign w:val="top"/>
          </w:tcPr>
          <w:p w14:paraId="517B4CC8">
            <w:pPr>
              <w:pStyle w:val="19"/>
            </w:pPr>
          </w:p>
        </w:tc>
      </w:tr>
      <w:tr w14:paraId="6DF963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06ED4E20">
            <w:pPr>
              <w:pStyle w:val="19"/>
            </w:pPr>
          </w:p>
        </w:tc>
        <w:tc>
          <w:tcPr>
            <w:tcW w:w="1413" w:type="dxa"/>
            <w:vAlign w:val="top"/>
          </w:tcPr>
          <w:p w14:paraId="326A0739">
            <w:pPr>
              <w:pStyle w:val="19"/>
            </w:pPr>
          </w:p>
        </w:tc>
        <w:tc>
          <w:tcPr>
            <w:tcW w:w="2303" w:type="dxa"/>
            <w:vAlign w:val="top"/>
          </w:tcPr>
          <w:p w14:paraId="2021B8DF">
            <w:pPr>
              <w:pStyle w:val="19"/>
            </w:pPr>
          </w:p>
        </w:tc>
        <w:tc>
          <w:tcPr>
            <w:tcW w:w="1557" w:type="dxa"/>
            <w:vAlign w:val="top"/>
          </w:tcPr>
          <w:p w14:paraId="12863B77">
            <w:pPr>
              <w:pStyle w:val="19"/>
            </w:pPr>
          </w:p>
        </w:tc>
        <w:tc>
          <w:tcPr>
            <w:tcW w:w="1953" w:type="dxa"/>
            <w:vAlign w:val="top"/>
          </w:tcPr>
          <w:p w14:paraId="3D12AEE3">
            <w:pPr>
              <w:pStyle w:val="19"/>
            </w:pPr>
          </w:p>
        </w:tc>
      </w:tr>
      <w:tr w14:paraId="6F79D7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4CD450A">
            <w:pPr>
              <w:pStyle w:val="19"/>
            </w:pPr>
          </w:p>
        </w:tc>
        <w:tc>
          <w:tcPr>
            <w:tcW w:w="1413" w:type="dxa"/>
            <w:vAlign w:val="top"/>
          </w:tcPr>
          <w:p w14:paraId="26C7E0FE">
            <w:pPr>
              <w:pStyle w:val="19"/>
            </w:pPr>
          </w:p>
        </w:tc>
        <w:tc>
          <w:tcPr>
            <w:tcW w:w="2303" w:type="dxa"/>
            <w:vAlign w:val="top"/>
          </w:tcPr>
          <w:p w14:paraId="2378B729">
            <w:pPr>
              <w:pStyle w:val="19"/>
            </w:pPr>
          </w:p>
        </w:tc>
        <w:tc>
          <w:tcPr>
            <w:tcW w:w="1557" w:type="dxa"/>
            <w:vAlign w:val="top"/>
          </w:tcPr>
          <w:p w14:paraId="06B0786F">
            <w:pPr>
              <w:pStyle w:val="19"/>
            </w:pPr>
          </w:p>
        </w:tc>
        <w:tc>
          <w:tcPr>
            <w:tcW w:w="1953" w:type="dxa"/>
            <w:vAlign w:val="top"/>
          </w:tcPr>
          <w:p w14:paraId="2278921B">
            <w:pPr>
              <w:pStyle w:val="19"/>
            </w:pPr>
          </w:p>
        </w:tc>
      </w:tr>
      <w:tr w14:paraId="699E11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71E0DF4C">
            <w:pPr>
              <w:pStyle w:val="19"/>
            </w:pPr>
          </w:p>
        </w:tc>
        <w:tc>
          <w:tcPr>
            <w:tcW w:w="1413" w:type="dxa"/>
            <w:vAlign w:val="top"/>
          </w:tcPr>
          <w:p w14:paraId="2B8B8824">
            <w:pPr>
              <w:pStyle w:val="19"/>
            </w:pPr>
          </w:p>
        </w:tc>
        <w:tc>
          <w:tcPr>
            <w:tcW w:w="2303" w:type="dxa"/>
            <w:vAlign w:val="top"/>
          </w:tcPr>
          <w:p w14:paraId="117A36AC">
            <w:pPr>
              <w:pStyle w:val="19"/>
            </w:pPr>
          </w:p>
        </w:tc>
        <w:tc>
          <w:tcPr>
            <w:tcW w:w="1557" w:type="dxa"/>
            <w:vAlign w:val="top"/>
          </w:tcPr>
          <w:p w14:paraId="7D9F0814">
            <w:pPr>
              <w:pStyle w:val="19"/>
            </w:pPr>
          </w:p>
        </w:tc>
        <w:tc>
          <w:tcPr>
            <w:tcW w:w="1953" w:type="dxa"/>
            <w:vAlign w:val="top"/>
          </w:tcPr>
          <w:p w14:paraId="282D8A02">
            <w:pPr>
              <w:pStyle w:val="19"/>
            </w:pPr>
          </w:p>
        </w:tc>
      </w:tr>
    </w:tbl>
    <w:p w14:paraId="40EF71E5">
      <w:pPr>
        <w:pStyle w:val="11"/>
      </w:pPr>
    </w:p>
    <w:p w14:paraId="387D4454">
      <w:pPr>
        <w:sectPr>
          <w:pgSz w:w="11906" w:h="16839"/>
          <w:pgMar w:top="1431" w:right="1127" w:bottom="0" w:left="1696" w:header="0" w:footer="0" w:gutter="0"/>
          <w:cols w:space="720" w:num="1"/>
        </w:sectPr>
      </w:pPr>
    </w:p>
    <w:sdt>
      <w:sdtPr>
        <w:rPr>
          <w:rFonts w:ascii="Arial" w:hAnsi="Arial" w:eastAsia="Arial" w:cs="Arial"/>
          <w:sz w:val="21"/>
          <w:szCs w:val="21"/>
        </w:rPr>
        <w:id w:val="147469024"/>
        <w:docPartObj>
          <w:docPartGallery w:val="Table of Contents"/>
          <w:docPartUnique/>
        </w:docPartObj>
      </w:sdtPr>
      <w:sdtEndPr>
        <w:rPr>
          <w:rFonts w:ascii="Times New Roman" w:hAnsi="Times New Roman" w:eastAsia="Times New Roman" w:cs="Times New Roman"/>
          <w:sz w:val="24"/>
          <w:szCs w:val="24"/>
        </w:rPr>
      </w:sdtEndPr>
      <w:sdtContent>
        <w:p w14:paraId="473C2031">
          <w:pPr>
            <w:spacing w:before="378" w:line="222" w:lineRule="auto"/>
            <w:ind w:left="3904"/>
            <w:rPr>
              <w:rFonts w:ascii="宋体" w:hAnsi="宋体" w:eastAsia="宋体" w:cs="宋体"/>
              <w:sz w:val="44"/>
              <w:szCs w:val="44"/>
            </w:rPr>
          </w:pPr>
          <w:bookmarkStart w:id="0" w:name="bookmark1"/>
          <w:bookmarkEnd w:id="0"/>
          <w:r>
            <w:rPr>
              <w:rFonts w:ascii="宋体" w:hAnsi="宋体" w:eastAsia="宋体" w:cs="宋体"/>
              <w:b/>
              <w:bCs/>
              <w:spacing w:val="-30"/>
              <w:sz w:val="44"/>
              <w:szCs w:val="44"/>
            </w:rPr>
            <w:t>目录</w:t>
          </w:r>
        </w:p>
        <w:p w14:paraId="12255A0E">
          <w:pPr>
            <w:tabs>
              <w:tab w:val="right" w:leader="dot" w:pos="8495"/>
            </w:tabs>
            <w:spacing w:before="59" w:line="196" w:lineRule="auto"/>
            <w:ind w:left="18"/>
            <w:rPr>
              <w:rFonts w:ascii="Times New Roman" w:hAnsi="Times New Roman" w:eastAsia="Times New Roman" w:cs="Times New Roman"/>
              <w:sz w:val="24"/>
              <w:szCs w:val="24"/>
            </w:rPr>
          </w:pPr>
          <w:r>
            <w:fldChar w:fldCharType="begin"/>
          </w:r>
          <w:r>
            <w:instrText xml:space="preserve"> HYPERLINK \l "bookmark2" </w:instrText>
          </w:r>
          <w:r>
            <w:fldChar w:fldCharType="separate"/>
          </w:r>
          <w:r>
            <w:rPr>
              <w:rFonts w:ascii="宋体" w:hAnsi="宋体" w:eastAsia="宋体" w:cs="宋体"/>
              <w:spacing w:val="-21"/>
              <w:sz w:val="24"/>
              <w:szCs w:val="24"/>
            </w:rPr>
            <w:t>1.</w:t>
          </w:r>
          <w:r>
            <w:rPr>
              <w:rFonts w:ascii="宋体" w:hAnsi="宋体" w:eastAsia="宋体" w:cs="宋体"/>
              <w:spacing w:val="55"/>
              <w:sz w:val="24"/>
              <w:szCs w:val="24"/>
            </w:rPr>
            <w:t xml:space="preserve"> </w:t>
          </w:r>
          <w:r>
            <w:rPr>
              <w:rFonts w:ascii="宋体" w:hAnsi="宋体" w:eastAsia="宋体" w:cs="宋体"/>
              <w:spacing w:val="-21"/>
              <w:sz w:val="24"/>
              <w:szCs w:val="24"/>
            </w:rPr>
            <w:t>目的</w:t>
          </w:r>
          <w:r>
            <w:rPr>
              <w:rFonts w:ascii="宋体" w:hAnsi="宋体" w:eastAsia="宋体" w:cs="宋体"/>
              <w:spacing w:val="-59"/>
              <w:sz w:val="24"/>
              <w:szCs w:val="24"/>
            </w:rPr>
            <w:t xml:space="preserve"> </w:t>
          </w:r>
          <w:r>
            <w:rPr>
              <w:rFonts w:ascii="宋体" w:hAnsi="宋体" w:eastAsia="宋体" w:cs="宋体"/>
              <w:sz w:val="24"/>
              <w:szCs w:val="24"/>
            </w:rPr>
            <w:tab/>
          </w:r>
          <w:r>
            <w:rPr>
              <w:rFonts w:ascii="宋体" w:hAnsi="宋体" w:eastAsia="宋体" w:cs="宋体"/>
              <w:spacing w:val="-92"/>
              <w:sz w:val="24"/>
              <w:szCs w:val="24"/>
            </w:rPr>
            <w:t xml:space="preserve"> </w:t>
          </w:r>
          <w:r>
            <w:rPr>
              <w:rFonts w:ascii="宋体" w:hAnsi="宋体" w:eastAsia="宋体" w:cs="宋体"/>
              <w:spacing w:val="-92"/>
              <w:sz w:val="24"/>
              <w:szCs w:val="24"/>
            </w:rPr>
            <w:fldChar w:fldCharType="end"/>
          </w:r>
          <w:r>
            <w:rPr>
              <w:rFonts w:ascii="Times New Roman" w:hAnsi="Times New Roman" w:eastAsia="Times New Roman" w:cs="Times New Roman"/>
              <w:spacing w:val="-29"/>
              <w:sz w:val="24"/>
              <w:szCs w:val="24"/>
            </w:rPr>
            <w:t>1</w:t>
          </w:r>
        </w:p>
        <w:p w14:paraId="07792E8B">
          <w:pPr>
            <w:tabs>
              <w:tab w:val="right" w:leader="dot" w:pos="8495"/>
            </w:tabs>
            <w:spacing w:before="71" w:line="196" w:lineRule="auto"/>
            <w:ind w:left="3"/>
            <w:rPr>
              <w:rFonts w:ascii="Times New Roman" w:hAnsi="Times New Roman" w:eastAsia="Times New Roman" w:cs="Times New Roman"/>
              <w:sz w:val="24"/>
              <w:szCs w:val="24"/>
            </w:rPr>
          </w:pPr>
          <w:r>
            <w:fldChar w:fldCharType="begin"/>
          </w:r>
          <w:r>
            <w:instrText xml:space="preserve"> HYPERLINK \l "bookmark3" </w:instrText>
          </w:r>
          <w:r>
            <w:fldChar w:fldCharType="separate"/>
          </w:r>
          <w:r>
            <w:rPr>
              <w:rFonts w:ascii="宋体" w:hAnsi="宋体" w:eastAsia="宋体" w:cs="宋体"/>
              <w:spacing w:val="-2"/>
              <w:sz w:val="24"/>
              <w:szCs w:val="24"/>
            </w:rPr>
            <w:t>2. 适用范围</w:t>
          </w:r>
          <w:r>
            <w:rPr>
              <w:rFonts w:ascii="宋体" w:hAnsi="宋体" w:eastAsia="宋体" w:cs="宋体"/>
              <w:spacing w:val="-59"/>
              <w:sz w:val="24"/>
              <w:szCs w:val="24"/>
            </w:rPr>
            <w:t xml:space="preserve"> </w:t>
          </w:r>
          <w:r>
            <w:rPr>
              <w:rFonts w:ascii="宋体" w:hAnsi="宋体" w:eastAsia="宋体" w:cs="宋体"/>
              <w:sz w:val="24"/>
              <w:szCs w:val="24"/>
            </w:rPr>
            <w:tab/>
          </w:r>
          <w:r>
            <w:rPr>
              <w:rFonts w:ascii="宋体" w:hAnsi="宋体" w:eastAsia="宋体" w:cs="宋体"/>
              <w:spacing w:val="-92"/>
              <w:sz w:val="24"/>
              <w:szCs w:val="24"/>
            </w:rPr>
            <w:t xml:space="preserve"> </w:t>
          </w:r>
          <w:r>
            <w:rPr>
              <w:rFonts w:ascii="宋体" w:hAnsi="宋体" w:eastAsia="宋体" w:cs="宋体"/>
              <w:spacing w:val="-92"/>
              <w:sz w:val="24"/>
              <w:szCs w:val="24"/>
            </w:rPr>
            <w:fldChar w:fldCharType="end"/>
          </w:r>
          <w:r>
            <w:rPr>
              <w:rFonts w:ascii="Times New Roman" w:hAnsi="Times New Roman" w:eastAsia="Times New Roman" w:cs="Times New Roman"/>
              <w:spacing w:val="-29"/>
              <w:sz w:val="24"/>
              <w:szCs w:val="24"/>
            </w:rPr>
            <w:t>1</w:t>
          </w:r>
        </w:p>
        <w:p w14:paraId="42CF5C8E">
          <w:pPr>
            <w:tabs>
              <w:tab w:val="right" w:leader="dot" w:pos="8495"/>
            </w:tabs>
            <w:spacing w:before="71" w:line="196" w:lineRule="auto"/>
            <w:ind w:left="5"/>
            <w:rPr>
              <w:rFonts w:ascii="Times New Roman" w:hAnsi="Times New Roman" w:eastAsia="Times New Roman" w:cs="Times New Roman"/>
              <w:sz w:val="24"/>
              <w:szCs w:val="24"/>
            </w:rPr>
          </w:pPr>
          <w:r>
            <w:fldChar w:fldCharType="begin"/>
          </w:r>
          <w:r>
            <w:instrText xml:space="preserve"> HYPERLINK \l "bookmark4" </w:instrText>
          </w:r>
          <w:r>
            <w:fldChar w:fldCharType="separate"/>
          </w:r>
          <w:r>
            <w:rPr>
              <w:rFonts w:ascii="宋体" w:hAnsi="宋体" w:eastAsia="宋体" w:cs="宋体"/>
              <w:spacing w:val="-7"/>
              <w:sz w:val="24"/>
              <w:szCs w:val="24"/>
            </w:rPr>
            <w:t>3.</w:t>
          </w:r>
          <w:r>
            <w:rPr>
              <w:rFonts w:ascii="宋体" w:hAnsi="宋体" w:eastAsia="宋体" w:cs="宋体"/>
              <w:spacing w:val="27"/>
              <w:sz w:val="24"/>
              <w:szCs w:val="24"/>
            </w:rPr>
            <w:t xml:space="preserve"> </w:t>
          </w:r>
          <w:r>
            <w:rPr>
              <w:rFonts w:ascii="宋体" w:hAnsi="宋体" w:eastAsia="宋体" w:cs="宋体"/>
              <w:spacing w:val="-7"/>
              <w:sz w:val="24"/>
              <w:szCs w:val="24"/>
            </w:rPr>
            <w:t>引用文件</w:t>
          </w:r>
          <w:r>
            <w:rPr>
              <w:rFonts w:ascii="宋体" w:hAnsi="宋体" w:eastAsia="宋体" w:cs="宋体"/>
              <w:spacing w:val="-59"/>
              <w:sz w:val="24"/>
              <w:szCs w:val="24"/>
            </w:rPr>
            <w:t xml:space="preserve"> </w:t>
          </w:r>
          <w:r>
            <w:rPr>
              <w:rFonts w:ascii="宋体" w:hAnsi="宋体" w:eastAsia="宋体" w:cs="宋体"/>
              <w:sz w:val="24"/>
              <w:szCs w:val="24"/>
            </w:rPr>
            <w:tab/>
          </w:r>
          <w:r>
            <w:rPr>
              <w:rFonts w:ascii="宋体" w:hAnsi="宋体" w:eastAsia="宋体" w:cs="宋体"/>
              <w:spacing w:val="-92"/>
              <w:sz w:val="24"/>
              <w:szCs w:val="24"/>
            </w:rPr>
            <w:t xml:space="preserve"> </w:t>
          </w:r>
          <w:r>
            <w:rPr>
              <w:rFonts w:ascii="宋体" w:hAnsi="宋体" w:eastAsia="宋体" w:cs="宋体"/>
              <w:spacing w:val="-92"/>
              <w:sz w:val="24"/>
              <w:szCs w:val="24"/>
            </w:rPr>
            <w:fldChar w:fldCharType="end"/>
          </w:r>
          <w:r>
            <w:rPr>
              <w:rFonts w:ascii="Times New Roman" w:hAnsi="Times New Roman" w:eastAsia="Times New Roman" w:cs="Times New Roman"/>
              <w:spacing w:val="-29"/>
              <w:sz w:val="24"/>
              <w:szCs w:val="24"/>
            </w:rPr>
            <w:t>1</w:t>
          </w:r>
        </w:p>
        <w:p w14:paraId="330B2A07">
          <w:pPr>
            <w:tabs>
              <w:tab w:val="right" w:leader="dot" w:pos="8495"/>
            </w:tabs>
            <w:spacing w:before="71" w:line="196" w:lineRule="auto"/>
            <w:rPr>
              <w:rFonts w:ascii="Times New Roman" w:hAnsi="Times New Roman" w:eastAsia="Times New Roman" w:cs="Times New Roman"/>
              <w:sz w:val="24"/>
              <w:szCs w:val="24"/>
            </w:rPr>
          </w:pPr>
          <w:r>
            <w:fldChar w:fldCharType="begin"/>
          </w:r>
          <w:r>
            <w:instrText xml:space="preserve"> HYPERLINK \l "bookmark5" </w:instrText>
          </w:r>
          <w:r>
            <w:fldChar w:fldCharType="separate"/>
          </w:r>
          <w:r>
            <w:rPr>
              <w:rFonts w:ascii="宋体" w:hAnsi="宋体" w:eastAsia="宋体" w:cs="宋体"/>
              <w:spacing w:val="-2"/>
              <w:sz w:val="24"/>
              <w:szCs w:val="24"/>
            </w:rPr>
            <w:t>4. 术语与定义</w:t>
          </w:r>
          <w:r>
            <w:rPr>
              <w:rFonts w:ascii="宋体" w:hAnsi="宋体" w:eastAsia="宋体" w:cs="宋体"/>
              <w:spacing w:val="-53"/>
              <w:sz w:val="24"/>
              <w:szCs w:val="24"/>
            </w:rPr>
            <w:t xml:space="preserve"> </w:t>
          </w:r>
          <w:r>
            <w:rPr>
              <w:rFonts w:ascii="宋体" w:hAnsi="宋体" w:eastAsia="宋体" w:cs="宋体"/>
              <w:sz w:val="24"/>
              <w:szCs w:val="24"/>
            </w:rPr>
            <w:tab/>
          </w:r>
          <w:r>
            <w:rPr>
              <w:rFonts w:ascii="宋体" w:hAnsi="宋体" w:eastAsia="宋体" w:cs="宋体"/>
              <w:spacing w:val="-92"/>
              <w:sz w:val="24"/>
              <w:szCs w:val="24"/>
            </w:rPr>
            <w:t xml:space="preserve"> </w:t>
          </w:r>
          <w:r>
            <w:rPr>
              <w:rFonts w:ascii="宋体" w:hAnsi="宋体" w:eastAsia="宋体" w:cs="宋体"/>
              <w:spacing w:val="-92"/>
              <w:sz w:val="24"/>
              <w:szCs w:val="24"/>
            </w:rPr>
            <w:fldChar w:fldCharType="end"/>
          </w:r>
          <w:r>
            <w:rPr>
              <w:rFonts w:ascii="Times New Roman" w:hAnsi="Times New Roman" w:eastAsia="Times New Roman" w:cs="Times New Roman"/>
              <w:spacing w:val="-29"/>
              <w:sz w:val="24"/>
              <w:szCs w:val="24"/>
            </w:rPr>
            <w:t>1</w:t>
          </w:r>
        </w:p>
        <w:p w14:paraId="04E4C83A">
          <w:pPr>
            <w:tabs>
              <w:tab w:val="right" w:leader="dot" w:pos="8495"/>
            </w:tabs>
            <w:spacing w:before="71" w:line="196" w:lineRule="auto"/>
            <w:ind w:left="5"/>
            <w:rPr>
              <w:rFonts w:ascii="Times New Roman" w:hAnsi="Times New Roman" w:eastAsia="Times New Roman" w:cs="Times New Roman"/>
              <w:sz w:val="24"/>
              <w:szCs w:val="24"/>
            </w:rPr>
          </w:pPr>
          <w:r>
            <w:fldChar w:fldCharType="begin"/>
          </w:r>
          <w:r>
            <w:instrText xml:space="preserve"> HYPERLINK \l "bookmark6" </w:instrText>
          </w:r>
          <w:r>
            <w:fldChar w:fldCharType="separate"/>
          </w:r>
          <w:r>
            <w:rPr>
              <w:rFonts w:ascii="宋体" w:hAnsi="宋体" w:eastAsia="宋体" w:cs="宋体"/>
              <w:spacing w:val="-4"/>
              <w:sz w:val="24"/>
              <w:szCs w:val="24"/>
            </w:rPr>
            <w:t>5.</w:t>
          </w:r>
          <w:r>
            <w:rPr>
              <w:rFonts w:ascii="宋体" w:hAnsi="宋体" w:eastAsia="宋体" w:cs="宋体"/>
              <w:spacing w:val="13"/>
              <w:sz w:val="24"/>
              <w:szCs w:val="24"/>
            </w:rPr>
            <w:t xml:space="preserve"> </w:t>
          </w:r>
          <w:r>
            <w:rPr>
              <w:rFonts w:ascii="宋体" w:hAnsi="宋体" w:eastAsia="宋体" w:cs="宋体"/>
              <w:spacing w:val="-4"/>
              <w:sz w:val="24"/>
              <w:szCs w:val="24"/>
            </w:rPr>
            <w:t>角色与职责</w:t>
          </w:r>
          <w:r>
            <w:rPr>
              <w:rFonts w:ascii="宋体" w:hAnsi="宋体" w:eastAsia="宋体" w:cs="宋体"/>
              <w:spacing w:val="-59"/>
              <w:sz w:val="24"/>
              <w:szCs w:val="24"/>
            </w:rPr>
            <w:t xml:space="preserve"> </w:t>
          </w:r>
          <w:r>
            <w:rPr>
              <w:rFonts w:ascii="宋体" w:hAnsi="宋体" w:eastAsia="宋体" w:cs="宋体"/>
              <w:sz w:val="24"/>
              <w:szCs w:val="24"/>
            </w:rPr>
            <w:tab/>
          </w:r>
          <w:r>
            <w:rPr>
              <w:rFonts w:ascii="宋体" w:hAnsi="宋体" w:eastAsia="宋体" w:cs="宋体"/>
              <w:spacing w:val="-92"/>
              <w:sz w:val="24"/>
              <w:szCs w:val="24"/>
            </w:rPr>
            <w:t xml:space="preserve"> </w:t>
          </w:r>
          <w:r>
            <w:rPr>
              <w:rFonts w:ascii="宋体" w:hAnsi="宋体" w:eastAsia="宋体" w:cs="宋体"/>
              <w:spacing w:val="-92"/>
              <w:sz w:val="24"/>
              <w:szCs w:val="24"/>
            </w:rPr>
            <w:fldChar w:fldCharType="end"/>
          </w:r>
          <w:r>
            <w:rPr>
              <w:rFonts w:ascii="Times New Roman" w:hAnsi="Times New Roman" w:eastAsia="Times New Roman" w:cs="Times New Roman"/>
              <w:spacing w:val="-29"/>
              <w:sz w:val="24"/>
              <w:szCs w:val="24"/>
            </w:rPr>
            <w:t>1</w:t>
          </w:r>
        </w:p>
        <w:p w14:paraId="348CCB78">
          <w:pPr>
            <w:tabs>
              <w:tab w:val="right" w:leader="dot" w:pos="8495"/>
            </w:tabs>
            <w:spacing w:before="71" w:line="196" w:lineRule="auto"/>
            <w:ind w:left="2"/>
            <w:rPr>
              <w:rFonts w:ascii="Times New Roman" w:hAnsi="Times New Roman" w:eastAsia="Times New Roman" w:cs="Times New Roman"/>
              <w:sz w:val="24"/>
              <w:szCs w:val="24"/>
            </w:rPr>
          </w:pPr>
          <w:r>
            <w:fldChar w:fldCharType="begin"/>
          </w:r>
          <w:r>
            <w:instrText xml:space="preserve"> HYPERLINK \l "bookmark7" </w:instrText>
          </w:r>
          <w:r>
            <w:fldChar w:fldCharType="separate"/>
          </w:r>
          <w:r>
            <w:rPr>
              <w:rFonts w:ascii="宋体" w:hAnsi="宋体" w:eastAsia="宋体" w:cs="宋体"/>
              <w:spacing w:val="-4"/>
              <w:sz w:val="24"/>
              <w:szCs w:val="24"/>
            </w:rPr>
            <w:t>6.</w:t>
          </w:r>
          <w:r>
            <w:rPr>
              <w:rFonts w:ascii="宋体" w:hAnsi="宋体" w:eastAsia="宋体" w:cs="宋体"/>
              <w:spacing w:val="12"/>
              <w:sz w:val="24"/>
              <w:szCs w:val="24"/>
            </w:rPr>
            <w:t xml:space="preserve"> </w:t>
          </w:r>
          <w:r>
            <w:rPr>
              <w:rFonts w:ascii="宋体" w:hAnsi="宋体" w:eastAsia="宋体" w:cs="宋体"/>
              <w:spacing w:val="-4"/>
              <w:sz w:val="24"/>
              <w:szCs w:val="24"/>
            </w:rPr>
            <w:t>工作程序</w:t>
          </w:r>
          <w:r>
            <w:rPr>
              <w:rFonts w:ascii="宋体" w:hAnsi="宋体" w:eastAsia="宋体" w:cs="宋体"/>
              <w:spacing w:val="-59"/>
              <w:sz w:val="24"/>
              <w:szCs w:val="24"/>
            </w:rPr>
            <w:t xml:space="preserve"> </w:t>
          </w:r>
          <w:r>
            <w:rPr>
              <w:rFonts w:ascii="宋体" w:hAnsi="宋体" w:eastAsia="宋体" w:cs="宋体"/>
              <w:sz w:val="24"/>
              <w:szCs w:val="24"/>
            </w:rPr>
            <w:tab/>
          </w:r>
          <w:r>
            <w:rPr>
              <w:rFonts w:ascii="宋体" w:hAnsi="宋体" w:eastAsia="宋体" w:cs="宋体"/>
              <w:sz w:val="24"/>
              <w:szCs w:val="24"/>
            </w:rPr>
            <w:fldChar w:fldCharType="end"/>
          </w:r>
          <w:r>
            <w:rPr>
              <w:rFonts w:ascii="Times New Roman" w:hAnsi="Times New Roman" w:eastAsia="Times New Roman" w:cs="Times New Roman"/>
              <w:sz w:val="24"/>
              <w:szCs w:val="24"/>
            </w:rPr>
            <w:t>2</w:t>
          </w:r>
        </w:p>
        <w:p w14:paraId="21A39F9E">
          <w:pPr>
            <w:tabs>
              <w:tab w:val="right" w:leader="dot" w:pos="8495"/>
            </w:tabs>
            <w:spacing w:before="71" w:line="196" w:lineRule="auto"/>
            <w:ind w:left="482"/>
            <w:rPr>
              <w:rFonts w:ascii="Calibri" w:hAnsi="Calibri" w:eastAsia="Calibri" w:cs="Calibri"/>
              <w:sz w:val="24"/>
              <w:szCs w:val="24"/>
            </w:rPr>
          </w:pPr>
          <w:r>
            <w:fldChar w:fldCharType="begin"/>
          </w:r>
          <w:r>
            <w:instrText xml:space="preserve"> HYPERLINK \l "bookmark8" </w:instrText>
          </w:r>
          <w:r>
            <w:fldChar w:fldCharType="separate"/>
          </w:r>
          <w:r>
            <w:rPr>
              <w:rFonts w:ascii="宋体" w:hAnsi="宋体" w:eastAsia="宋体" w:cs="宋体"/>
              <w:spacing w:val="-1"/>
              <w:sz w:val="24"/>
              <w:szCs w:val="24"/>
            </w:rPr>
            <w:t>6.1. 识别、定义度量项</w:t>
          </w:r>
          <w:r>
            <w:rPr>
              <w:rFonts w:ascii="宋体" w:hAnsi="宋体" w:eastAsia="宋体" w:cs="宋体"/>
              <w:spacing w:val="-51"/>
              <w:sz w:val="24"/>
              <w:szCs w:val="24"/>
            </w:rPr>
            <w:t xml:space="preserve"> </w:t>
          </w:r>
          <w:r>
            <w:rPr>
              <w:rFonts w:ascii="宋体" w:hAnsi="宋体" w:eastAsia="宋体" w:cs="宋体"/>
              <w:sz w:val="24"/>
              <w:szCs w:val="24"/>
            </w:rPr>
            <w:tab/>
          </w:r>
          <w:r>
            <w:rPr>
              <w:rFonts w:ascii="宋体" w:hAnsi="宋体" w:eastAsia="宋体" w:cs="宋体"/>
              <w:sz w:val="24"/>
              <w:szCs w:val="24"/>
            </w:rPr>
            <w:fldChar w:fldCharType="end"/>
          </w:r>
          <w:r>
            <w:rPr>
              <w:rFonts w:ascii="Calibri" w:hAnsi="Calibri" w:eastAsia="Calibri" w:cs="Calibri"/>
              <w:spacing w:val="8"/>
              <w:sz w:val="24"/>
              <w:szCs w:val="24"/>
            </w:rPr>
            <w:t>2</w:t>
          </w:r>
        </w:p>
        <w:p w14:paraId="2DEEE91D">
          <w:pPr>
            <w:tabs>
              <w:tab w:val="right" w:leader="dot" w:pos="8495"/>
            </w:tabs>
            <w:spacing w:before="71" w:line="196" w:lineRule="auto"/>
            <w:ind w:left="482"/>
            <w:rPr>
              <w:rFonts w:ascii="Calibri" w:hAnsi="Calibri" w:eastAsia="Calibri" w:cs="Calibri"/>
              <w:sz w:val="24"/>
              <w:szCs w:val="24"/>
            </w:rPr>
          </w:pPr>
          <w:r>
            <w:fldChar w:fldCharType="begin"/>
          </w:r>
          <w:r>
            <w:instrText xml:space="preserve"> HYPERLINK \l "bookmark9" </w:instrText>
          </w:r>
          <w:r>
            <w:fldChar w:fldCharType="separate"/>
          </w:r>
          <w:r>
            <w:rPr>
              <w:rFonts w:ascii="宋体" w:hAnsi="宋体" w:eastAsia="宋体" w:cs="宋体"/>
              <w:spacing w:val="-1"/>
              <w:sz w:val="24"/>
              <w:szCs w:val="24"/>
            </w:rPr>
            <w:t>6.2. 确定服务能力基准</w:t>
          </w:r>
          <w:r>
            <w:rPr>
              <w:rFonts w:ascii="宋体" w:hAnsi="宋体" w:eastAsia="宋体" w:cs="宋体"/>
              <w:spacing w:val="-51"/>
              <w:sz w:val="24"/>
              <w:szCs w:val="24"/>
            </w:rPr>
            <w:t xml:space="preserve"> </w:t>
          </w:r>
          <w:r>
            <w:rPr>
              <w:rFonts w:ascii="宋体" w:hAnsi="宋体" w:eastAsia="宋体" w:cs="宋体"/>
              <w:sz w:val="24"/>
              <w:szCs w:val="24"/>
            </w:rPr>
            <w:tab/>
          </w:r>
          <w:r>
            <w:rPr>
              <w:rFonts w:ascii="宋体" w:hAnsi="宋体" w:eastAsia="宋体" w:cs="宋体"/>
              <w:sz w:val="24"/>
              <w:szCs w:val="24"/>
            </w:rPr>
            <w:fldChar w:fldCharType="end"/>
          </w:r>
          <w:r>
            <w:rPr>
              <w:rFonts w:ascii="Calibri" w:hAnsi="Calibri" w:eastAsia="Calibri" w:cs="Calibri"/>
              <w:spacing w:val="8"/>
              <w:sz w:val="24"/>
              <w:szCs w:val="24"/>
            </w:rPr>
            <w:t>2</w:t>
          </w:r>
        </w:p>
        <w:p w14:paraId="34E2865E">
          <w:pPr>
            <w:tabs>
              <w:tab w:val="right" w:leader="dot" w:pos="8495"/>
            </w:tabs>
            <w:spacing w:before="71" w:line="196" w:lineRule="auto"/>
            <w:ind w:left="482"/>
            <w:rPr>
              <w:rFonts w:ascii="Calibri" w:hAnsi="Calibri" w:eastAsia="Calibri" w:cs="Calibri"/>
              <w:sz w:val="24"/>
              <w:szCs w:val="24"/>
            </w:rPr>
          </w:pPr>
          <w:r>
            <w:fldChar w:fldCharType="begin"/>
          </w:r>
          <w:r>
            <w:instrText xml:space="preserve"> HYPERLINK \l "bookmark10" </w:instrText>
          </w:r>
          <w:r>
            <w:fldChar w:fldCharType="separate"/>
          </w:r>
          <w:r>
            <w:rPr>
              <w:rFonts w:ascii="宋体" w:hAnsi="宋体" w:eastAsia="宋体" w:cs="宋体"/>
              <w:spacing w:val="-4"/>
              <w:sz w:val="24"/>
              <w:szCs w:val="24"/>
            </w:rPr>
            <w:t>6.3.</w:t>
          </w:r>
          <w:r>
            <w:rPr>
              <w:rFonts w:ascii="宋体" w:hAnsi="宋体" w:eastAsia="宋体" w:cs="宋体"/>
              <w:spacing w:val="19"/>
              <w:sz w:val="24"/>
              <w:szCs w:val="24"/>
            </w:rPr>
            <w:t xml:space="preserve"> </w:t>
          </w:r>
          <w:r>
            <w:rPr>
              <w:rFonts w:ascii="宋体" w:hAnsi="宋体" w:eastAsia="宋体" w:cs="宋体"/>
              <w:spacing w:val="-4"/>
              <w:sz w:val="24"/>
              <w:szCs w:val="24"/>
            </w:rPr>
            <w:t>设定目标</w:t>
          </w:r>
          <w:r>
            <w:rPr>
              <w:rFonts w:ascii="宋体" w:hAnsi="宋体" w:eastAsia="宋体" w:cs="宋体"/>
              <w:spacing w:val="-60"/>
              <w:sz w:val="24"/>
              <w:szCs w:val="24"/>
            </w:rPr>
            <w:t xml:space="preserve"> </w:t>
          </w:r>
          <w:r>
            <w:rPr>
              <w:rFonts w:ascii="宋体" w:hAnsi="宋体" w:eastAsia="宋体" w:cs="宋体"/>
              <w:sz w:val="24"/>
              <w:szCs w:val="24"/>
            </w:rPr>
            <w:tab/>
          </w:r>
          <w:r>
            <w:rPr>
              <w:rFonts w:ascii="宋体" w:hAnsi="宋体" w:eastAsia="宋体" w:cs="宋体"/>
              <w:sz w:val="24"/>
              <w:szCs w:val="24"/>
            </w:rPr>
            <w:fldChar w:fldCharType="end"/>
          </w:r>
          <w:r>
            <w:rPr>
              <w:rFonts w:ascii="Calibri" w:hAnsi="Calibri" w:eastAsia="Calibri" w:cs="Calibri"/>
              <w:spacing w:val="10"/>
              <w:sz w:val="24"/>
              <w:szCs w:val="24"/>
            </w:rPr>
            <w:t>2</w:t>
          </w:r>
        </w:p>
        <w:p w14:paraId="09CD7D92">
          <w:pPr>
            <w:tabs>
              <w:tab w:val="right" w:leader="dot" w:pos="8495"/>
            </w:tabs>
            <w:spacing w:before="71" w:line="196" w:lineRule="auto"/>
            <w:ind w:left="482"/>
            <w:rPr>
              <w:rFonts w:ascii="Calibri" w:hAnsi="Calibri" w:eastAsia="Calibri" w:cs="Calibri"/>
              <w:sz w:val="24"/>
              <w:szCs w:val="24"/>
            </w:rPr>
          </w:pPr>
          <w:r>
            <w:fldChar w:fldCharType="begin"/>
          </w:r>
          <w:r>
            <w:instrText xml:space="preserve"> HYPERLINK \l "bookmark11" </w:instrText>
          </w:r>
          <w:r>
            <w:fldChar w:fldCharType="separate"/>
          </w:r>
          <w:r>
            <w:rPr>
              <w:rFonts w:ascii="宋体" w:hAnsi="宋体" w:eastAsia="宋体" w:cs="宋体"/>
              <w:spacing w:val="-1"/>
              <w:sz w:val="24"/>
              <w:szCs w:val="24"/>
            </w:rPr>
            <w:t>6.4. 收集指标数据改进</w:t>
          </w:r>
          <w:r>
            <w:rPr>
              <w:rFonts w:ascii="宋体" w:hAnsi="宋体" w:eastAsia="宋体" w:cs="宋体"/>
              <w:spacing w:val="-51"/>
              <w:sz w:val="24"/>
              <w:szCs w:val="24"/>
            </w:rPr>
            <w:t xml:space="preserve"> </w:t>
          </w:r>
          <w:r>
            <w:rPr>
              <w:rFonts w:ascii="宋体" w:hAnsi="宋体" w:eastAsia="宋体" w:cs="宋体"/>
              <w:sz w:val="24"/>
              <w:szCs w:val="24"/>
            </w:rPr>
            <w:tab/>
          </w:r>
          <w:r>
            <w:rPr>
              <w:rFonts w:ascii="宋体" w:hAnsi="宋体" w:eastAsia="宋体" w:cs="宋体"/>
              <w:sz w:val="24"/>
              <w:szCs w:val="24"/>
            </w:rPr>
            <w:fldChar w:fldCharType="end"/>
          </w:r>
          <w:r>
            <w:rPr>
              <w:rFonts w:ascii="Calibri" w:hAnsi="Calibri" w:eastAsia="Calibri" w:cs="Calibri"/>
              <w:spacing w:val="8"/>
              <w:sz w:val="24"/>
              <w:szCs w:val="24"/>
            </w:rPr>
            <w:t>2</w:t>
          </w:r>
        </w:p>
        <w:p w14:paraId="43D66894">
          <w:pPr>
            <w:tabs>
              <w:tab w:val="right" w:leader="dot" w:pos="8495"/>
            </w:tabs>
            <w:spacing w:before="71" w:line="196" w:lineRule="auto"/>
            <w:ind w:left="482"/>
            <w:rPr>
              <w:rFonts w:ascii="Calibri" w:hAnsi="Calibri" w:eastAsia="Calibri" w:cs="Calibri"/>
              <w:sz w:val="24"/>
              <w:szCs w:val="24"/>
            </w:rPr>
          </w:pPr>
          <w:r>
            <w:fldChar w:fldCharType="begin"/>
          </w:r>
          <w:r>
            <w:instrText xml:space="preserve"> HYPERLINK \l "bookmark12" </w:instrText>
          </w:r>
          <w:r>
            <w:fldChar w:fldCharType="separate"/>
          </w:r>
          <w:r>
            <w:rPr>
              <w:rFonts w:ascii="宋体" w:hAnsi="宋体" w:eastAsia="宋体" w:cs="宋体"/>
              <w:spacing w:val="-2"/>
              <w:sz w:val="24"/>
              <w:szCs w:val="24"/>
            </w:rPr>
            <w:t>6.5. 分析能力数据</w:t>
          </w:r>
          <w:r>
            <w:rPr>
              <w:rFonts w:ascii="宋体" w:hAnsi="宋体" w:eastAsia="宋体" w:cs="宋体"/>
              <w:spacing w:val="-46"/>
              <w:sz w:val="24"/>
              <w:szCs w:val="24"/>
            </w:rPr>
            <w:t xml:space="preserve"> </w:t>
          </w:r>
          <w:r>
            <w:rPr>
              <w:rFonts w:ascii="宋体" w:hAnsi="宋体" w:eastAsia="宋体" w:cs="宋体"/>
              <w:sz w:val="24"/>
              <w:szCs w:val="24"/>
            </w:rPr>
            <w:tab/>
          </w:r>
          <w:r>
            <w:rPr>
              <w:rFonts w:ascii="宋体" w:hAnsi="宋体" w:eastAsia="宋体" w:cs="宋体"/>
              <w:sz w:val="24"/>
              <w:szCs w:val="24"/>
            </w:rPr>
            <w:fldChar w:fldCharType="end"/>
          </w:r>
          <w:r>
            <w:rPr>
              <w:rFonts w:ascii="Calibri" w:hAnsi="Calibri" w:eastAsia="Calibri" w:cs="Calibri"/>
              <w:spacing w:val="9"/>
              <w:sz w:val="24"/>
              <w:szCs w:val="24"/>
            </w:rPr>
            <w:t>2</w:t>
          </w:r>
        </w:p>
        <w:p w14:paraId="48DE7C0E">
          <w:pPr>
            <w:tabs>
              <w:tab w:val="right" w:leader="dot" w:pos="8495"/>
            </w:tabs>
            <w:spacing w:before="71" w:line="196" w:lineRule="auto"/>
            <w:ind w:left="482"/>
            <w:rPr>
              <w:rFonts w:ascii="Calibri" w:hAnsi="Calibri" w:eastAsia="Calibri" w:cs="Calibri"/>
              <w:sz w:val="24"/>
              <w:szCs w:val="24"/>
            </w:rPr>
          </w:pPr>
          <w:r>
            <w:fldChar w:fldCharType="begin"/>
          </w:r>
          <w:r>
            <w:instrText xml:space="preserve"> HYPERLINK \l "bookmark13" </w:instrText>
          </w:r>
          <w:r>
            <w:fldChar w:fldCharType="separate"/>
          </w:r>
          <w:r>
            <w:rPr>
              <w:rFonts w:ascii="宋体" w:hAnsi="宋体" w:eastAsia="宋体" w:cs="宋体"/>
              <w:spacing w:val="-2"/>
              <w:sz w:val="24"/>
              <w:szCs w:val="24"/>
            </w:rPr>
            <w:t>6.6. 识别差距</w:t>
          </w:r>
          <w:r>
            <w:rPr>
              <w:rFonts w:ascii="宋体" w:hAnsi="宋体" w:eastAsia="宋体" w:cs="宋体"/>
              <w:spacing w:val="-55"/>
              <w:sz w:val="24"/>
              <w:szCs w:val="24"/>
            </w:rPr>
            <w:t xml:space="preserve"> </w:t>
          </w:r>
          <w:r>
            <w:rPr>
              <w:rFonts w:ascii="宋体" w:hAnsi="宋体" w:eastAsia="宋体" w:cs="宋体"/>
              <w:sz w:val="24"/>
              <w:szCs w:val="24"/>
            </w:rPr>
            <w:tab/>
          </w:r>
          <w:r>
            <w:rPr>
              <w:rFonts w:ascii="宋体" w:hAnsi="宋体" w:eastAsia="宋体" w:cs="宋体"/>
              <w:sz w:val="24"/>
              <w:szCs w:val="24"/>
            </w:rPr>
            <w:fldChar w:fldCharType="end"/>
          </w:r>
          <w:r>
            <w:rPr>
              <w:rFonts w:ascii="Calibri" w:hAnsi="Calibri" w:eastAsia="Calibri" w:cs="Calibri"/>
              <w:spacing w:val="10"/>
              <w:sz w:val="24"/>
              <w:szCs w:val="24"/>
            </w:rPr>
            <w:t>2</w:t>
          </w:r>
        </w:p>
        <w:p w14:paraId="2B8233F7">
          <w:pPr>
            <w:tabs>
              <w:tab w:val="right" w:leader="dot" w:pos="8495"/>
            </w:tabs>
            <w:spacing w:before="71" w:line="196" w:lineRule="auto"/>
            <w:ind w:left="482"/>
            <w:rPr>
              <w:rFonts w:ascii="Calibri" w:hAnsi="Calibri" w:eastAsia="Calibri" w:cs="Calibri"/>
              <w:sz w:val="24"/>
              <w:szCs w:val="24"/>
            </w:rPr>
          </w:pPr>
          <w:r>
            <w:fldChar w:fldCharType="begin"/>
          </w:r>
          <w:r>
            <w:instrText xml:space="preserve"> HYPERLINK \l "bookmark14" </w:instrText>
          </w:r>
          <w:r>
            <w:fldChar w:fldCharType="separate"/>
          </w:r>
          <w:r>
            <w:rPr>
              <w:rFonts w:ascii="宋体" w:hAnsi="宋体" w:eastAsia="宋体" w:cs="宋体"/>
              <w:spacing w:val="-1"/>
              <w:sz w:val="24"/>
              <w:szCs w:val="24"/>
            </w:rPr>
            <w:t>6.7. 确定服务改进措施</w:t>
          </w:r>
          <w:r>
            <w:rPr>
              <w:rFonts w:ascii="宋体" w:hAnsi="宋体" w:eastAsia="宋体" w:cs="宋体"/>
              <w:spacing w:val="-51"/>
              <w:sz w:val="24"/>
              <w:szCs w:val="24"/>
            </w:rPr>
            <w:t xml:space="preserve"> </w:t>
          </w:r>
          <w:r>
            <w:rPr>
              <w:rFonts w:ascii="宋体" w:hAnsi="宋体" w:eastAsia="宋体" w:cs="宋体"/>
              <w:sz w:val="24"/>
              <w:szCs w:val="24"/>
            </w:rPr>
            <w:tab/>
          </w:r>
          <w:r>
            <w:rPr>
              <w:rFonts w:ascii="宋体" w:hAnsi="宋体" w:eastAsia="宋体" w:cs="宋体"/>
              <w:sz w:val="24"/>
              <w:szCs w:val="24"/>
            </w:rPr>
            <w:fldChar w:fldCharType="end"/>
          </w:r>
          <w:r>
            <w:rPr>
              <w:rFonts w:ascii="Calibri" w:hAnsi="Calibri" w:eastAsia="Calibri" w:cs="Calibri"/>
              <w:spacing w:val="8"/>
              <w:sz w:val="24"/>
              <w:szCs w:val="24"/>
            </w:rPr>
            <w:t>3</w:t>
          </w:r>
        </w:p>
        <w:p w14:paraId="35BC1F63">
          <w:pPr>
            <w:tabs>
              <w:tab w:val="right" w:leader="dot" w:pos="8495"/>
            </w:tabs>
            <w:spacing w:before="71" w:line="196" w:lineRule="auto"/>
            <w:ind w:left="482"/>
            <w:rPr>
              <w:rFonts w:ascii="Calibri" w:hAnsi="Calibri" w:eastAsia="Calibri" w:cs="Calibri"/>
              <w:sz w:val="24"/>
              <w:szCs w:val="24"/>
            </w:rPr>
          </w:pPr>
          <w:r>
            <w:fldChar w:fldCharType="begin"/>
          </w:r>
          <w:r>
            <w:instrText xml:space="preserve"> HYPERLINK \l "bookmark15" </w:instrText>
          </w:r>
          <w:r>
            <w:fldChar w:fldCharType="separate"/>
          </w:r>
          <w:r>
            <w:rPr>
              <w:rFonts w:ascii="宋体" w:hAnsi="宋体" w:eastAsia="宋体" w:cs="宋体"/>
              <w:spacing w:val="-2"/>
              <w:sz w:val="24"/>
              <w:szCs w:val="24"/>
            </w:rPr>
            <w:t>6.8. 服务改进实施</w:t>
          </w:r>
          <w:r>
            <w:rPr>
              <w:rFonts w:ascii="宋体" w:hAnsi="宋体" w:eastAsia="宋体" w:cs="宋体"/>
              <w:spacing w:val="-46"/>
              <w:sz w:val="24"/>
              <w:szCs w:val="24"/>
            </w:rPr>
            <w:t xml:space="preserve"> </w:t>
          </w:r>
          <w:r>
            <w:rPr>
              <w:rFonts w:ascii="宋体" w:hAnsi="宋体" w:eastAsia="宋体" w:cs="宋体"/>
              <w:sz w:val="24"/>
              <w:szCs w:val="24"/>
            </w:rPr>
            <w:tab/>
          </w:r>
          <w:r>
            <w:rPr>
              <w:rFonts w:ascii="宋体" w:hAnsi="宋体" w:eastAsia="宋体" w:cs="宋体"/>
              <w:sz w:val="24"/>
              <w:szCs w:val="24"/>
            </w:rPr>
            <w:fldChar w:fldCharType="end"/>
          </w:r>
          <w:r>
            <w:rPr>
              <w:rFonts w:ascii="Calibri" w:hAnsi="Calibri" w:eastAsia="Calibri" w:cs="Calibri"/>
              <w:spacing w:val="9"/>
              <w:sz w:val="24"/>
              <w:szCs w:val="24"/>
            </w:rPr>
            <w:t>3</w:t>
          </w:r>
        </w:p>
        <w:p w14:paraId="312DCC7D">
          <w:pPr>
            <w:tabs>
              <w:tab w:val="right" w:leader="dot" w:pos="8495"/>
            </w:tabs>
            <w:spacing w:before="72" w:line="196" w:lineRule="auto"/>
            <w:ind w:left="482"/>
            <w:rPr>
              <w:rFonts w:ascii="Calibri" w:hAnsi="Calibri" w:eastAsia="Calibri" w:cs="Calibri"/>
              <w:sz w:val="24"/>
              <w:szCs w:val="24"/>
            </w:rPr>
          </w:pPr>
          <w:r>
            <w:fldChar w:fldCharType="begin"/>
          </w:r>
          <w:r>
            <w:instrText xml:space="preserve"> HYPERLINK \l "bookmark16" </w:instrText>
          </w:r>
          <w:r>
            <w:fldChar w:fldCharType="separate"/>
          </w:r>
          <w:r>
            <w:rPr>
              <w:rFonts w:ascii="宋体" w:hAnsi="宋体" w:eastAsia="宋体" w:cs="宋体"/>
              <w:spacing w:val="-2"/>
              <w:sz w:val="24"/>
              <w:szCs w:val="24"/>
            </w:rPr>
            <w:t>6.9. 服务监控</w:t>
          </w:r>
          <w:r>
            <w:rPr>
              <w:rFonts w:ascii="宋体" w:hAnsi="宋体" w:eastAsia="宋体" w:cs="宋体"/>
              <w:spacing w:val="-55"/>
              <w:sz w:val="24"/>
              <w:szCs w:val="24"/>
            </w:rPr>
            <w:t xml:space="preserve"> </w:t>
          </w:r>
          <w:r>
            <w:rPr>
              <w:rFonts w:ascii="宋体" w:hAnsi="宋体" w:eastAsia="宋体" w:cs="宋体"/>
              <w:sz w:val="24"/>
              <w:szCs w:val="24"/>
            </w:rPr>
            <w:tab/>
          </w:r>
          <w:r>
            <w:rPr>
              <w:rFonts w:ascii="宋体" w:hAnsi="宋体" w:eastAsia="宋体" w:cs="宋体"/>
              <w:sz w:val="24"/>
              <w:szCs w:val="24"/>
            </w:rPr>
            <w:fldChar w:fldCharType="end"/>
          </w:r>
          <w:r>
            <w:rPr>
              <w:rFonts w:ascii="Calibri" w:hAnsi="Calibri" w:eastAsia="Calibri" w:cs="Calibri"/>
              <w:spacing w:val="10"/>
              <w:sz w:val="24"/>
              <w:szCs w:val="24"/>
            </w:rPr>
            <w:t>3</w:t>
          </w:r>
        </w:p>
        <w:p w14:paraId="1953A463">
          <w:pPr>
            <w:tabs>
              <w:tab w:val="right" w:leader="dot" w:pos="8495"/>
            </w:tabs>
            <w:spacing w:before="71" w:line="196" w:lineRule="auto"/>
            <w:ind w:left="6"/>
            <w:rPr>
              <w:rFonts w:ascii="Times New Roman" w:hAnsi="Times New Roman" w:eastAsia="Times New Roman" w:cs="Times New Roman"/>
              <w:sz w:val="24"/>
              <w:szCs w:val="24"/>
            </w:rPr>
          </w:pPr>
          <w:r>
            <w:fldChar w:fldCharType="begin"/>
          </w:r>
          <w:r>
            <w:instrText xml:space="preserve"> HYPERLINK \l "bookmark17" </w:instrText>
          </w:r>
          <w:r>
            <w:fldChar w:fldCharType="separate"/>
          </w:r>
          <w:r>
            <w:rPr>
              <w:rFonts w:ascii="宋体" w:hAnsi="宋体" w:eastAsia="宋体" w:cs="宋体"/>
              <w:spacing w:val="-3"/>
              <w:sz w:val="24"/>
              <w:szCs w:val="24"/>
            </w:rPr>
            <w:t>7. 相关文件</w:t>
          </w:r>
          <w:r>
            <w:rPr>
              <w:rFonts w:ascii="宋体" w:hAnsi="宋体" w:eastAsia="宋体" w:cs="宋体"/>
              <w:spacing w:val="-55"/>
              <w:sz w:val="24"/>
              <w:szCs w:val="24"/>
            </w:rPr>
            <w:t xml:space="preserve"> </w:t>
          </w:r>
          <w:r>
            <w:rPr>
              <w:rFonts w:ascii="宋体" w:hAnsi="宋体" w:eastAsia="宋体" w:cs="宋体"/>
              <w:sz w:val="24"/>
              <w:szCs w:val="24"/>
            </w:rPr>
            <w:tab/>
          </w:r>
          <w:r>
            <w:rPr>
              <w:rFonts w:ascii="宋体" w:hAnsi="宋体" w:eastAsia="宋体" w:cs="宋体"/>
              <w:sz w:val="24"/>
              <w:szCs w:val="24"/>
            </w:rPr>
            <w:fldChar w:fldCharType="end"/>
          </w:r>
          <w:r>
            <w:rPr>
              <w:rFonts w:ascii="Times New Roman" w:hAnsi="Times New Roman" w:eastAsia="Times New Roman" w:cs="Times New Roman"/>
              <w:sz w:val="24"/>
              <w:szCs w:val="24"/>
            </w:rPr>
            <w:t>3</w:t>
          </w:r>
        </w:p>
        <w:p w14:paraId="5BAF294B">
          <w:pPr>
            <w:tabs>
              <w:tab w:val="right" w:leader="dot" w:pos="8495"/>
            </w:tabs>
            <w:spacing w:before="71" w:line="219" w:lineRule="auto"/>
            <w:ind w:left="1"/>
            <w:rPr>
              <w:rFonts w:ascii="Times New Roman" w:hAnsi="Times New Roman" w:eastAsia="Times New Roman" w:cs="Times New Roman"/>
              <w:sz w:val="24"/>
              <w:szCs w:val="24"/>
            </w:rPr>
          </w:pPr>
          <w:r>
            <w:fldChar w:fldCharType="begin"/>
          </w:r>
          <w:r>
            <w:instrText xml:space="preserve"> HYPERLINK \l "bookmark18" </w:instrText>
          </w:r>
          <w:r>
            <w:fldChar w:fldCharType="separate"/>
          </w:r>
          <w:r>
            <w:rPr>
              <w:rFonts w:ascii="宋体" w:hAnsi="宋体" w:eastAsia="宋体" w:cs="宋体"/>
              <w:spacing w:val="-14"/>
              <w:sz w:val="24"/>
              <w:szCs w:val="24"/>
            </w:rPr>
            <w:t>8.</w:t>
          </w:r>
          <w:r>
            <w:rPr>
              <w:rFonts w:ascii="宋体" w:hAnsi="宋体" w:eastAsia="宋体" w:cs="宋体"/>
              <w:spacing w:val="30"/>
              <w:sz w:val="24"/>
              <w:szCs w:val="24"/>
            </w:rPr>
            <w:t xml:space="preserve"> </w:t>
          </w:r>
          <w:r>
            <w:rPr>
              <w:rFonts w:ascii="宋体" w:hAnsi="宋体" w:eastAsia="宋体" w:cs="宋体"/>
              <w:spacing w:val="-14"/>
              <w:sz w:val="24"/>
              <w:szCs w:val="24"/>
            </w:rPr>
            <w:t>附</w:t>
          </w:r>
          <w:r>
            <w:rPr>
              <w:rFonts w:ascii="宋体" w:hAnsi="宋体" w:eastAsia="宋体" w:cs="宋体"/>
              <w:spacing w:val="7"/>
              <w:sz w:val="24"/>
              <w:szCs w:val="24"/>
            </w:rPr>
            <w:t xml:space="preserve">  </w:t>
          </w:r>
          <w:r>
            <w:rPr>
              <w:rFonts w:ascii="宋体" w:hAnsi="宋体" w:eastAsia="宋体" w:cs="宋体"/>
              <w:spacing w:val="-14"/>
              <w:sz w:val="24"/>
              <w:szCs w:val="24"/>
            </w:rPr>
            <w:t>则</w:t>
          </w:r>
          <w:r>
            <w:rPr>
              <w:rFonts w:ascii="宋体" w:hAnsi="宋体" w:eastAsia="宋体" w:cs="宋体"/>
              <w:spacing w:val="-59"/>
              <w:sz w:val="24"/>
              <w:szCs w:val="24"/>
            </w:rPr>
            <w:t xml:space="preserve"> </w:t>
          </w:r>
          <w:r>
            <w:rPr>
              <w:rFonts w:ascii="宋体" w:hAnsi="宋体" w:eastAsia="宋体" w:cs="宋体"/>
              <w:sz w:val="24"/>
              <w:szCs w:val="24"/>
            </w:rPr>
            <w:tab/>
          </w:r>
          <w:r>
            <w:rPr>
              <w:rFonts w:ascii="宋体" w:hAnsi="宋体" w:eastAsia="宋体" w:cs="宋体"/>
              <w:sz w:val="24"/>
              <w:szCs w:val="24"/>
            </w:rPr>
            <w:fldChar w:fldCharType="end"/>
          </w:r>
          <w:r>
            <w:rPr>
              <w:rFonts w:ascii="Times New Roman" w:hAnsi="Times New Roman" w:eastAsia="Times New Roman" w:cs="Times New Roman"/>
              <w:sz w:val="24"/>
              <w:szCs w:val="24"/>
            </w:rPr>
            <w:t>3</w:t>
          </w:r>
        </w:p>
      </w:sdtContent>
    </w:sdt>
    <w:p w14:paraId="5C518BE5">
      <w:pPr>
        <w:spacing w:line="219" w:lineRule="auto"/>
        <w:rPr>
          <w:rFonts w:ascii="Times New Roman" w:hAnsi="Times New Roman" w:eastAsia="Times New Roman" w:cs="Times New Roman"/>
          <w:sz w:val="24"/>
          <w:szCs w:val="24"/>
        </w:rPr>
        <w:sectPr>
          <w:pgSz w:w="11906" w:h="16839"/>
          <w:pgMar w:top="1431" w:right="1700" w:bottom="0" w:left="1709" w:header="0" w:footer="0" w:gutter="0"/>
          <w:cols w:space="720" w:num="1"/>
        </w:sectPr>
      </w:pPr>
    </w:p>
    <w:p w14:paraId="30F48AD4">
      <w:pPr>
        <w:pStyle w:val="20"/>
        <w:bidi w:val="0"/>
      </w:pPr>
      <w:bookmarkStart w:id="1" w:name="bookmark2"/>
      <w:bookmarkEnd w:id="1"/>
      <w:r>
        <w:t>目的</w:t>
      </w:r>
    </w:p>
    <w:p w14:paraId="6CC5D8A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为推进公司运维服务能力管理工作的持续改进，特建立本程序，主要目的</w:t>
      </w:r>
      <w:r>
        <w:rPr>
          <w:rFonts w:ascii="宋体" w:hAnsi="宋体" w:eastAsia="宋体" w:cs="宋体"/>
          <w:spacing w:val="-9"/>
          <w:sz w:val="24"/>
          <w:szCs w:val="24"/>
        </w:rPr>
        <w:t>归纳为以下几点：</w:t>
      </w:r>
    </w:p>
    <w:p w14:paraId="2DA459F7">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1</w:t>
      </w:r>
      <w:r>
        <w:rPr>
          <w:rFonts w:hint="eastAsia" w:ascii="宋体" w:hAnsi="宋体" w:eastAsia="宋体" w:cs="宋体"/>
          <w:spacing w:val="-1"/>
          <w:sz w:val="24"/>
          <w:szCs w:val="24"/>
          <w:lang w:val="en-US" w:eastAsia="zh-CN"/>
        </w:rPr>
        <w:t>.</w:t>
      </w:r>
      <w:r>
        <w:rPr>
          <w:rFonts w:ascii="宋体" w:hAnsi="宋体" w:eastAsia="宋体" w:cs="宋体"/>
          <w:spacing w:val="-1"/>
          <w:sz w:val="24"/>
          <w:szCs w:val="24"/>
        </w:rPr>
        <w:t>根据信息技术服务运行维护相应标准，识别公</w:t>
      </w:r>
      <w:r>
        <w:rPr>
          <w:rFonts w:ascii="宋体" w:hAnsi="宋体" w:eastAsia="宋体" w:cs="宋体"/>
          <w:spacing w:val="-2"/>
          <w:sz w:val="24"/>
          <w:szCs w:val="24"/>
        </w:rPr>
        <w:t>司运维服务能力管理差</w:t>
      </w:r>
      <w:r>
        <w:rPr>
          <w:rFonts w:ascii="宋体" w:hAnsi="宋体" w:eastAsia="宋体" w:cs="宋体"/>
          <w:spacing w:val="-10"/>
          <w:sz w:val="24"/>
          <w:szCs w:val="24"/>
        </w:rPr>
        <w:t>距并进行改进；</w:t>
      </w:r>
    </w:p>
    <w:p w14:paraId="7D28A963">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pacing w:val="-1"/>
          <w:sz w:val="24"/>
          <w:szCs w:val="24"/>
        </w:rPr>
      </w:pPr>
      <w:r>
        <w:rPr>
          <w:rFonts w:ascii="宋体" w:hAnsi="宋体" w:eastAsia="宋体" w:cs="宋体"/>
          <w:spacing w:val="-1"/>
          <w:sz w:val="24"/>
          <w:szCs w:val="24"/>
        </w:rPr>
        <w:t>2</w:t>
      </w:r>
      <w:r>
        <w:rPr>
          <w:rFonts w:hint="eastAsia" w:ascii="宋体" w:hAnsi="宋体" w:eastAsia="宋体" w:cs="宋体"/>
          <w:spacing w:val="-1"/>
          <w:sz w:val="24"/>
          <w:szCs w:val="24"/>
          <w:lang w:val="en-US" w:eastAsia="zh-CN"/>
        </w:rPr>
        <w:t>.</w:t>
      </w:r>
      <w:r>
        <w:rPr>
          <w:rFonts w:ascii="宋体" w:hAnsi="宋体" w:eastAsia="宋体" w:cs="宋体"/>
          <w:spacing w:val="-1"/>
          <w:sz w:val="24"/>
          <w:szCs w:val="24"/>
        </w:rPr>
        <w:t>在日常运维服务过程中，识别存在的问题或与同行之间的差距等，进行相应措施的落实与改进；</w:t>
      </w:r>
    </w:p>
    <w:p w14:paraId="3A09F2FE">
      <w:pPr>
        <w:keepNext w:val="0"/>
        <w:keepLines w:val="0"/>
        <w:pageBreakBefore w:val="0"/>
        <w:widowControl/>
        <w:kinsoku w:val="0"/>
        <w:wordWrap/>
        <w:overflowPunct/>
        <w:topLinePunct w:val="0"/>
        <w:autoSpaceDE w:val="0"/>
        <w:autoSpaceDN w:val="0"/>
        <w:bidi w:val="0"/>
        <w:adjustRightInd w:val="0"/>
        <w:snapToGrid w:val="0"/>
        <w:spacing w:line="360" w:lineRule="auto"/>
        <w:ind w:left="476" w:right="0" w:hanging="476" w:hangingChars="200"/>
        <w:textAlignment w:val="baseline"/>
        <w:rPr>
          <w:rFonts w:ascii="宋体" w:hAnsi="宋体" w:eastAsia="宋体" w:cs="宋体"/>
          <w:sz w:val="24"/>
          <w:szCs w:val="24"/>
        </w:rPr>
      </w:pPr>
      <w:r>
        <w:rPr>
          <w:rFonts w:ascii="宋体" w:hAnsi="宋体" w:eastAsia="宋体" w:cs="宋体"/>
          <w:spacing w:val="-1"/>
          <w:sz w:val="24"/>
          <w:szCs w:val="24"/>
        </w:rPr>
        <w:t>3</w:t>
      </w:r>
      <w:r>
        <w:rPr>
          <w:rFonts w:hint="eastAsia" w:ascii="宋体" w:hAnsi="宋体" w:eastAsia="宋体" w:cs="宋体"/>
          <w:spacing w:val="-1"/>
          <w:sz w:val="24"/>
          <w:szCs w:val="24"/>
          <w:lang w:val="en-US" w:eastAsia="zh-CN"/>
        </w:rPr>
        <w:t>.</w:t>
      </w:r>
      <w:r>
        <w:rPr>
          <w:rFonts w:ascii="宋体" w:hAnsi="宋体" w:eastAsia="宋体" w:cs="宋体"/>
          <w:spacing w:val="-1"/>
          <w:sz w:val="24"/>
          <w:szCs w:val="24"/>
        </w:rPr>
        <w:t>通过一系列指标的收集分析以及目标管理，识别公司服务能力管理水平以及需要持续改进之处，并提出可改进的相应措施进行改进。</w:t>
      </w:r>
    </w:p>
    <w:p w14:paraId="6F021D62">
      <w:pPr>
        <w:pStyle w:val="20"/>
        <w:bidi w:val="0"/>
      </w:pPr>
      <w:bookmarkStart w:id="2" w:name="bookmark3"/>
      <w:bookmarkEnd w:id="2"/>
      <w:r>
        <w:t>适用范围</w:t>
      </w:r>
    </w:p>
    <w:p w14:paraId="0ADE84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涉及公司运维服务业务的部门，适用于运维</w:t>
      </w:r>
      <w:r>
        <w:rPr>
          <w:rFonts w:ascii="宋体" w:hAnsi="宋体" w:eastAsia="宋体" w:cs="宋体"/>
          <w:spacing w:val="-1"/>
          <w:sz w:val="24"/>
          <w:szCs w:val="24"/>
        </w:rPr>
        <w:t>服务过程中提供方与其他相关主体之间就服务质量所进行的协调活动。</w:t>
      </w:r>
    </w:p>
    <w:p w14:paraId="5095B96D">
      <w:pPr>
        <w:pStyle w:val="20"/>
        <w:bidi w:val="0"/>
      </w:pPr>
      <w:bookmarkStart w:id="3" w:name="bookmark4"/>
      <w:bookmarkEnd w:id="3"/>
      <w:r>
        <w:t>引用文件</w:t>
      </w:r>
    </w:p>
    <w:p w14:paraId="0FD4DC71">
      <w:pPr>
        <w:spacing w:before="177" w:line="220" w:lineRule="auto"/>
        <w:ind w:left="620"/>
        <w:rPr>
          <w:rFonts w:ascii="宋体" w:hAnsi="宋体" w:eastAsia="宋体" w:cs="宋体"/>
          <w:sz w:val="24"/>
          <w:szCs w:val="24"/>
        </w:rPr>
      </w:pPr>
      <w:r>
        <w:rPr>
          <w:rFonts w:ascii="宋体" w:hAnsi="宋体" w:eastAsia="宋体" w:cs="宋体"/>
          <w:spacing w:val="-2"/>
          <w:sz w:val="24"/>
          <w:szCs w:val="24"/>
        </w:rPr>
        <w:t>1.ITSS.1—2015 《信息技术服务 运行维护服务能力成熟度模型》</w:t>
      </w:r>
    </w:p>
    <w:p w14:paraId="610A3F90">
      <w:pPr>
        <w:spacing w:before="182" w:line="220" w:lineRule="auto"/>
        <w:ind w:left="605"/>
        <w:rPr>
          <w:rFonts w:ascii="宋体" w:hAnsi="宋体" w:eastAsia="宋体" w:cs="宋体"/>
          <w:sz w:val="24"/>
          <w:szCs w:val="24"/>
        </w:rPr>
      </w:pPr>
      <w:r>
        <w:rPr>
          <w:rFonts w:ascii="宋体" w:hAnsi="宋体" w:eastAsia="宋体" w:cs="宋体"/>
          <w:spacing w:val="-1"/>
          <w:sz w:val="24"/>
          <w:szCs w:val="24"/>
        </w:rPr>
        <w:t xml:space="preserve">2.GB/T 28827.1-2022 </w:t>
      </w:r>
      <w:r>
        <w:rPr>
          <w:rFonts w:ascii="宋体" w:hAnsi="宋体" w:eastAsia="宋体" w:cs="宋体"/>
          <w:spacing w:val="-2"/>
          <w:sz w:val="24"/>
          <w:szCs w:val="24"/>
        </w:rPr>
        <w:t>《信息技术服务 运行维护 第</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7"/>
          <w:sz w:val="24"/>
          <w:szCs w:val="24"/>
        </w:rPr>
        <w:t xml:space="preserve"> </w:t>
      </w:r>
      <w:r>
        <w:rPr>
          <w:rFonts w:ascii="宋体" w:hAnsi="宋体" w:eastAsia="宋体" w:cs="宋体"/>
          <w:spacing w:val="-2"/>
          <w:sz w:val="24"/>
          <w:szCs w:val="24"/>
        </w:rPr>
        <w:t>部分：通用要求》</w:t>
      </w:r>
    </w:p>
    <w:p w14:paraId="62D1BBAF">
      <w:pPr>
        <w:spacing w:before="212" w:line="220" w:lineRule="auto"/>
        <w:ind w:left="607"/>
        <w:rPr>
          <w:rFonts w:ascii="宋体" w:hAnsi="宋体" w:eastAsia="宋体" w:cs="宋体"/>
          <w:sz w:val="24"/>
          <w:szCs w:val="24"/>
        </w:rPr>
      </w:pPr>
      <w:r>
        <w:rPr>
          <w:rFonts w:ascii="宋体" w:hAnsi="宋体" w:eastAsia="宋体" w:cs="宋体"/>
          <w:spacing w:val="-1"/>
          <w:sz w:val="24"/>
          <w:szCs w:val="24"/>
        </w:rPr>
        <w:t>3.GB/T 28827.2-2012 《信息技术服务 运行维护</w:t>
      </w:r>
      <w:r>
        <w:rPr>
          <w:rFonts w:ascii="宋体" w:hAnsi="宋体" w:eastAsia="宋体" w:cs="宋体"/>
          <w:spacing w:val="-2"/>
          <w:sz w:val="24"/>
          <w:szCs w:val="24"/>
        </w:rPr>
        <w:t xml:space="preserve"> 第</w:t>
      </w:r>
      <w:r>
        <w:rPr>
          <w:rFonts w:ascii="宋体" w:hAnsi="宋体" w:eastAsia="宋体" w:cs="宋体"/>
          <w:spacing w:val="-47"/>
          <w:sz w:val="24"/>
          <w:szCs w:val="24"/>
        </w:rPr>
        <w:t xml:space="preserve"> </w:t>
      </w:r>
      <w:r>
        <w:rPr>
          <w:rFonts w:ascii="宋体" w:hAnsi="宋体" w:eastAsia="宋体" w:cs="宋体"/>
          <w:spacing w:val="-2"/>
          <w:sz w:val="24"/>
          <w:szCs w:val="24"/>
        </w:rPr>
        <w:t>2</w:t>
      </w:r>
      <w:r>
        <w:rPr>
          <w:rFonts w:ascii="宋体" w:hAnsi="宋体" w:eastAsia="宋体" w:cs="宋体"/>
          <w:spacing w:val="-48"/>
          <w:sz w:val="24"/>
          <w:szCs w:val="24"/>
        </w:rPr>
        <w:t xml:space="preserve"> </w:t>
      </w:r>
      <w:r>
        <w:rPr>
          <w:rFonts w:ascii="宋体" w:hAnsi="宋体" w:eastAsia="宋体" w:cs="宋体"/>
          <w:spacing w:val="-2"/>
          <w:sz w:val="24"/>
          <w:szCs w:val="24"/>
        </w:rPr>
        <w:t>部分:交付规范》</w:t>
      </w:r>
    </w:p>
    <w:p w14:paraId="26790D6D">
      <w:pPr>
        <w:spacing w:before="182" w:line="297" w:lineRule="auto"/>
        <w:ind w:left="1027" w:right="113" w:hanging="426"/>
        <w:rPr>
          <w:rFonts w:ascii="宋体" w:hAnsi="宋体" w:eastAsia="宋体" w:cs="宋体"/>
          <w:sz w:val="24"/>
          <w:szCs w:val="24"/>
        </w:rPr>
      </w:pPr>
      <w:r>
        <w:rPr>
          <w:rFonts w:ascii="宋体" w:hAnsi="宋体" w:eastAsia="宋体" w:cs="宋体"/>
          <w:spacing w:val="-2"/>
          <w:sz w:val="24"/>
          <w:szCs w:val="24"/>
        </w:rPr>
        <w:t>4.GB/T</w:t>
      </w:r>
      <w:r>
        <w:rPr>
          <w:rFonts w:ascii="宋体" w:hAnsi="宋体" w:eastAsia="宋体" w:cs="宋体"/>
          <w:spacing w:val="34"/>
          <w:sz w:val="24"/>
          <w:szCs w:val="24"/>
        </w:rPr>
        <w:t xml:space="preserve"> </w:t>
      </w:r>
      <w:r>
        <w:rPr>
          <w:rFonts w:ascii="宋体" w:hAnsi="宋体" w:eastAsia="宋体" w:cs="宋体"/>
          <w:spacing w:val="-2"/>
          <w:sz w:val="24"/>
          <w:szCs w:val="24"/>
        </w:rPr>
        <w:t>28827.3-2012 《信息技术服务</w:t>
      </w:r>
      <w:r>
        <w:rPr>
          <w:rFonts w:ascii="宋体" w:hAnsi="宋体" w:eastAsia="宋体" w:cs="宋体"/>
          <w:spacing w:val="42"/>
          <w:sz w:val="24"/>
          <w:szCs w:val="24"/>
        </w:rPr>
        <w:t xml:space="preserve"> </w:t>
      </w:r>
      <w:r>
        <w:rPr>
          <w:rFonts w:ascii="宋体" w:hAnsi="宋体" w:eastAsia="宋体" w:cs="宋体"/>
          <w:spacing w:val="-2"/>
          <w:sz w:val="24"/>
          <w:szCs w:val="24"/>
        </w:rPr>
        <w:t>运行维护</w:t>
      </w:r>
      <w:r>
        <w:rPr>
          <w:rFonts w:ascii="宋体" w:hAnsi="宋体" w:eastAsia="宋体" w:cs="宋体"/>
          <w:spacing w:val="31"/>
          <w:sz w:val="24"/>
          <w:szCs w:val="24"/>
        </w:rPr>
        <w:t xml:space="preserve"> </w:t>
      </w:r>
      <w:r>
        <w:rPr>
          <w:rFonts w:ascii="宋体" w:hAnsi="宋体" w:eastAsia="宋体" w:cs="宋体"/>
          <w:spacing w:val="-2"/>
          <w:sz w:val="24"/>
          <w:szCs w:val="24"/>
        </w:rPr>
        <w:t>第</w:t>
      </w:r>
      <w:r>
        <w:rPr>
          <w:rFonts w:ascii="宋体" w:hAnsi="宋体" w:eastAsia="宋体" w:cs="宋体"/>
          <w:spacing w:val="-46"/>
          <w:sz w:val="24"/>
          <w:szCs w:val="24"/>
        </w:rPr>
        <w:t xml:space="preserve"> </w:t>
      </w:r>
      <w:r>
        <w:rPr>
          <w:rFonts w:ascii="宋体" w:hAnsi="宋体" w:eastAsia="宋体" w:cs="宋体"/>
          <w:spacing w:val="-2"/>
          <w:sz w:val="24"/>
          <w:szCs w:val="24"/>
        </w:rPr>
        <w:t>3</w:t>
      </w:r>
      <w:r>
        <w:rPr>
          <w:rFonts w:ascii="宋体" w:hAnsi="宋体" w:eastAsia="宋体" w:cs="宋体"/>
          <w:spacing w:val="-48"/>
          <w:sz w:val="24"/>
          <w:szCs w:val="24"/>
        </w:rPr>
        <w:t xml:space="preserve"> </w:t>
      </w:r>
      <w:r>
        <w:rPr>
          <w:rFonts w:ascii="宋体" w:hAnsi="宋体" w:eastAsia="宋体" w:cs="宋体"/>
          <w:spacing w:val="-2"/>
          <w:sz w:val="24"/>
          <w:szCs w:val="24"/>
        </w:rPr>
        <w:t>部分:应急响应规</w:t>
      </w:r>
      <w:r>
        <w:rPr>
          <w:rFonts w:ascii="宋体" w:hAnsi="宋体" w:eastAsia="宋体" w:cs="宋体"/>
          <w:spacing w:val="-7"/>
          <w:sz w:val="24"/>
          <w:szCs w:val="24"/>
        </w:rPr>
        <w:t>范》</w:t>
      </w:r>
    </w:p>
    <w:p w14:paraId="2C8479AE">
      <w:pPr>
        <w:spacing w:before="176" w:line="220" w:lineRule="auto"/>
        <w:ind w:left="607"/>
        <w:rPr>
          <w:rFonts w:ascii="宋体" w:hAnsi="宋体" w:eastAsia="宋体" w:cs="宋体"/>
          <w:sz w:val="24"/>
          <w:szCs w:val="24"/>
        </w:rPr>
      </w:pPr>
      <w:r>
        <w:rPr>
          <w:rFonts w:ascii="宋体" w:hAnsi="宋体" w:eastAsia="宋体" w:cs="宋体"/>
          <w:spacing w:val="-1"/>
          <w:sz w:val="24"/>
          <w:szCs w:val="24"/>
        </w:rPr>
        <w:t>5.GB/T 29264-2012 《信息技术服务 分类与代码》</w:t>
      </w:r>
    </w:p>
    <w:p w14:paraId="4E80604D">
      <w:pPr>
        <w:spacing w:before="182" w:line="220" w:lineRule="auto"/>
        <w:ind w:left="604"/>
        <w:rPr>
          <w:rFonts w:ascii="宋体" w:hAnsi="宋体" w:eastAsia="宋体" w:cs="宋体"/>
          <w:sz w:val="24"/>
          <w:szCs w:val="24"/>
        </w:rPr>
      </w:pPr>
      <w:r>
        <w:rPr>
          <w:rFonts w:ascii="宋体" w:hAnsi="宋体" w:eastAsia="宋体" w:cs="宋体"/>
          <w:spacing w:val="-3"/>
          <w:sz w:val="24"/>
          <w:szCs w:val="24"/>
        </w:rPr>
        <w:t>6.国家有关法律、法规及行业标准</w:t>
      </w:r>
    </w:p>
    <w:p w14:paraId="1482877F">
      <w:pPr>
        <w:pStyle w:val="20"/>
        <w:bidi w:val="0"/>
      </w:pPr>
      <w:bookmarkStart w:id="4" w:name="bookmark5"/>
      <w:bookmarkEnd w:id="4"/>
      <w:r>
        <w:t>术语与定义</w:t>
      </w:r>
    </w:p>
    <w:p w14:paraId="77B8593B">
      <w:pPr>
        <w:spacing w:before="178" w:line="220" w:lineRule="auto"/>
        <w:ind w:left="604"/>
      </w:pPr>
      <w:r>
        <w:rPr>
          <w:rFonts w:ascii="宋体" w:hAnsi="宋体" w:eastAsia="宋体" w:cs="宋体"/>
          <w:sz w:val="24"/>
          <w:szCs w:val="24"/>
        </w:rPr>
        <w:t>无</w:t>
      </w:r>
    </w:p>
    <w:p w14:paraId="1C84B9BD">
      <w:pPr>
        <w:pStyle w:val="20"/>
        <w:bidi w:val="0"/>
      </w:pPr>
      <w:bookmarkStart w:id="5" w:name="bookmark6"/>
      <w:bookmarkEnd w:id="5"/>
      <w:r>
        <w:t>角色与职责</w:t>
      </w:r>
    </w:p>
    <w:p w14:paraId="288C82B5">
      <w:pPr>
        <w:spacing w:line="62" w:lineRule="exact"/>
      </w:pPr>
    </w:p>
    <w:tbl>
      <w:tblPr>
        <w:tblStyle w:val="18"/>
        <w:tblW w:w="852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8"/>
        <w:gridCol w:w="2742"/>
        <w:gridCol w:w="3512"/>
      </w:tblGrid>
      <w:tr w14:paraId="0B11EB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268" w:type="dxa"/>
            <w:shd w:val="clear" w:color="auto" w:fill="BFBFBF"/>
            <w:vAlign w:val="top"/>
          </w:tcPr>
          <w:p w14:paraId="4960D3BF">
            <w:pPr>
              <w:spacing w:before="52" w:line="219" w:lineRule="auto"/>
              <w:ind w:left="929"/>
              <w:rPr>
                <w:rFonts w:ascii="宋体" w:hAnsi="宋体" w:eastAsia="宋体" w:cs="宋体"/>
                <w:sz w:val="21"/>
                <w:szCs w:val="21"/>
              </w:rPr>
            </w:pPr>
            <w:r>
              <w:rPr>
                <w:rFonts w:ascii="宋体" w:hAnsi="宋体" w:eastAsia="宋体" w:cs="宋体"/>
                <w:spacing w:val="-3"/>
                <w:sz w:val="21"/>
                <w:szCs w:val="21"/>
              </w:rPr>
              <w:t>角色</w:t>
            </w:r>
          </w:p>
        </w:tc>
        <w:tc>
          <w:tcPr>
            <w:tcW w:w="2742" w:type="dxa"/>
            <w:shd w:val="clear" w:color="auto" w:fill="BFBFBF"/>
            <w:vAlign w:val="top"/>
          </w:tcPr>
          <w:p w14:paraId="7250AAF1">
            <w:pPr>
              <w:spacing w:before="52" w:line="219" w:lineRule="auto"/>
              <w:ind w:left="1164"/>
              <w:rPr>
                <w:rFonts w:ascii="宋体" w:hAnsi="宋体" w:eastAsia="宋体" w:cs="宋体"/>
                <w:sz w:val="21"/>
                <w:szCs w:val="21"/>
              </w:rPr>
            </w:pPr>
            <w:r>
              <w:rPr>
                <w:rFonts w:ascii="宋体" w:hAnsi="宋体" w:eastAsia="宋体" w:cs="宋体"/>
                <w:spacing w:val="-3"/>
                <w:sz w:val="21"/>
                <w:szCs w:val="21"/>
              </w:rPr>
              <w:t>职责</w:t>
            </w:r>
          </w:p>
        </w:tc>
        <w:tc>
          <w:tcPr>
            <w:tcW w:w="3512" w:type="dxa"/>
            <w:shd w:val="clear" w:color="auto" w:fill="BFBFBF"/>
            <w:vAlign w:val="top"/>
          </w:tcPr>
          <w:p w14:paraId="3134FAEB">
            <w:pPr>
              <w:spacing w:before="52" w:line="219" w:lineRule="auto"/>
              <w:ind w:left="207"/>
              <w:rPr>
                <w:rFonts w:ascii="宋体" w:hAnsi="宋体" w:eastAsia="宋体" w:cs="宋体"/>
                <w:sz w:val="21"/>
                <w:szCs w:val="21"/>
              </w:rPr>
            </w:pPr>
            <w:r>
              <w:rPr>
                <w:rFonts w:ascii="宋体" w:hAnsi="宋体" w:eastAsia="宋体" w:cs="宋体"/>
                <w:spacing w:val="-3"/>
                <w:sz w:val="21"/>
                <w:szCs w:val="21"/>
              </w:rPr>
              <w:t>岗位（要以岗位职责说明书确定）</w:t>
            </w:r>
          </w:p>
        </w:tc>
      </w:tr>
      <w:tr w14:paraId="7A6688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268" w:type="dxa"/>
            <w:vAlign w:val="top"/>
          </w:tcPr>
          <w:p w14:paraId="0A553D2B">
            <w:pPr>
              <w:spacing w:before="52" w:line="219" w:lineRule="auto"/>
              <w:ind w:left="610"/>
              <w:rPr>
                <w:rFonts w:ascii="宋体" w:hAnsi="宋体" w:eastAsia="宋体" w:cs="宋体"/>
                <w:sz w:val="21"/>
                <w:szCs w:val="21"/>
              </w:rPr>
            </w:pPr>
            <w:r>
              <w:rPr>
                <w:rFonts w:ascii="宋体" w:hAnsi="宋体" w:eastAsia="宋体" w:cs="宋体"/>
                <w:spacing w:val="-2"/>
                <w:sz w:val="21"/>
                <w:szCs w:val="21"/>
              </w:rPr>
              <w:t>程序起草人</w:t>
            </w:r>
          </w:p>
        </w:tc>
        <w:tc>
          <w:tcPr>
            <w:tcW w:w="2742" w:type="dxa"/>
            <w:vAlign w:val="top"/>
          </w:tcPr>
          <w:p w14:paraId="009267BC">
            <w:pPr>
              <w:spacing w:before="52" w:line="219" w:lineRule="auto"/>
              <w:ind w:left="331"/>
              <w:rPr>
                <w:rFonts w:ascii="宋体" w:hAnsi="宋体" w:eastAsia="宋体" w:cs="宋体"/>
                <w:sz w:val="21"/>
                <w:szCs w:val="21"/>
              </w:rPr>
            </w:pPr>
            <w:r>
              <w:rPr>
                <w:rFonts w:ascii="宋体" w:hAnsi="宋体" w:eastAsia="宋体" w:cs="宋体"/>
                <w:spacing w:val="-2"/>
                <w:sz w:val="21"/>
                <w:szCs w:val="21"/>
              </w:rPr>
              <w:t>负责制度的编写及完善</w:t>
            </w:r>
          </w:p>
        </w:tc>
        <w:tc>
          <w:tcPr>
            <w:tcW w:w="3512" w:type="dxa"/>
            <w:vAlign w:val="top"/>
          </w:tcPr>
          <w:p w14:paraId="5D95E1DC">
            <w:pPr>
              <w:spacing w:before="52" w:line="219" w:lineRule="auto"/>
              <w:ind w:left="1130"/>
              <w:rPr>
                <w:rFonts w:ascii="宋体" w:hAnsi="宋体" w:eastAsia="宋体" w:cs="宋体"/>
                <w:sz w:val="21"/>
                <w:szCs w:val="21"/>
              </w:rPr>
            </w:pPr>
            <w:r>
              <w:rPr>
                <w:rFonts w:ascii="宋体" w:hAnsi="宋体" w:eastAsia="宋体" w:cs="宋体"/>
                <w:spacing w:val="-2"/>
                <w:sz w:val="21"/>
                <w:szCs w:val="21"/>
              </w:rPr>
              <w:t>质量管理专员</w:t>
            </w:r>
          </w:p>
        </w:tc>
      </w:tr>
      <w:tr w14:paraId="25CDAA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268" w:type="dxa"/>
            <w:shd w:val="clear" w:color="auto" w:fill="auto"/>
            <w:vAlign w:val="top"/>
          </w:tcPr>
          <w:p w14:paraId="62D467EA">
            <w:pPr>
              <w:spacing w:before="53" w:line="218" w:lineRule="auto"/>
              <w:ind w:left="610" w:leftChars="0"/>
              <w:rPr>
                <w:rFonts w:ascii="宋体" w:hAnsi="宋体" w:eastAsia="宋体" w:cs="宋体"/>
                <w:snapToGrid w:val="0"/>
                <w:color w:val="000000"/>
                <w:kern w:val="0"/>
                <w:sz w:val="21"/>
                <w:szCs w:val="21"/>
                <w:lang w:val="en-US" w:eastAsia="en-US" w:bidi="ar-SA"/>
              </w:rPr>
            </w:pPr>
            <w:r>
              <w:rPr>
                <w:rFonts w:ascii="宋体" w:hAnsi="宋体" w:eastAsia="宋体" w:cs="宋体"/>
                <w:spacing w:val="-2"/>
                <w:sz w:val="21"/>
                <w:szCs w:val="21"/>
              </w:rPr>
              <w:t>程序审核人</w:t>
            </w:r>
          </w:p>
        </w:tc>
        <w:tc>
          <w:tcPr>
            <w:tcW w:w="2742" w:type="dxa"/>
            <w:shd w:val="clear" w:color="auto" w:fill="auto"/>
            <w:vAlign w:val="top"/>
          </w:tcPr>
          <w:p w14:paraId="559B37B6">
            <w:pPr>
              <w:spacing w:before="53" w:line="218" w:lineRule="auto"/>
              <w:ind w:left="849" w:leftChars="0"/>
              <w:rPr>
                <w:rFonts w:ascii="宋体" w:hAnsi="宋体" w:eastAsia="宋体" w:cs="宋体"/>
                <w:snapToGrid w:val="0"/>
                <w:color w:val="000000"/>
                <w:kern w:val="0"/>
                <w:sz w:val="21"/>
                <w:szCs w:val="21"/>
                <w:lang w:val="en-US" w:eastAsia="en-US" w:bidi="ar-SA"/>
              </w:rPr>
            </w:pPr>
            <w:r>
              <w:rPr>
                <w:rFonts w:ascii="宋体" w:hAnsi="宋体" w:eastAsia="宋体" w:cs="宋体"/>
                <w:spacing w:val="-2"/>
                <w:sz w:val="21"/>
                <w:szCs w:val="21"/>
              </w:rPr>
              <w:t>制度的审核</w:t>
            </w:r>
          </w:p>
        </w:tc>
        <w:tc>
          <w:tcPr>
            <w:tcW w:w="3512" w:type="dxa"/>
            <w:shd w:val="clear" w:color="auto" w:fill="auto"/>
            <w:vAlign w:val="top"/>
          </w:tcPr>
          <w:p w14:paraId="11CFBB97">
            <w:pPr>
              <w:spacing w:before="53" w:line="218" w:lineRule="auto"/>
              <w:ind w:left="1450" w:leftChars="0"/>
              <w:rPr>
                <w:rFonts w:ascii="宋体" w:hAnsi="宋体" w:eastAsia="宋体" w:cs="宋体"/>
                <w:snapToGrid w:val="0"/>
                <w:color w:val="000000"/>
                <w:kern w:val="0"/>
                <w:sz w:val="21"/>
                <w:szCs w:val="21"/>
                <w:lang w:val="en-US" w:eastAsia="en-US" w:bidi="ar-SA"/>
              </w:rPr>
            </w:pPr>
            <w:r>
              <w:rPr>
                <w:rFonts w:ascii="宋体" w:hAnsi="宋体" w:eastAsia="宋体" w:cs="宋体"/>
                <w:spacing w:val="-4"/>
                <w:sz w:val="21"/>
                <w:szCs w:val="21"/>
              </w:rPr>
              <w:t>总经理</w:t>
            </w:r>
          </w:p>
        </w:tc>
      </w:tr>
    </w:tbl>
    <w:p w14:paraId="15CA86B5">
      <w:pPr>
        <w:pStyle w:val="11"/>
        <w:spacing w:line="100" w:lineRule="exact"/>
        <w:rPr>
          <w:sz w:val="8"/>
        </w:rPr>
      </w:pPr>
    </w:p>
    <w:p w14:paraId="2CD36FB4">
      <w:pPr>
        <w:spacing w:line="100" w:lineRule="exact"/>
        <w:rPr>
          <w:sz w:val="8"/>
          <w:szCs w:val="8"/>
        </w:rPr>
        <w:sectPr>
          <w:footerReference r:id="rId5" w:type="default"/>
          <w:pgSz w:w="11906" w:h="16839"/>
          <w:pgMar w:top="1431" w:right="1686" w:bottom="1374" w:left="1686" w:header="0" w:footer="1211" w:gutter="0"/>
          <w:cols w:space="720" w:num="1"/>
        </w:sectPr>
      </w:pPr>
    </w:p>
    <w:p w14:paraId="5AAA3F3F">
      <w:pPr>
        <w:spacing w:line="91" w:lineRule="auto"/>
        <w:rPr>
          <w:rFonts w:ascii="Arial"/>
          <w:sz w:val="2"/>
        </w:rPr>
      </w:pPr>
    </w:p>
    <w:p w14:paraId="34A6182D">
      <w:pPr>
        <w:pStyle w:val="20"/>
        <w:bidi w:val="0"/>
      </w:pPr>
      <w:bookmarkStart w:id="6" w:name="bookmark7"/>
      <w:bookmarkEnd w:id="6"/>
      <w:bookmarkStart w:id="7" w:name="bookmark8"/>
      <w:bookmarkEnd w:id="7"/>
      <w:r>
        <w:t>工作程序</w:t>
      </w:r>
    </w:p>
    <w:p w14:paraId="65B9FCAD">
      <w:pPr>
        <w:spacing w:before="214" w:line="220" w:lineRule="auto"/>
        <w:ind w:left="128"/>
        <w:outlineLvl w:val="1"/>
        <w:rPr>
          <w:rFonts w:ascii="宋体" w:hAnsi="宋体" w:eastAsia="宋体" w:cs="宋体"/>
          <w:sz w:val="32"/>
          <w:szCs w:val="32"/>
        </w:rPr>
      </w:pPr>
      <w:bookmarkStart w:id="8" w:name="bookmark19"/>
      <w:bookmarkEnd w:id="8"/>
      <w:r>
        <w:rPr>
          <w:rFonts w:ascii="宋体" w:hAnsi="宋体" w:eastAsia="宋体" w:cs="宋体"/>
          <w:b/>
          <w:bCs/>
          <w:spacing w:val="-6"/>
          <w:sz w:val="32"/>
          <w:szCs w:val="32"/>
        </w:rPr>
        <w:t>6.1.</w:t>
      </w:r>
      <w:r>
        <w:rPr>
          <w:rFonts w:ascii="宋体" w:hAnsi="宋体" w:eastAsia="宋体" w:cs="宋体"/>
          <w:spacing w:val="57"/>
          <w:sz w:val="32"/>
          <w:szCs w:val="32"/>
        </w:rPr>
        <w:t xml:space="preserve"> </w:t>
      </w:r>
      <w:r>
        <w:rPr>
          <w:rFonts w:ascii="宋体" w:hAnsi="宋体" w:eastAsia="宋体" w:cs="宋体"/>
          <w:b/>
          <w:bCs/>
          <w:spacing w:val="-6"/>
          <w:sz w:val="32"/>
          <w:szCs w:val="32"/>
        </w:rPr>
        <w:t>识别、定义度量项</w:t>
      </w:r>
    </w:p>
    <w:p w14:paraId="1AD466B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公司</w:t>
      </w:r>
      <w:r>
        <w:rPr>
          <w:rFonts w:hint="eastAsia" w:ascii="宋体" w:hAnsi="宋体" w:eastAsia="宋体" w:cs="宋体"/>
          <w:spacing w:val="-1"/>
          <w:sz w:val="24"/>
          <w:szCs w:val="24"/>
          <w:lang w:eastAsia="zh-CN"/>
        </w:rPr>
        <w:t>运维部</w:t>
      </w:r>
      <w:r>
        <w:rPr>
          <w:rFonts w:ascii="宋体" w:hAnsi="宋体" w:eastAsia="宋体" w:cs="宋体"/>
          <w:spacing w:val="-1"/>
          <w:sz w:val="24"/>
          <w:szCs w:val="24"/>
        </w:rPr>
        <w:t>能力度量体系由</w:t>
      </w:r>
      <w:r>
        <w:rPr>
          <w:rFonts w:hint="eastAsia" w:ascii="宋体" w:hAnsi="宋体" w:eastAsia="宋体" w:cs="宋体"/>
          <w:spacing w:val="-1"/>
          <w:sz w:val="24"/>
          <w:szCs w:val="24"/>
          <w:lang w:eastAsia="zh-CN"/>
        </w:rPr>
        <w:t>运维部</w:t>
      </w:r>
      <w:r>
        <w:rPr>
          <w:rFonts w:ascii="宋体" w:hAnsi="宋体" w:eastAsia="宋体" w:cs="宋体"/>
          <w:spacing w:val="-1"/>
          <w:sz w:val="24"/>
          <w:szCs w:val="24"/>
        </w:rPr>
        <w:t>负责维护，每年年初需要根据年度实施情况做调整，主要工作：</w:t>
      </w:r>
      <w:bookmarkStart w:id="24" w:name="_GoBack"/>
      <w:bookmarkEnd w:id="24"/>
      <w:r>
        <w:rPr>
          <w:rFonts w:ascii="宋体" w:hAnsi="宋体" w:eastAsia="宋体" w:cs="宋体"/>
          <w:spacing w:val="-1"/>
          <w:sz w:val="24"/>
          <w:szCs w:val="24"/>
        </w:rPr>
        <w:t>识别新的度量项、去</w:t>
      </w:r>
      <w:r>
        <w:rPr>
          <w:rFonts w:ascii="宋体" w:hAnsi="宋体" w:eastAsia="宋体" w:cs="宋体"/>
          <w:spacing w:val="-1"/>
          <w:sz w:val="24"/>
          <w:szCs w:val="24"/>
        </w:rPr>
        <w:t>除不合理的度量项，根据本年度运维服务能力量化目标识别本年度需要测量的</w:t>
      </w:r>
      <w:r>
        <w:rPr>
          <w:rFonts w:ascii="宋体" w:hAnsi="宋体" w:eastAsia="宋体" w:cs="宋体"/>
          <w:spacing w:val="-1"/>
          <w:sz w:val="24"/>
          <w:szCs w:val="24"/>
        </w:rPr>
        <w:t>指标，并对以上指标进行规范定义、发布以及培训指导。</w:t>
      </w:r>
    </w:p>
    <w:p w14:paraId="0A8C8E69">
      <w:pPr>
        <w:spacing w:before="33" w:line="220" w:lineRule="auto"/>
        <w:ind w:left="128"/>
        <w:outlineLvl w:val="1"/>
        <w:rPr>
          <w:rFonts w:ascii="宋体" w:hAnsi="宋体" w:eastAsia="宋体" w:cs="宋体"/>
          <w:sz w:val="32"/>
          <w:szCs w:val="32"/>
        </w:rPr>
      </w:pPr>
      <w:bookmarkStart w:id="9" w:name="bookmark9"/>
      <w:bookmarkEnd w:id="9"/>
      <w:r>
        <w:rPr>
          <w:rFonts w:ascii="宋体" w:hAnsi="宋体" w:eastAsia="宋体" w:cs="宋体"/>
          <w:b/>
          <w:bCs/>
          <w:spacing w:val="-6"/>
          <w:sz w:val="32"/>
          <w:szCs w:val="32"/>
        </w:rPr>
        <w:t>6.2.</w:t>
      </w:r>
      <w:r>
        <w:rPr>
          <w:rFonts w:ascii="宋体" w:hAnsi="宋体" w:eastAsia="宋体" w:cs="宋体"/>
          <w:spacing w:val="57"/>
          <w:sz w:val="32"/>
          <w:szCs w:val="32"/>
        </w:rPr>
        <w:t xml:space="preserve"> </w:t>
      </w:r>
      <w:r>
        <w:rPr>
          <w:rFonts w:ascii="宋体" w:hAnsi="宋体" w:eastAsia="宋体" w:cs="宋体"/>
          <w:b/>
          <w:bCs/>
          <w:spacing w:val="-6"/>
          <w:sz w:val="32"/>
          <w:szCs w:val="32"/>
        </w:rPr>
        <w:t>确定服务能力基准</w:t>
      </w:r>
    </w:p>
    <w:p w14:paraId="076BCA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hint="eastAsia" w:ascii="宋体" w:hAnsi="宋体" w:eastAsia="宋体" w:cs="宋体"/>
          <w:spacing w:val="-1"/>
          <w:sz w:val="24"/>
          <w:szCs w:val="24"/>
          <w:lang w:eastAsia="zh-CN"/>
        </w:rPr>
        <w:t>运维部</w:t>
      </w:r>
      <w:r>
        <w:rPr>
          <w:rFonts w:ascii="宋体" w:hAnsi="宋体" w:eastAsia="宋体" w:cs="宋体"/>
          <w:spacing w:val="-1"/>
          <w:sz w:val="24"/>
          <w:szCs w:val="24"/>
        </w:rPr>
        <w:t>需根据上年度</w:t>
      </w:r>
      <w:r>
        <w:rPr>
          <w:rFonts w:hint="eastAsia" w:ascii="宋体" w:hAnsi="宋体" w:eastAsia="宋体" w:cs="宋体"/>
          <w:spacing w:val="-1"/>
          <w:sz w:val="24"/>
          <w:szCs w:val="24"/>
          <w:lang w:eastAsia="zh-CN"/>
        </w:rPr>
        <w:t>运维部</w:t>
      </w:r>
      <w:r>
        <w:rPr>
          <w:rFonts w:ascii="宋体" w:hAnsi="宋体" w:eastAsia="宋体" w:cs="宋体"/>
          <w:spacing w:val="-1"/>
          <w:sz w:val="24"/>
          <w:szCs w:val="24"/>
        </w:rPr>
        <w:t>能力指标实</w:t>
      </w:r>
      <w:r>
        <w:rPr>
          <w:rFonts w:ascii="宋体" w:hAnsi="宋体" w:eastAsia="宋体" w:cs="宋体"/>
          <w:spacing w:val="-1"/>
          <w:sz w:val="24"/>
          <w:szCs w:val="24"/>
        </w:rPr>
        <w:t>施情况，收集整理相关指标数据，并建立关键能力指标基线，衡量公司现有服务能力水平。</w:t>
      </w:r>
    </w:p>
    <w:p w14:paraId="7803A2A0">
      <w:pPr>
        <w:spacing w:before="33" w:line="220" w:lineRule="auto"/>
        <w:ind w:left="128"/>
        <w:outlineLvl w:val="1"/>
        <w:rPr>
          <w:rFonts w:ascii="宋体" w:hAnsi="宋体" w:eastAsia="宋体" w:cs="宋体"/>
          <w:sz w:val="32"/>
          <w:szCs w:val="32"/>
        </w:rPr>
      </w:pPr>
      <w:bookmarkStart w:id="10" w:name="bookmark10"/>
      <w:bookmarkEnd w:id="10"/>
      <w:r>
        <w:rPr>
          <w:rFonts w:ascii="宋体" w:hAnsi="宋体" w:eastAsia="宋体" w:cs="宋体"/>
          <w:b/>
          <w:bCs/>
          <w:spacing w:val="-7"/>
          <w:sz w:val="32"/>
          <w:szCs w:val="32"/>
        </w:rPr>
        <w:t>6.3.</w:t>
      </w:r>
      <w:r>
        <w:rPr>
          <w:rFonts w:ascii="宋体" w:hAnsi="宋体" w:eastAsia="宋体" w:cs="宋体"/>
          <w:spacing w:val="57"/>
          <w:sz w:val="32"/>
          <w:szCs w:val="32"/>
        </w:rPr>
        <w:t xml:space="preserve"> </w:t>
      </w:r>
      <w:r>
        <w:rPr>
          <w:rFonts w:ascii="宋体" w:hAnsi="宋体" w:eastAsia="宋体" w:cs="宋体"/>
          <w:b/>
          <w:bCs/>
          <w:spacing w:val="-7"/>
          <w:sz w:val="32"/>
          <w:szCs w:val="32"/>
        </w:rPr>
        <w:t>设定目标</w:t>
      </w:r>
    </w:p>
    <w:p w14:paraId="2B0503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根据公司最新服务能力指标以及客户要求，</w:t>
      </w:r>
      <w:r>
        <w:rPr>
          <w:rFonts w:hint="eastAsia" w:ascii="宋体" w:hAnsi="宋体" w:eastAsia="宋体" w:cs="宋体"/>
          <w:spacing w:val="-1"/>
          <w:sz w:val="24"/>
          <w:szCs w:val="24"/>
          <w:lang w:eastAsia="zh-CN"/>
        </w:rPr>
        <w:t>运维部</w:t>
      </w:r>
      <w:r>
        <w:rPr>
          <w:rFonts w:ascii="宋体" w:hAnsi="宋体" w:eastAsia="宋体" w:cs="宋体"/>
          <w:spacing w:val="-1"/>
          <w:sz w:val="24"/>
          <w:szCs w:val="24"/>
        </w:rPr>
        <w:t>需要召集相关领导和其他干系人讨论年度运维服务能力目标的合理性</w:t>
      </w:r>
      <w:r>
        <w:rPr>
          <w:rFonts w:ascii="宋体" w:hAnsi="宋体" w:eastAsia="宋体" w:cs="宋体"/>
          <w:spacing w:val="-1"/>
          <w:sz w:val="24"/>
          <w:szCs w:val="24"/>
        </w:rPr>
        <w:t>问题，最终确定一个合理的目标数据。</w:t>
      </w:r>
    </w:p>
    <w:p w14:paraId="0E505181">
      <w:pPr>
        <w:spacing w:before="33" w:line="220" w:lineRule="auto"/>
        <w:ind w:left="128"/>
        <w:outlineLvl w:val="1"/>
        <w:rPr>
          <w:rFonts w:ascii="宋体" w:hAnsi="宋体" w:eastAsia="宋体" w:cs="宋体"/>
          <w:sz w:val="32"/>
          <w:szCs w:val="32"/>
        </w:rPr>
      </w:pPr>
      <w:bookmarkStart w:id="11" w:name="bookmark11"/>
      <w:bookmarkEnd w:id="11"/>
      <w:r>
        <w:rPr>
          <w:rFonts w:ascii="宋体" w:hAnsi="宋体" w:eastAsia="宋体" w:cs="宋体"/>
          <w:b/>
          <w:bCs/>
          <w:spacing w:val="-7"/>
          <w:sz w:val="32"/>
          <w:szCs w:val="32"/>
        </w:rPr>
        <w:t>6.4.</w:t>
      </w:r>
      <w:r>
        <w:rPr>
          <w:rFonts w:ascii="宋体" w:hAnsi="宋体" w:eastAsia="宋体" w:cs="宋体"/>
          <w:spacing w:val="70"/>
          <w:sz w:val="32"/>
          <w:szCs w:val="32"/>
        </w:rPr>
        <w:t xml:space="preserve"> </w:t>
      </w:r>
      <w:r>
        <w:rPr>
          <w:rFonts w:ascii="宋体" w:hAnsi="宋体" w:eastAsia="宋体" w:cs="宋体"/>
          <w:b/>
          <w:bCs/>
          <w:spacing w:val="-7"/>
          <w:sz w:val="32"/>
          <w:szCs w:val="32"/>
        </w:rPr>
        <w:t>收集指标数据改进</w:t>
      </w:r>
    </w:p>
    <w:p w14:paraId="37EB7B1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hint="eastAsia" w:ascii="宋体" w:hAnsi="宋体" w:eastAsia="宋体" w:cs="宋体"/>
          <w:spacing w:val="-1"/>
          <w:sz w:val="24"/>
          <w:szCs w:val="24"/>
          <w:lang w:eastAsia="zh-CN"/>
        </w:rPr>
        <w:t>质量部</w:t>
      </w:r>
      <w:r>
        <w:rPr>
          <w:rFonts w:ascii="宋体" w:hAnsi="宋体" w:eastAsia="宋体" w:cs="宋体"/>
          <w:spacing w:val="-1"/>
          <w:sz w:val="24"/>
          <w:szCs w:val="24"/>
        </w:rPr>
        <w:t>根据在监督执行过程改进工作的同时</w:t>
      </w:r>
      <w:r>
        <w:rPr>
          <w:rFonts w:ascii="宋体" w:hAnsi="宋体" w:eastAsia="宋体" w:cs="宋体"/>
          <w:spacing w:val="-1"/>
          <w:sz w:val="24"/>
          <w:szCs w:val="24"/>
        </w:rPr>
        <w:t>，需要收集相关过程指标数据或一些改进建议信息，供</w:t>
      </w:r>
      <w:r>
        <w:rPr>
          <w:rFonts w:hint="eastAsia" w:ascii="宋体" w:hAnsi="宋体" w:eastAsia="宋体" w:cs="宋体"/>
          <w:spacing w:val="-1"/>
          <w:sz w:val="24"/>
          <w:szCs w:val="24"/>
          <w:lang w:eastAsia="zh-CN"/>
        </w:rPr>
        <w:t>运维部</w:t>
      </w:r>
      <w:r>
        <w:rPr>
          <w:rFonts w:ascii="宋体" w:hAnsi="宋体" w:eastAsia="宋体" w:cs="宋体"/>
          <w:spacing w:val="-1"/>
          <w:sz w:val="24"/>
          <w:szCs w:val="24"/>
        </w:rPr>
        <w:t>分析使用，过程</w:t>
      </w:r>
      <w:r>
        <w:rPr>
          <w:rFonts w:ascii="宋体" w:hAnsi="宋体" w:eastAsia="宋体" w:cs="宋体"/>
          <w:spacing w:val="-1"/>
          <w:sz w:val="24"/>
          <w:szCs w:val="24"/>
        </w:rPr>
        <w:t>中发现阶段目标偏离或者其他问题，需及时与</w:t>
      </w:r>
      <w:r>
        <w:rPr>
          <w:rFonts w:hint="eastAsia" w:ascii="宋体" w:hAnsi="宋体" w:eastAsia="宋体" w:cs="宋体"/>
          <w:spacing w:val="-1"/>
          <w:sz w:val="24"/>
          <w:szCs w:val="24"/>
          <w:lang w:eastAsia="zh-CN"/>
        </w:rPr>
        <w:t>运维部</w:t>
      </w:r>
      <w:r>
        <w:rPr>
          <w:rFonts w:ascii="宋体" w:hAnsi="宋体" w:eastAsia="宋体" w:cs="宋体"/>
          <w:spacing w:val="-1"/>
          <w:sz w:val="24"/>
          <w:szCs w:val="24"/>
        </w:rPr>
        <w:t>进行反应。</w:t>
      </w:r>
    </w:p>
    <w:p w14:paraId="3B3D1350">
      <w:pPr>
        <w:spacing w:before="32" w:line="220" w:lineRule="auto"/>
        <w:ind w:left="128"/>
        <w:outlineLvl w:val="1"/>
        <w:rPr>
          <w:rFonts w:ascii="宋体" w:hAnsi="宋体" w:eastAsia="宋体" w:cs="宋体"/>
          <w:sz w:val="32"/>
          <w:szCs w:val="32"/>
        </w:rPr>
      </w:pPr>
      <w:bookmarkStart w:id="12" w:name="bookmark12"/>
      <w:bookmarkEnd w:id="12"/>
      <w:r>
        <w:rPr>
          <w:rFonts w:ascii="宋体" w:hAnsi="宋体" w:eastAsia="宋体" w:cs="宋体"/>
          <w:b/>
          <w:bCs/>
          <w:spacing w:val="-7"/>
          <w:sz w:val="32"/>
          <w:szCs w:val="32"/>
        </w:rPr>
        <w:t>6.5.</w:t>
      </w:r>
      <w:r>
        <w:rPr>
          <w:rFonts w:ascii="宋体" w:hAnsi="宋体" w:eastAsia="宋体" w:cs="宋体"/>
          <w:spacing w:val="63"/>
          <w:sz w:val="32"/>
          <w:szCs w:val="32"/>
        </w:rPr>
        <w:t xml:space="preserve"> </w:t>
      </w:r>
      <w:r>
        <w:rPr>
          <w:rFonts w:ascii="宋体" w:hAnsi="宋体" w:eastAsia="宋体" w:cs="宋体"/>
          <w:b/>
          <w:bCs/>
          <w:spacing w:val="-7"/>
          <w:sz w:val="32"/>
          <w:szCs w:val="32"/>
        </w:rPr>
        <w:t>分析能力数据</w:t>
      </w:r>
    </w:p>
    <w:p w14:paraId="5E9B56B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hint="eastAsia" w:ascii="宋体" w:hAnsi="宋体" w:eastAsia="宋体" w:cs="宋体"/>
          <w:spacing w:val="-1"/>
          <w:sz w:val="24"/>
          <w:szCs w:val="24"/>
          <w:lang w:eastAsia="zh-CN"/>
        </w:rPr>
        <w:t>运维部</w:t>
      </w:r>
      <w:r>
        <w:rPr>
          <w:rFonts w:ascii="宋体" w:hAnsi="宋体" w:eastAsia="宋体" w:cs="宋体"/>
          <w:spacing w:val="-1"/>
          <w:sz w:val="24"/>
          <w:szCs w:val="24"/>
        </w:rPr>
        <w:t>根据</w:t>
      </w:r>
      <w:r>
        <w:rPr>
          <w:rFonts w:hint="eastAsia" w:ascii="宋体" w:hAnsi="宋体" w:eastAsia="宋体" w:cs="宋体"/>
          <w:spacing w:val="-1"/>
          <w:sz w:val="24"/>
          <w:szCs w:val="24"/>
          <w:lang w:eastAsia="zh-CN"/>
        </w:rPr>
        <w:t>质量部</w:t>
      </w:r>
      <w:r>
        <w:rPr>
          <w:rFonts w:ascii="宋体" w:hAnsi="宋体" w:eastAsia="宋体" w:cs="宋体"/>
          <w:spacing w:val="-1"/>
          <w:sz w:val="24"/>
          <w:szCs w:val="24"/>
        </w:rPr>
        <w:t>收集的过程数据，并依</w:t>
      </w:r>
      <w:r>
        <w:rPr>
          <w:rFonts w:ascii="宋体" w:hAnsi="宋体" w:eastAsia="宋体" w:cs="宋体"/>
          <w:spacing w:val="-1"/>
          <w:sz w:val="24"/>
          <w:szCs w:val="24"/>
        </w:rPr>
        <w:t>据计划开展过程能力分析活动，依据年初发布的过程能力水平，在过程中需要</w:t>
      </w:r>
      <w:r>
        <w:rPr>
          <w:rFonts w:ascii="宋体" w:hAnsi="宋体" w:eastAsia="宋体" w:cs="宋体"/>
          <w:spacing w:val="-1"/>
          <w:sz w:val="24"/>
          <w:szCs w:val="24"/>
        </w:rPr>
        <w:t>加强异常指标的管控，按照基线修改判异规则触发条件，及时发现问题进行分析，在一定的管控监控点，</w:t>
      </w:r>
      <w:r>
        <w:rPr>
          <w:rFonts w:hint="eastAsia" w:ascii="宋体" w:hAnsi="宋体" w:eastAsia="宋体" w:cs="宋体"/>
          <w:spacing w:val="-1"/>
          <w:sz w:val="24"/>
          <w:szCs w:val="24"/>
          <w:lang w:eastAsia="zh-CN"/>
        </w:rPr>
        <w:t>运维部</w:t>
      </w:r>
      <w:r>
        <w:rPr>
          <w:rFonts w:ascii="宋体" w:hAnsi="宋体" w:eastAsia="宋体" w:cs="宋体"/>
          <w:spacing w:val="-1"/>
          <w:sz w:val="24"/>
          <w:szCs w:val="24"/>
        </w:rPr>
        <w:t>还应与设定的目标进行对比，以判定目标设定是否合理，必要时，对设定目标进行调整。</w:t>
      </w:r>
    </w:p>
    <w:p w14:paraId="1C1BF237">
      <w:pPr>
        <w:spacing w:before="220" w:line="220" w:lineRule="auto"/>
        <w:ind w:left="128"/>
        <w:outlineLvl w:val="1"/>
        <w:rPr>
          <w:rFonts w:ascii="宋体" w:hAnsi="宋体" w:eastAsia="宋体" w:cs="宋体"/>
          <w:sz w:val="32"/>
          <w:szCs w:val="32"/>
        </w:rPr>
      </w:pPr>
      <w:bookmarkStart w:id="13" w:name="bookmark13"/>
      <w:bookmarkEnd w:id="13"/>
      <w:r>
        <w:rPr>
          <w:rFonts w:ascii="宋体" w:hAnsi="宋体" w:eastAsia="宋体" w:cs="宋体"/>
          <w:b/>
          <w:bCs/>
          <w:spacing w:val="-7"/>
          <w:sz w:val="32"/>
          <w:szCs w:val="32"/>
        </w:rPr>
        <w:t>6.6.</w:t>
      </w:r>
      <w:r>
        <w:rPr>
          <w:rFonts w:ascii="宋体" w:hAnsi="宋体" w:eastAsia="宋体" w:cs="宋体"/>
          <w:spacing w:val="56"/>
          <w:sz w:val="32"/>
          <w:szCs w:val="32"/>
        </w:rPr>
        <w:t xml:space="preserve"> </w:t>
      </w:r>
      <w:r>
        <w:rPr>
          <w:rFonts w:ascii="宋体" w:hAnsi="宋体" w:eastAsia="宋体" w:cs="宋体"/>
          <w:b/>
          <w:bCs/>
          <w:spacing w:val="-7"/>
          <w:sz w:val="32"/>
          <w:szCs w:val="32"/>
        </w:rPr>
        <w:t>识别差距</w:t>
      </w:r>
    </w:p>
    <w:p w14:paraId="4550BA65">
      <w:pPr>
        <w:spacing w:before="124" w:line="360" w:lineRule="auto"/>
        <w:ind w:left="25" w:right="160"/>
        <w:jc w:val="both"/>
        <w:rPr>
          <w:rFonts w:ascii="宋体" w:hAnsi="宋体" w:eastAsia="宋体" w:cs="宋体"/>
          <w:spacing w:val="-4"/>
          <w:sz w:val="24"/>
          <w:szCs w:val="24"/>
        </w:rPr>
      </w:pPr>
      <w:r>
        <w:rPr>
          <w:rFonts w:ascii="宋体" w:hAnsi="宋体" w:eastAsia="宋体" w:cs="宋体"/>
          <w:sz w:val="24"/>
          <w:szCs w:val="24"/>
        </w:rPr>
        <w:t>在项目日常执行过程中，</w:t>
      </w:r>
      <w:r>
        <w:rPr>
          <w:rFonts w:hint="eastAsia" w:ascii="宋体" w:hAnsi="宋体" w:eastAsia="宋体" w:cs="宋体"/>
          <w:sz w:val="24"/>
          <w:szCs w:val="24"/>
          <w:lang w:eastAsia="zh-CN"/>
        </w:rPr>
        <w:t>运维部</w:t>
      </w:r>
      <w:r>
        <w:rPr>
          <w:rFonts w:ascii="宋体" w:hAnsi="宋体" w:eastAsia="宋体" w:cs="宋体"/>
          <w:sz w:val="24"/>
          <w:szCs w:val="24"/>
        </w:rPr>
        <w:t>需要定期收集</w:t>
      </w:r>
      <w:r>
        <w:rPr>
          <w:rFonts w:ascii="宋体" w:hAnsi="宋体" w:eastAsia="宋体" w:cs="宋体"/>
          <w:spacing w:val="-1"/>
          <w:sz w:val="24"/>
          <w:szCs w:val="24"/>
        </w:rPr>
        <w:t>运维方面的改进建议，</w:t>
      </w:r>
      <w:r>
        <w:rPr>
          <w:rFonts w:ascii="宋体" w:hAnsi="宋体" w:eastAsia="宋体" w:cs="宋体"/>
          <w:sz w:val="24"/>
          <w:szCs w:val="24"/>
        </w:rPr>
        <w:t>主要来源客户反馈、</w:t>
      </w:r>
      <w:r>
        <w:rPr>
          <w:rFonts w:hint="eastAsia" w:ascii="宋体" w:hAnsi="宋体" w:eastAsia="宋体" w:cs="宋体"/>
          <w:sz w:val="24"/>
          <w:szCs w:val="24"/>
          <w:lang w:eastAsia="zh-CN"/>
        </w:rPr>
        <w:t>运维部</w:t>
      </w:r>
      <w:r>
        <w:rPr>
          <w:rFonts w:ascii="宋体" w:hAnsi="宋体" w:eastAsia="宋体" w:cs="宋体"/>
          <w:sz w:val="24"/>
          <w:szCs w:val="24"/>
        </w:rPr>
        <w:t>发现以及组织监</w:t>
      </w:r>
      <w:r>
        <w:rPr>
          <w:rFonts w:ascii="宋体" w:hAnsi="宋体" w:eastAsia="宋体" w:cs="宋体"/>
          <w:spacing w:val="-1"/>
          <w:sz w:val="24"/>
          <w:szCs w:val="24"/>
        </w:rPr>
        <w:t>控中发现的问题等，</w:t>
      </w:r>
      <w:r>
        <w:rPr>
          <w:rFonts w:hint="eastAsia" w:ascii="宋体" w:hAnsi="宋体" w:eastAsia="宋体" w:cs="宋体"/>
          <w:spacing w:val="-1"/>
          <w:sz w:val="24"/>
          <w:szCs w:val="24"/>
          <w:lang w:eastAsia="zh-CN"/>
        </w:rPr>
        <w:t>运维部</w:t>
      </w:r>
      <w:r>
        <w:rPr>
          <w:rFonts w:ascii="宋体" w:hAnsi="宋体" w:eastAsia="宋体" w:cs="宋体"/>
          <w:sz w:val="24"/>
          <w:szCs w:val="24"/>
        </w:rPr>
        <w:t>需要不定期进行相关讨论，识别真正需要改</w:t>
      </w:r>
      <w:r>
        <w:rPr>
          <w:rFonts w:ascii="宋体" w:hAnsi="宋体" w:eastAsia="宋体" w:cs="宋体"/>
          <w:spacing w:val="-1"/>
          <w:sz w:val="24"/>
          <w:szCs w:val="24"/>
        </w:rPr>
        <w:t>进的差距或提升项。另外</w:t>
      </w:r>
      <w:r>
        <w:rPr>
          <w:rFonts w:hint="eastAsia" w:ascii="宋体" w:hAnsi="宋体" w:eastAsia="宋体" w:cs="宋体"/>
          <w:spacing w:val="-1"/>
          <w:sz w:val="24"/>
          <w:szCs w:val="24"/>
          <w:lang w:eastAsia="zh-CN"/>
        </w:rPr>
        <w:t>运维部</w:t>
      </w:r>
      <w:r>
        <w:rPr>
          <w:rFonts w:ascii="宋体" w:hAnsi="宋体" w:eastAsia="宋体" w:cs="宋体"/>
          <w:sz w:val="24"/>
          <w:szCs w:val="24"/>
        </w:rPr>
        <w:t>针对指标基线以及指标执行数据，分析本年</w:t>
      </w:r>
      <w:r>
        <w:rPr>
          <w:rFonts w:ascii="宋体" w:hAnsi="宋体" w:eastAsia="宋体" w:cs="宋体"/>
          <w:spacing w:val="-1"/>
          <w:sz w:val="24"/>
          <w:szCs w:val="24"/>
        </w:rPr>
        <w:t>度服务能力水平趋势，识别异</w:t>
      </w:r>
      <w:r>
        <w:rPr>
          <w:rFonts w:ascii="宋体" w:hAnsi="宋体" w:eastAsia="宋体" w:cs="宋体"/>
          <w:spacing w:val="-4"/>
          <w:sz w:val="24"/>
          <w:szCs w:val="24"/>
        </w:rPr>
        <w:t>常点进行重点分析管控。</w:t>
      </w:r>
    </w:p>
    <w:p w14:paraId="1E052EC6">
      <w:pPr>
        <w:spacing w:before="124" w:line="360" w:lineRule="auto"/>
        <w:ind w:left="25" w:right="160"/>
        <w:jc w:val="both"/>
        <w:rPr>
          <w:rFonts w:ascii="宋体" w:hAnsi="宋体" w:eastAsia="宋体" w:cs="宋体"/>
          <w:sz w:val="24"/>
          <w:szCs w:val="24"/>
        </w:rPr>
      </w:pPr>
      <w:r>
        <w:rPr>
          <w:rFonts w:hint="eastAsia" w:ascii="宋体" w:hAnsi="宋体" w:eastAsia="宋体" w:cs="宋体"/>
          <w:sz w:val="24"/>
          <w:szCs w:val="24"/>
          <w:lang w:eastAsia="zh-CN"/>
        </w:rPr>
        <w:t>运维部</w:t>
      </w:r>
      <w:r>
        <w:rPr>
          <w:rFonts w:ascii="宋体" w:hAnsi="宋体" w:eastAsia="宋体" w:cs="宋体"/>
          <w:sz w:val="24"/>
          <w:szCs w:val="24"/>
        </w:rPr>
        <w:t>需要根据识别的差距严重程度，有选</w:t>
      </w:r>
      <w:r>
        <w:rPr>
          <w:rFonts w:ascii="宋体" w:hAnsi="宋体" w:eastAsia="宋体" w:cs="宋体"/>
          <w:spacing w:val="-1"/>
          <w:sz w:val="24"/>
          <w:szCs w:val="24"/>
        </w:rPr>
        <w:t>择性地强化某些方面的能</w:t>
      </w:r>
      <w:r>
        <w:rPr>
          <w:rFonts w:ascii="宋体" w:hAnsi="宋体" w:eastAsia="宋体" w:cs="宋体"/>
          <w:spacing w:val="-3"/>
          <w:sz w:val="24"/>
          <w:szCs w:val="24"/>
        </w:rPr>
        <w:t>力提升，应给予相关人员一定的培训。</w:t>
      </w:r>
    </w:p>
    <w:p w14:paraId="3244D6D2">
      <w:pPr>
        <w:spacing w:before="32" w:line="220" w:lineRule="auto"/>
        <w:ind w:left="29"/>
        <w:outlineLvl w:val="1"/>
        <w:rPr>
          <w:rFonts w:ascii="宋体" w:hAnsi="宋体" w:eastAsia="宋体" w:cs="宋体"/>
          <w:sz w:val="32"/>
          <w:szCs w:val="32"/>
        </w:rPr>
      </w:pPr>
      <w:bookmarkStart w:id="14" w:name="bookmark14"/>
      <w:bookmarkEnd w:id="14"/>
      <w:bookmarkStart w:id="15" w:name="bookmark1"/>
      <w:bookmarkEnd w:id="15"/>
      <w:r>
        <w:rPr>
          <w:rFonts w:ascii="宋体" w:hAnsi="宋体" w:eastAsia="宋体" w:cs="宋体"/>
          <w:b/>
          <w:bCs/>
          <w:spacing w:val="-6"/>
          <w:sz w:val="32"/>
          <w:szCs w:val="32"/>
        </w:rPr>
        <w:t>6.7.确定服务改进措施</w:t>
      </w:r>
    </w:p>
    <w:p w14:paraId="73B3B08D">
      <w:pPr>
        <w:spacing w:before="205" w:line="362" w:lineRule="auto"/>
        <w:ind w:left="26" w:right="160" w:firstLine="477"/>
        <w:rPr>
          <w:rFonts w:ascii="宋体" w:hAnsi="宋体" w:eastAsia="宋体" w:cs="宋体"/>
          <w:sz w:val="24"/>
          <w:szCs w:val="24"/>
        </w:rPr>
      </w:pPr>
      <w:r>
        <w:rPr>
          <w:rFonts w:hint="eastAsia" w:ascii="宋体" w:hAnsi="宋体" w:eastAsia="宋体" w:cs="宋体"/>
          <w:sz w:val="24"/>
          <w:szCs w:val="24"/>
          <w:lang w:eastAsia="zh-CN"/>
        </w:rPr>
        <w:t>运维部</w:t>
      </w:r>
      <w:r>
        <w:rPr>
          <w:rFonts w:ascii="宋体" w:hAnsi="宋体" w:eastAsia="宋体" w:cs="宋体"/>
          <w:sz w:val="24"/>
          <w:szCs w:val="24"/>
        </w:rPr>
        <w:t>根据收集分析获得的改进项以及发现</w:t>
      </w:r>
      <w:r>
        <w:rPr>
          <w:rFonts w:ascii="宋体" w:hAnsi="宋体" w:eastAsia="宋体" w:cs="宋体"/>
          <w:spacing w:val="-1"/>
          <w:sz w:val="24"/>
          <w:szCs w:val="24"/>
        </w:rPr>
        <w:t>改进的问题项，进行针对</w:t>
      </w:r>
      <w:r>
        <w:rPr>
          <w:rFonts w:ascii="宋体" w:hAnsi="宋体" w:eastAsia="宋体" w:cs="宋体"/>
          <w:spacing w:val="-2"/>
          <w:sz w:val="24"/>
          <w:szCs w:val="24"/>
        </w:rPr>
        <w:t>性的提出服务改进解决方案，并通报给相关领导和改进参与人。</w:t>
      </w:r>
    </w:p>
    <w:p w14:paraId="1E5E5C6C">
      <w:pPr>
        <w:spacing w:before="32" w:line="220" w:lineRule="auto"/>
        <w:ind w:left="29"/>
        <w:outlineLvl w:val="1"/>
        <w:rPr>
          <w:rFonts w:ascii="宋体" w:hAnsi="宋体" w:eastAsia="宋体" w:cs="宋体"/>
          <w:sz w:val="32"/>
          <w:szCs w:val="32"/>
        </w:rPr>
      </w:pPr>
      <w:bookmarkStart w:id="16" w:name="bookmark15"/>
      <w:bookmarkEnd w:id="16"/>
      <w:bookmarkStart w:id="17" w:name="bookmark1"/>
      <w:bookmarkEnd w:id="17"/>
      <w:r>
        <w:rPr>
          <w:rFonts w:ascii="宋体" w:hAnsi="宋体" w:eastAsia="宋体" w:cs="宋体"/>
          <w:b/>
          <w:bCs/>
          <w:spacing w:val="-6"/>
          <w:sz w:val="32"/>
          <w:szCs w:val="32"/>
        </w:rPr>
        <w:t>6.8.服务改进实施</w:t>
      </w:r>
    </w:p>
    <w:p w14:paraId="615D51D0">
      <w:pPr>
        <w:spacing w:before="206" w:line="361" w:lineRule="auto"/>
        <w:ind w:left="21" w:right="14" w:firstLine="481"/>
        <w:rPr>
          <w:rFonts w:ascii="宋体" w:hAnsi="宋体" w:eastAsia="宋体" w:cs="宋体"/>
          <w:sz w:val="24"/>
          <w:szCs w:val="24"/>
        </w:rPr>
      </w:pPr>
      <w:r>
        <w:rPr>
          <w:rFonts w:ascii="宋体" w:hAnsi="宋体" w:eastAsia="宋体" w:cs="宋体"/>
          <w:sz w:val="24"/>
          <w:szCs w:val="24"/>
        </w:rPr>
        <w:t>根据改进解决方案，针对性进行改进工作规划与</w:t>
      </w:r>
      <w:r>
        <w:rPr>
          <w:rFonts w:ascii="宋体" w:hAnsi="宋体" w:eastAsia="宋体" w:cs="宋体"/>
          <w:spacing w:val="-1"/>
          <w:sz w:val="24"/>
          <w:szCs w:val="24"/>
        </w:rPr>
        <w:t>实施，</w:t>
      </w:r>
      <w:r>
        <w:rPr>
          <w:rFonts w:hint="eastAsia" w:ascii="宋体" w:hAnsi="宋体" w:eastAsia="宋体" w:cs="宋体"/>
          <w:spacing w:val="-1"/>
          <w:sz w:val="24"/>
          <w:szCs w:val="24"/>
          <w:lang w:eastAsia="zh-CN"/>
        </w:rPr>
        <w:t>运维部</w:t>
      </w:r>
      <w:r>
        <w:rPr>
          <w:rFonts w:ascii="宋体" w:hAnsi="宋体" w:eastAsia="宋体" w:cs="宋体"/>
          <w:spacing w:val="-1"/>
          <w:sz w:val="24"/>
          <w:szCs w:val="24"/>
        </w:rPr>
        <w:t>根据改进</w:t>
      </w:r>
      <w:r>
        <w:rPr>
          <w:rFonts w:ascii="宋体" w:hAnsi="宋体" w:eastAsia="宋体" w:cs="宋体"/>
          <w:spacing w:val="51"/>
          <w:sz w:val="24"/>
          <w:szCs w:val="24"/>
        </w:rPr>
        <w:t xml:space="preserve"> </w:t>
      </w:r>
      <w:r>
        <w:rPr>
          <w:rFonts w:ascii="宋体" w:hAnsi="宋体" w:eastAsia="宋体" w:cs="宋体"/>
          <w:spacing w:val="-1"/>
          <w:sz w:val="24"/>
          <w:szCs w:val="24"/>
        </w:rPr>
        <w:t>措施的实施情况，将效果比较好的有效措施固化到流程中，不断优化公司服</w:t>
      </w:r>
      <w:r>
        <w:rPr>
          <w:rFonts w:ascii="宋体" w:hAnsi="宋体" w:eastAsia="宋体" w:cs="宋体"/>
          <w:spacing w:val="-6"/>
          <w:sz w:val="24"/>
          <w:szCs w:val="24"/>
        </w:rPr>
        <w:t>务能力体系。</w:t>
      </w:r>
    </w:p>
    <w:p w14:paraId="617432E2">
      <w:pPr>
        <w:spacing w:before="32" w:line="220" w:lineRule="auto"/>
        <w:ind w:left="29"/>
        <w:outlineLvl w:val="1"/>
        <w:rPr>
          <w:rFonts w:ascii="宋体" w:hAnsi="宋体" w:eastAsia="宋体" w:cs="宋体"/>
          <w:sz w:val="32"/>
          <w:szCs w:val="32"/>
        </w:rPr>
      </w:pPr>
      <w:bookmarkStart w:id="18" w:name="bookmark1"/>
      <w:bookmarkEnd w:id="18"/>
      <w:r>
        <w:rPr>
          <w:rFonts w:ascii="宋体" w:hAnsi="宋体" w:eastAsia="宋体" w:cs="宋体"/>
          <w:b/>
          <w:bCs/>
          <w:spacing w:val="-7"/>
          <w:sz w:val="32"/>
          <w:szCs w:val="32"/>
        </w:rPr>
        <w:t>6.9.服务监控</w:t>
      </w:r>
    </w:p>
    <w:p w14:paraId="292C300C">
      <w:pPr>
        <w:spacing w:before="204" w:line="362" w:lineRule="auto"/>
        <w:ind w:left="34" w:right="160" w:firstLine="469"/>
        <w:rPr>
          <w:rFonts w:ascii="宋体" w:hAnsi="宋体" w:eastAsia="宋体" w:cs="宋体"/>
          <w:sz w:val="24"/>
          <w:szCs w:val="24"/>
        </w:rPr>
      </w:pPr>
      <w:r>
        <w:rPr>
          <w:rFonts w:hint="eastAsia" w:ascii="宋体" w:hAnsi="宋体" w:eastAsia="宋体" w:cs="宋体"/>
          <w:sz w:val="24"/>
          <w:szCs w:val="24"/>
          <w:lang w:eastAsia="zh-CN"/>
        </w:rPr>
        <w:t>质量部</w:t>
      </w:r>
      <w:r>
        <w:rPr>
          <w:rFonts w:ascii="宋体" w:hAnsi="宋体" w:eastAsia="宋体" w:cs="宋体"/>
          <w:sz w:val="24"/>
          <w:szCs w:val="24"/>
        </w:rPr>
        <w:t>跟踪服务改进方案实施进行情况，发</w:t>
      </w:r>
      <w:r>
        <w:rPr>
          <w:rFonts w:ascii="宋体" w:hAnsi="宋体" w:eastAsia="宋体" w:cs="宋体"/>
          <w:spacing w:val="-1"/>
          <w:sz w:val="24"/>
          <w:szCs w:val="24"/>
        </w:rPr>
        <w:t>现措施实施有效问题时，及</w:t>
      </w:r>
      <w:r>
        <w:rPr>
          <w:rFonts w:ascii="宋体" w:hAnsi="宋体" w:eastAsia="宋体" w:cs="宋体"/>
          <w:spacing w:val="-2"/>
          <w:sz w:val="24"/>
          <w:szCs w:val="24"/>
        </w:rPr>
        <w:t>时通知</w:t>
      </w:r>
      <w:r>
        <w:rPr>
          <w:rFonts w:hint="eastAsia" w:ascii="宋体" w:hAnsi="宋体" w:eastAsia="宋体" w:cs="宋体"/>
          <w:spacing w:val="-2"/>
          <w:sz w:val="24"/>
          <w:szCs w:val="24"/>
          <w:lang w:eastAsia="zh-CN"/>
        </w:rPr>
        <w:t>运维部</w:t>
      </w:r>
      <w:r>
        <w:rPr>
          <w:rFonts w:ascii="宋体" w:hAnsi="宋体" w:eastAsia="宋体" w:cs="宋体"/>
          <w:spacing w:val="-2"/>
          <w:sz w:val="24"/>
          <w:szCs w:val="24"/>
        </w:rPr>
        <w:t>，商议调整改进方案事项，使改进达到最佳效果。</w:t>
      </w:r>
    </w:p>
    <w:p w14:paraId="2E25191A">
      <w:pPr>
        <w:pStyle w:val="20"/>
        <w:bidi w:val="0"/>
      </w:pPr>
      <w:bookmarkStart w:id="19" w:name="bookmark17"/>
      <w:bookmarkEnd w:id="19"/>
      <w:bookmarkStart w:id="20" w:name="bookmark16"/>
      <w:bookmarkEnd w:id="20"/>
      <w:bookmarkStart w:id="21" w:name="bookmark18"/>
      <w:bookmarkEnd w:id="21"/>
      <w:bookmarkStart w:id="22" w:name="bookmark1"/>
      <w:bookmarkEnd w:id="22"/>
      <w:r>
        <w:t>相关文件</w:t>
      </w:r>
    </w:p>
    <w:p w14:paraId="444466C5">
      <w:pPr>
        <w:spacing w:before="43" w:line="220" w:lineRule="auto"/>
        <w:ind w:left="505"/>
        <w:rPr>
          <w:rFonts w:ascii="宋体" w:hAnsi="宋体" w:eastAsia="宋体" w:cs="宋体"/>
          <w:sz w:val="24"/>
          <w:szCs w:val="24"/>
        </w:rPr>
      </w:pPr>
      <w:r>
        <w:rPr>
          <w:rFonts w:ascii="宋体" w:hAnsi="宋体" w:eastAsia="宋体" w:cs="宋体"/>
          <w:sz w:val="24"/>
          <w:szCs w:val="24"/>
        </w:rPr>
        <w:t>无</w:t>
      </w:r>
    </w:p>
    <w:p w14:paraId="2E194223">
      <w:pPr>
        <w:pStyle w:val="20"/>
        <w:bidi w:val="0"/>
      </w:pPr>
      <w:bookmarkStart w:id="23" w:name="bookmark1"/>
      <w:bookmarkEnd w:id="23"/>
      <w:r>
        <w:t>附则</w:t>
      </w:r>
    </w:p>
    <w:p w14:paraId="48E14A67">
      <w:pPr>
        <w:spacing w:before="178" w:line="219" w:lineRule="auto"/>
        <w:ind w:left="461"/>
        <w:rPr>
          <w:rFonts w:ascii="宋体" w:hAnsi="宋体" w:eastAsia="宋体" w:cs="宋体"/>
          <w:sz w:val="24"/>
          <w:szCs w:val="24"/>
        </w:rPr>
      </w:pPr>
      <w:r>
        <w:rPr>
          <w:rFonts w:ascii="宋体" w:hAnsi="宋体" w:eastAsia="宋体" w:cs="宋体"/>
          <w:spacing w:val="-2"/>
          <w:sz w:val="24"/>
          <w:szCs w:val="24"/>
        </w:rPr>
        <w:t>1.本制度由公司</w:t>
      </w:r>
      <w:r>
        <w:rPr>
          <w:rFonts w:hint="eastAsia" w:ascii="宋体" w:hAnsi="宋体" w:eastAsia="宋体" w:cs="宋体"/>
          <w:spacing w:val="-2"/>
          <w:sz w:val="24"/>
          <w:szCs w:val="24"/>
          <w:lang w:eastAsia="zh-CN"/>
        </w:rPr>
        <w:t>质量部</w:t>
      </w:r>
      <w:r>
        <w:rPr>
          <w:rFonts w:ascii="宋体" w:hAnsi="宋体" w:eastAsia="宋体" w:cs="宋体"/>
          <w:spacing w:val="-2"/>
          <w:sz w:val="24"/>
          <w:szCs w:val="24"/>
        </w:rPr>
        <w:t>拟定，自公司总经理</w:t>
      </w:r>
      <w:r>
        <w:rPr>
          <w:rFonts w:ascii="宋体" w:hAnsi="宋体" w:eastAsia="宋体" w:cs="宋体"/>
          <w:spacing w:val="-3"/>
          <w:sz w:val="24"/>
          <w:szCs w:val="24"/>
        </w:rPr>
        <w:t>批准颁布之日起施行。</w:t>
      </w:r>
    </w:p>
    <w:sectPr>
      <w:footerReference r:id="rId6" w:type="default"/>
      <w:pgSz w:w="11906" w:h="16839"/>
      <w:pgMar w:top="1431"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7BFB2">
    <w:pPr>
      <w:spacing w:line="166" w:lineRule="auto"/>
      <w:ind w:left="4235"/>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101128">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1FE7CA0"/>
    <w:rsid w:val="04DC643E"/>
    <w:rsid w:val="05FB6D97"/>
    <w:rsid w:val="080E6FB9"/>
    <w:rsid w:val="08AC4379"/>
    <w:rsid w:val="14757D15"/>
    <w:rsid w:val="14FB46BE"/>
    <w:rsid w:val="15EE4223"/>
    <w:rsid w:val="1EB276AF"/>
    <w:rsid w:val="23F724F4"/>
    <w:rsid w:val="24AA0A94"/>
    <w:rsid w:val="25AB3597"/>
    <w:rsid w:val="29BF52CD"/>
    <w:rsid w:val="2B603F36"/>
    <w:rsid w:val="2B91657D"/>
    <w:rsid w:val="2EC03CB2"/>
    <w:rsid w:val="2F0562AC"/>
    <w:rsid w:val="2F097580"/>
    <w:rsid w:val="30896BCA"/>
    <w:rsid w:val="323A4620"/>
    <w:rsid w:val="36A4650C"/>
    <w:rsid w:val="3CCF287E"/>
    <w:rsid w:val="3D6E33D0"/>
    <w:rsid w:val="48B60321"/>
    <w:rsid w:val="4B166E55"/>
    <w:rsid w:val="4DD97EC3"/>
    <w:rsid w:val="4E0336C0"/>
    <w:rsid w:val="4E4B32B9"/>
    <w:rsid w:val="51AF590D"/>
    <w:rsid w:val="55C41C54"/>
    <w:rsid w:val="598633F7"/>
    <w:rsid w:val="5ACC12DE"/>
    <w:rsid w:val="5BAD55B3"/>
    <w:rsid w:val="5E912F6A"/>
    <w:rsid w:val="618C4C10"/>
    <w:rsid w:val="62D6719E"/>
    <w:rsid w:val="692B513E"/>
    <w:rsid w:val="6D8141AA"/>
    <w:rsid w:val="6DC26C9C"/>
    <w:rsid w:val="6DC5053A"/>
    <w:rsid w:val="6E657628"/>
    <w:rsid w:val="740C0C71"/>
    <w:rsid w:val="7A7279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1628</Words>
  <Characters>1792</Characters>
  <TotalTime>15</TotalTime>
  <ScaleCrop>false</ScaleCrop>
  <LinksUpToDate>false</LinksUpToDate>
  <CharactersWithSpaces>1935</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2025-08-18T18:10:00Z</dcterms:created>
  <dc:creator>chenlei</dc:creator>
  <cp:lastModifiedBy>郝宇</cp:lastModifiedBy>
  <dcterms:modified xsi:type="dcterms:W3CDTF">2025-08-23T10:21:11Z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2025-08-21T00:15:31Z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B5D9635365AF48C18B9AC25F73A2CAA8_12</vt:lpwstr>
  </property>
</Properties>
</file>