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1C9571CC">
            <w:pPr>
              <w:spacing w:line="291" w:lineRule="auto"/>
              <w:rPr>
                <w:rFonts w:ascii="Arial"/>
                <w:sz w:val="21"/>
              </w:rPr>
            </w:pPr>
          </w:p>
          <w:p w14:paraId="0F10376D">
            <w:pPr>
              <w:pStyle w:val="7"/>
              <w:spacing w:before="65" w:line="228" w:lineRule="auto"/>
              <w:ind w:left="532"/>
            </w:pPr>
            <w:r>
              <w:t>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6"/>
              </w:rPr>
              <w:t xml:space="preserve"> </w:t>
            </w:r>
            <w:r>
              <w:rPr>
                <w:rFonts w:hint="eastAsia"/>
                <w:spacing w:val="-36"/>
                <w:lang w:val="en-US" w:eastAsia="zh-CN"/>
              </w:rPr>
              <w:t>7</w:t>
            </w:r>
            <w:r>
              <w:rPr>
                <w:spacing w:val="-36"/>
              </w:rPr>
              <w:t xml:space="preserve"> </w:t>
            </w:r>
            <w: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</w:p>
          <w:p w14:paraId="3B435304">
            <w:pPr>
              <w:pStyle w:val="7"/>
              <w:spacing w:before="221" w:line="227" w:lineRule="auto"/>
              <w:ind w:left="532"/>
            </w:pPr>
            <w:r>
              <w:t>首次会议时间：2025</w:t>
            </w:r>
            <w:r>
              <w:rPr>
                <w:spacing w:val="-27"/>
              </w:rPr>
              <w:t xml:space="preserve"> </w:t>
            </w:r>
            <w:r>
              <w:t>年</w:t>
            </w:r>
            <w:r>
              <w:rPr>
                <w:spacing w:val="-38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2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24</w:t>
            </w:r>
            <w:r>
              <w:t xml:space="preserve"> 日</w:t>
            </w:r>
            <w:r>
              <w:rPr>
                <w:spacing w:val="-36"/>
              </w:rPr>
              <w:t xml:space="preserve"> </w:t>
            </w:r>
            <w:r>
              <w:t>9</w:t>
            </w:r>
            <w:r>
              <w:rPr>
                <w:spacing w:val="-31"/>
              </w:rPr>
              <w:t xml:space="preserve"> </w:t>
            </w:r>
            <w:r>
              <w:t>时</w:t>
            </w:r>
          </w:p>
          <w:p w14:paraId="685A67F5">
            <w:pPr>
              <w:pStyle w:val="7"/>
              <w:spacing w:before="222" w:line="227" w:lineRule="auto"/>
              <w:ind w:left="529"/>
            </w:pPr>
            <w:r>
              <w:t>末次会议时间：2025</w:t>
            </w:r>
            <w:r>
              <w:rPr>
                <w:spacing w:val="-42"/>
              </w:rPr>
              <w:t xml:space="preserve"> </w:t>
            </w:r>
            <w: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33"/>
              </w:rPr>
              <w:t xml:space="preserve"> </w:t>
            </w:r>
            <w: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25</w:t>
            </w:r>
            <w:r>
              <w:t xml:space="preserve"> 日</w:t>
            </w:r>
            <w:r>
              <w:rPr>
                <w:spacing w:val="-22"/>
              </w:rPr>
              <w:t xml:space="preserve"> </w:t>
            </w:r>
            <w:r>
              <w:t>17</w:t>
            </w:r>
            <w:r>
              <w:rPr>
                <w:spacing w:val="-30"/>
              </w:rPr>
              <w:t xml:space="preserve"> </w:t>
            </w:r>
            <w:r>
              <w:t>时</w:t>
            </w:r>
            <w:r>
              <w:rPr>
                <w:spacing w:val="-3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>0</w:t>
            </w:r>
            <w:r>
              <w:rPr>
                <w:spacing w:val="-38"/>
              </w:rPr>
              <w:t xml:space="preserve"> </w:t>
            </w:r>
            <w:r>
              <w:rPr>
                <w:spacing w:val="-1"/>
              </w:rPr>
              <w:t>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</w:pPr>
            <w:r>
              <w:rPr>
                <w:spacing w:val="8"/>
              </w:rPr>
              <w:t>组长：</w:t>
            </w:r>
            <w:r>
              <w:rPr>
                <w:rFonts w:hint="eastAsia"/>
              </w:rPr>
              <w:t>李琳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eastAsia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spacing w:val="-10"/>
              </w:rPr>
              <w:t>肖容斐</w:t>
            </w:r>
            <w:r>
              <w:rPr>
                <w:spacing w:val="8"/>
              </w:rPr>
              <w:t>、</w:t>
            </w:r>
            <w:r>
              <w:rPr>
                <w:spacing w:val="-5"/>
              </w:rPr>
              <w:t>宫海亭</w:t>
            </w:r>
            <w:r>
              <w:rPr>
                <w:rFonts w:hint="eastAsia"/>
                <w:spacing w:val="-5"/>
                <w:lang w:eastAsia="zh-CN"/>
              </w:rPr>
              <w:t>、</w:t>
            </w:r>
            <w:r>
              <w:rPr>
                <w:rFonts w:hint="eastAsia"/>
                <w:spacing w:val="7"/>
              </w:rPr>
              <w:t>孙人杰</w:t>
            </w:r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bookmarkStart w:id="0" w:name="_GoBack"/>
            <w:bookmarkEnd w:id="0"/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22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spacing w:val="-10"/>
              </w:rPr>
              <w:t>肖容斐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25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spacing w:val="-5"/>
              </w:rPr>
              <w:t>宫海亭</w:t>
            </w:r>
          </w:p>
        </w:tc>
      </w:tr>
      <w:tr w14:paraId="777E63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0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48C0B9B7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tcBorders>
              <w:right w:val="nil"/>
            </w:tcBorders>
            <w:vAlign w:val="top"/>
          </w:tcPr>
          <w:p w14:paraId="08B1A448">
            <w:pPr>
              <w:rPr>
                <w:rFonts w:ascii="Arial"/>
                <w:sz w:val="21"/>
              </w:rPr>
            </w:pPr>
          </w:p>
        </w:tc>
        <w:tc>
          <w:tcPr>
            <w:tcW w:w="5937" w:type="dxa"/>
            <w:gridSpan w:val="2"/>
            <w:tcBorders>
              <w:left w:val="nil"/>
              <w:right w:val="nil"/>
            </w:tcBorders>
            <w:vAlign w:val="top"/>
          </w:tcPr>
          <w:p w14:paraId="2906111B">
            <w:pPr>
              <w:spacing w:line="255" w:lineRule="auto"/>
              <w:rPr>
                <w:rFonts w:ascii="Arial"/>
                <w:sz w:val="21"/>
              </w:rPr>
            </w:pPr>
          </w:p>
          <w:p w14:paraId="5888E278">
            <w:pPr>
              <w:spacing w:line="256" w:lineRule="auto"/>
              <w:rPr>
                <w:rFonts w:ascii="Arial"/>
                <w:sz w:val="21"/>
              </w:rPr>
            </w:pPr>
          </w:p>
          <w:p w14:paraId="491B18AE">
            <w:pPr>
              <w:pStyle w:val="7"/>
              <w:spacing w:before="65" w:line="228" w:lineRule="auto"/>
              <w:ind w:left="1802"/>
            </w:pPr>
            <w:r>
              <w:rPr>
                <w:spacing w:val="5"/>
              </w:rPr>
              <w:t>7.6.3 备件库</w:t>
            </w:r>
            <w:r>
              <w:rPr>
                <w:spacing w:val="20"/>
              </w:rPr>
              <w:t xml:space="preserve"> </w:t>
            </w:r>
            <w:r>
              <w:rPr>
                <w:spacing w:val="5"/>
              </w:rPr>
              <w:t>不适用</w:t>
            </w:r>
          </w:p>
        </w:tc>
        <w:tc>
          <w:tcPr>
            <w:tcW w:w="1264" w:type="dxa"/>
            <w:tcBorders>
              <w:left w:val="nil"/>
            </w:tcBorders>
            <w:vAlign w:val="top"/>
          </w:tcPr>
          <w:p w14:paraId="23F6CBF8">
            <w:pPr>
              <w:rPr>
                <w:rFonts w:ascii="Arial"/>
                <w:sz w:val="21"/>
              </w:rPr>
            </w:pP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292FB53A">
      <w:pPr>
        <w:rPr>
          <w:rFonts w:ascii="Arial"/>
          <w:sz w:val="21"/>
        </w:rPr>
      </w:pPr>
    </w:p>
    <w:p w14:paraId="44F0C89B">
      <w:pPr>
        <w:rPr>
          <w:rFonts w:ascii="Arial" w:hAnsi="Arial" w:eastAsia="Arial" w:cs="Arial"/>
          <w:sz w:val="21"/>
          <w:szCs w:val="21"/>
        </w:rPr>
        <w:sectPr>
          <w:footerReference r:id="rId6" w:type="default"/>
          <w:pgSz w:w="11906" w:h="16838"/>
          <w:pgMar w:top="851" w:right="1131" w:bottom="1186" w:left="815" w:header="0" w:footer="972" w:gutter="0"/>
          <w:cols w:space="720" w:num="1"/>
        </w:sectPr>
      </w:pPr>
    </w:p>
    <w:p w14:paraId="7D296C4A">
      <w:pPr>
        <w:spacing w:line="25" w:lineRule="auto"/>
        <w:rPr>
          <w:rFonts w:ascii="Arial"/>
          <w:sz w:val="2"/>
        </w:rPr>
      </w:pPr>
      <w:r>
        <w:rPr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688975</wp:posOffset>
            </wp:positionH>
            <wp:positionV relativeFrom="paragraph">
              <wp:posOffset>-739140</wp:posOffset>
            </wp:positionV>
            <wp:extent cx="2218690" cy="697865"/>
            <wp:effectExtent l="0" t="0" r="6350" b="3175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5937"/>
        <w:gridCol w:w="1264"/>
      </w:tblGrid>
      <w:tr w14:paraId="27EE2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59" w:type="dxa"/>
            <w:vAlign w:val="top"/>
          </w:tcPr>
          <w:p w14:paraId="0325E48C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5A498A6E">
            <w:pPr>
              <w:pStyle w:val="7"/>
              <w:spacing w:before="247" w:line="264" w:lineRule="exact"/>
              <w:ind w:left="124"/>
            </w:pPr>
            <w:r>
              <w:rPr>
                <w:spacing w:val="-2"/>
                <w:position w:val="1"/>
              </w:rPr>
              <w:t>17：30—18：00</w:t>
            </w:r>
          </w:p>
        </w:tc>
        <w:tc>
          <w:tcPr>
            <w:tcW w:w="5937" w:type="dxa"/>
            <w:vAlign w:val="top"/>
          </w:tcPr>
          <w:p w14:paraId="49C536A1">
            <w:pPr>
              <w:pStyle w:val="7"/>
              <w:spacing w:before="247" w:line="227" w:lineRule="auto"/>
              <w:ind w:left="1818"/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vAlign w:val="top"/>
          </w:tcPr>
          <w:p w14:paraId="420E75E4">
            <w:pPr>
              <w:pStyle w:val="7"/>
              <w:spacing w:before="247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7" w:type="default"/>
      <w:footerReference r:id="rId8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E3C8D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2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4602913"/>
    <w:rsid w:val="04F33787"/>
    <w:rsid w:val="07047ECE"/>
    <w:rsid w:val="07A22BB8"/>
    <w:rsid w:val="08607386"/>
    <w:rsid w:val="0A656ED5"/>
    <w:rsid w:val="0A981059"/>
    <w:rsid w:val="0A982E07"/>
    <w:rsid w:val="0EF40828"/>
    <w:rsid w:val="0FF02D9D"/>
    <w:rsid w:val="10FE14EA"/>
    <w:rsid w:val="13CB5D21"/>
    <w:rsid w:val="16E64EFA"/>
    <w:rsid w:val="1C3B5CE8"/>
    <w:rsid w:val="1C641230"/>
    <w:rsid w:val="1FCD4EA9"/>
    <w:rsid w:val="20C462AC"/>
    <w:rsid w:val="23647A3F"/>
    <w:rsid w:val="2452597D"/>
    <w:rsid w:val="25020904"/>
    <w:rsid w:val="273B3040"/>
    <w:rsid w:val="29003BF9"/>
    <w:rsid w:val="29F8727E"/>
    <w:rsid w:val="2AFB4FC0"/>
    <w:rsid w:val="2B180837"/>
    <w:rsid w:val="2F822586"/>
    <w:rsid w:val="31813D45"/>
    <w:rsid w:val="32243EA7"/>
    <w:rsid w:val="34E00D83"/>
    <w:rsid w:val="3B3135D0"/>
    <w:rsid w:val="3BBC15D8"/>
    <w:rsid w:val="3C722C08"/>
    <w:rsid w:val="3CC850E4"/>
    <w:rsid w:val="3F8B29F9"/>
    <w:rsid w:val="3FFD0A3B"/>
    <w:rsid w:val="404C68FB"/>
    <w:rsid w:val="41766CF7"/>
    <w:rsid w:val="417B0F8F"/>
    <w:rsid w:val="457840E1"/>
    <w:rsid w:val="46026DAB"/>
    <w:rsid w:val="47002793"/>
    <w:rsid w:val="481C1C7A"/>
    <w:rsid w:val="4A370FED"/>
    <w:rsid w:val="4A7E07FB"/>
    <w:rsid w:val="4C910E89"/>
    <w:rsid w:val="4D4408D9"/>
    <w:rsid w:val="4D7F5185"/>
    <w:rsid w:val="4E6F1BA8"/>
    <w:rsid w:val="4FCB6477"/>
    <w:rsid w:val="500951DA"/>
    <w:rsid w:val="50A770DF"/>
    <w:rsid w:val="53206AC2"/>
    <w:rsid w:val="565F5B54"/>
    <w:rsid w:val="5A3A358D"/>
    <w:rsid w:val="5BB406F0"/>
    <w:rsid w:val="5C677510"/>
    <w:rsid w:val="5E9F5687"/>
    <w:rsid w:val="60261490"/>
    <w:rsid w:val="62126170"/>
    <w:rsid w:val="62BE601B"/>
    <w:rsid w:val="654E07CD"/>
    <w:rsid w:val="6AB62F2F"/>
    <w:rsid w:val="6B9F5BFD"/>
    <w:rsid w:val="6E816A63"/>
    <w:rsid w:val="6FD44A65"/>
    <w:rsid w:val="72F40FFF"/>
    <w:rsid w:val="75824BD9"/>
    <w:rsid w:val="761D53B8"/>
    <w:rsid w:val="79CB0C87"/>
    <w:rsid w:val="79F022BF"/>
    <w:rsid w:val="7E696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816</Words>
  <Characters>1173</Characters>
  <TotalTime>0</TotalTime>
  <ScaleCrop>false</ScaleCrop>
  <LinksUpToDate>false</LinksUpToDate>
  <CharactersWithSpaces>1303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2025-08-21T21:51:17Z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