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71483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7932A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3239C3B">
      <w:pPr>
        <w:pStyle w:val="24"/>
        <w:bidi w:val="0"/>
      </w:pPr>
      <w:bookmarkStart w:id="0" w:name="_Toc1168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703E5E55">
      <w:pPr>
        <w:pStyle w:val="25"/>
        <w:bidi w:val="0"/>
        <w:rPr>
          <w:rFonts w:hint="default"/>
          <w:lang w:val="en-US"/>
        </w:rPr>
      </w:pPr>
      <w:bookmarkStart w:id="1" w:name="_Toc20557"/>
      <w:r>
        <w:rPr>
          <w:rFonts w:hint="eastAsia"/>
          <w:lang w:val="en-US" w:eastAsia="zh-CN"/>
        </w:rPr>
        <w:t>2025年内部审核计划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43981B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16669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3AA70342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2025.08.10</w:t>
            </w:r>
          </w:p>
        </w:tc>
      </w:tr>
      <w:tr w14:paraId="26BCF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9E25CC5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506D4988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2025.08.10</w:t>
            </w:r>
          </w:p>
        </w:tc>
      </w:tr>
      <w:tr w14:paraId="6876C2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11405689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05542F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2025.08.10</w:t>
            </w:r>
          </w:p>
        </w:tc>
      </w:tr>
    </w:tbl>
    <w:p w14:paraId="657C7D7F">
      <w:r>
        <w:br w:type="page"/>
      </w:r>
    </w:p>
    <w:p w14:paraId="160B36BF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7FB90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B17ACD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BF738C4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6DD49B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D85990F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A231444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164CB84B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FAD9AF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87FDCF1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08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919" w:type="dxa"/>
          </w:tcPr>
          <w:p w14:paraId="7AB72D91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499330A3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1BE2CE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</w:tcPr>
          <w:p w14:paraId="2F40BD64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6611C62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27B58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B77DF32">
            <w:pPr>
              <w:pStyle w:val="27"/>
            </w:pPr>
          </w:p>
        </w:tc>
        <w:tc>
          <w:tcPr>
            <w:tcW w:w="919" w:type="dxa"/>
          </w:tcPr>
          <w:p w14:paraId="45997F32">
            <w:pPr>
              <w:pStyle w:val="27"/>
            </w:pPr>
          </w:p>
        </w:tc>
        <w:tc>
          <w:tcPr>
            <w:tcW w:w="2289" w:type="dxa"/>
          </w:tcPr>
          <w:p w14:paraId="2B6F2A5D">
            <w:pPr>
              <w:pStyle w:val="27"/>
            </w:pPr>
          </w:p>
        </w:tc>
        <w:tc>
          <w:tcPr>
            <w:tcW w:w="1148" w:type="dxa"/>
          </w:tcPr>
          <w:p w14:paraId="1959FED3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3A06545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06042ADA">
            <w:pPr>
              <w:pStyle w:val="27"/>
            </w:pPr>
          </w:p>
        </w:tc>
      </w:tr>
      <w:tr w14:paraId="19130D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A12469B">
            <w:pPr>
              <w:pStyle w:val="27"/>
            </w:pPr>
          </w:p>
        </w:tc>
        <w:tc>
          <w:tcPr>
            <w:tcW w:w="919" w:type="dxa"/>
          </w:tcPr>
          <w:p w14:paraId="516D638D">
            <w:pPr>
              <w:pStyle w:val="27"/>
            </w:pPr>
          </w:p>
        </w:tc>
        <w:tc>
          <w:tcPr>
            <w:tcW w:w="2289" w:type="dxa"/>
          </w:tcPr>
          <w:p w14:paraId="3216873D">
            <w:pPr>
              <w:pStyle w:val="27"/>
            </w:pPr>
          </w:p>
        </w:tc>
        <w:tc>
          <w:tcPr>
            <w:tcW w:w="1148" w:type="dxa"/>
          </w:tcPr>
          <w:p w14:paraId="5874C7C5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012FB52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46342BF5">
            <w:pPr>
              <w:pStyle w:val="27"/>
            </w:pPr>
          </w:p>
        </w:tc>
      </w:tr>
      <w:tr w14:paraId="4BC2AE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62592C51">
            <w:pPr>
              <w:pStyle w:val="27"/>
            </w:pPr>
          </w:p>
        </w:tc>
        <w:tc>
          <w:tcPr>
            <w:tcW w:w="919" w:type="dxa"/>
          </w:tcPr>
          <w:p w14:paraId="30A3F13B">
            <w:pPr>
              <w:pStyle w:val="27"/>
            </w:pPr>
          </w:p>
        </w:tc>
        <w:tc>
          <w:tcPr>
            <w:tcW w:w="2289" w:type="dxa"/>
          </w:tcPr>
          <w:p w14:paraId="551EA4AE">
            <w:pPr>
              <w:pStyle w:val="27"/>
            </w:pPr>
          </w:p>
        </w:tc>
        <w:tc>
          <w:tcPr>
            <w:tcW w:w="1148" w:type="dxa"/>
          </w:tcPr>
          <w:p w14:paraId="53930301">
            <w:pPr>
              <w:pStyle w:val="27"/>
            </w:pPr>
          </w:p>
        </w:tc>
        <w:tc>
          <w:tcPr>
            <w:tcW w:w="1150" w:type="dxa"/>
          </w:tcPr>
          <w:p w14:paraId="7C7F9EC9">
            <w:pPr>
              <w:pStyle w:val="27"/>
            </w:pPr>
          </w:p>
        </w:tc>
        <w:tc>
          <w:tcPr>
            <w:tcW w:w="1240" w:type="dxa"/>
          </w:tcPr>
          <w:p w14:paraId="6C59E590">
            <w:pPr>
              <w:pStyle w:val="27"/>
            </w:pPr>
          </w:p>
        </w:tc>
      </w:tr>
      <w:tr w14:paraId="585A4B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EAF6A05">
            <w:pPr>
              <w:pStyle w:val="27"/>
            </w:pPr>
          </w:p>
        </w:tc>
        <w:tc>
          <w:tcPr>
            <w:tcW w:w="919" w:type="dxa"/>
          </w:tcPr>
          <w:p w14:paraId="3DD69A06">
            <w:pPr>
              <w:pStyle w:val="27"/>
            </w:pPr>
          </w:p>
        </w:tc>
        <w:tc>
          <w:tcPr>
            <w:tcW w:w="2289" w:type="dxa"/>
          </w:tcPr>
          <w:p w14:paraId="417621DD">
            <w:pPr>
              <w:pStyle w:val="27"/>
            </w:pPr>
          </w:p>
        </w:tc>
        <w:tc>
          <w:tcPr>
            <w:tcW w:w="1148" w:type="dxa"/>
          </w:tcPr>
          <w:p w14:paraId="6DFFFE5B">
            <w:pPr>
              <w:pStyle w:val="27"/>
            </w:pPr>
          </w:p>
        </w:tc>
        <w:tc>
          <w:tcPr>
            <w:tcW w:w="1150" w:type="dxa"/>
          </w:tcPr>
          <w:p w14:paraId="557CBF03">
            <w:pPr>
              <w:pStyle w:val="27"/>
            </w:pPr>
          </w:p>
        </w:tc>
        <w:tc>
          <w:tcPr>
            <w:tcW w:w="1240" w:type="dxa"/>
          </w:tcPr>
          <w:p w14:paraId="5424A3F6">
            <w:pPr>
              <w:pStyle w:val="27"/>
            </w:pPr>
          </w:p>
        </w:tc>
      </w:tr>
      <w:tr w14:paraId="1E4E4C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27168F4">
            <w:pPr>
              <w:pStyle w:val="27"/>
            </w:pPr>
          </w:p>
        </w:tc>
        <w:tc>
          <w:tcPr>
            <w:tcW w:w="919" w:type="dxa"/>
          </w:tcPr>
          <w:p w14:paraId="173ADAEF">
            <w:pPr>
              <w:pStyle w:val="27"/>
            </w:pPr>
          </w:p>
        </w:tc>
        <w:tc>
          <w:tcPr>
            <w:tcW w:w="2289" w:type="dxa"/>
          </w:tcPr>
          <w:p w14:paraId="70CB2C6C">
            <w:pPr>
              <w:pStyle w:val="27"/>
            </w:pPr>
          </w:p>
        </w:tc>
        <w:tc>
          <w:tcPr>
            <w:tcW w:w="1148" w:type="dxa"/>
          </w:tcPr>
          <w:p w14:paraId="51E0B7F0">
            <w:pPr>
              <w:pStyle w:val="27"/>
            </w:pPr>
          </w:p>
        </w:tc>
        <w:tc>
          <w:tcPr>
            <w:tcW w:w="1150" w:type="dxa"/>
          </w:tcPr>
          <w:p w14:paraId="7C2ED048">
            <w:pPr>
              <w:pStyle w:val="27"/>
            </w:pPr>
          </w:p>
        </w:tc>
        <w:tc>
          <w:tcPr>
            <w:tcW w:w="1240" w:type="dxa"/>
          </w:tcPr>
          <w:p w14:paraId="2480F0BA">
            <w:pPr>
              <w:pStyle w:val="27"/>
            </w:pPr>
          </w:p>
        </w:tc>
      </w:tr>
    </w:tbl>
    <w:p w14:paraId="7D09ACFC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9F7A0F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F22177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_Toc11688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_Toc11688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2BC9D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2025年内部审核计划</w:t>
          </w:r>
          <w:r>
            <w:tab/>
          </w:r>
          <w:r>
            <w:fldChar w:fldCharType="begin"/>
          </w:r>
          <w:r>
            <w:instrText xml:space="preserve"> PAGEREF _Toc20557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E6950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_Toc26163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_Toc26163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D9DA8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_Toc1454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73C4F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_Toc13228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_Toc13228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E1BE2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_Toc13463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内部审核规划</w:t>
          </w:r>
          <w:r>
            <w:tab/>
          </w:r>
          <w:r>
            <w:fldChar w:fldCharType="begin"/>
          </w:r>
          <w:r>
            <w:instrText xml:space="preserve"> PAGEREF _Toc13463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8C724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_Toc16533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审核安排</w:t>
          </w:r>
          <w:r>
            <w:tab/>
          </w:r>
          <w:r>
            <w:fldChar w:fldCharType="begin"/>
          </w:r>
          <w:r>
            <w:instrText xml:space="preserve"> PAGEREF _Toc16533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0AD44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_Toc8713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审核组成员</w:t>
          </w:r>
          <w:r>
            <w:tab/>
          </w:r>
          <w:r>
            <w:fldChar w:fldCharType="begin"/>
          </w:r>
          <w:r>
            <w:instrText xml:space="preserve"> PAGEREF _Toc8713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36065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_Toc6228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审核日程</w:t>
          </w:r>
          <w:r>
            <w:tab/>
          </w:r>
          <w:r>
            <w:fldChar w:fldCharType="begin"/>
          </w:r>
          <w:r>
            <w:instrText xml:space="preserve"> PAGEREF _Toc6228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F2F3C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_Toc9391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C2E2C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_Toc13397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_Toc13397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82E55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_Toc8177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_Toc8177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613CB9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1865F85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45097EF">
      <w:pPr>
        <w:pStyle w:val="28"/>
        <w:bidi w:val="0"/>
      </w:pPr>
      <w:bookmarkStart w:id="2" w:name="_Toc26163"/>
      <w:r>
        <w:t>目的</w:t>
      </w:r>
      <w:bookmarkEnd w:id="2"/>
    </w:p>
    <w:p w14:paraId="18B37485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为检查公司ITSS运维服务能力管理体系是否符合《信息技术服务  运行维护  第 1 部分：通用要求》标准并有效运行，不断自我完善。</w:t>
      </w:r>
    </w:p>
    <w:p w14:paraId="48A9FC04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验证运维服务管理是否符合本公司运维体系文件的规定，确保体系正常运行；</w:t>
      </w:r>
    </w:p>
    <w:p w14:paraId="5CFD3329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检查本公司运维服务体系是否得到有效实施和保持。</w:t>
      </w:r>
    </w:p>
    <w:p w14:paraId="26A94622">
      <w:pPr>
        <w:pStyle w:val="28"/>
        <w:bidi w:val="0"/>
        <w:rPr>
          <w:rFonts w:hint="eastAsia"/>
          <w:lang w:val="en-US" w:eastAsia="zh-CN"/>
        </w:rPr>
      </w:pPr>
      <w:bookmarkStart w:id="3" w:name="_Toc1454"/>
      <w:r>
        <w:rPr>
          <w:rFonts w:hint="eastAsia"/>
          <w:lang w:val="en-US" w:eastAsia="zh-CN"/>
        </w:rPr>
        <w:t>原则</w:t>
      </w:r>
      <w:bookmarkEnd w:id="3"/>
    </w:p>
    <w:p w14:paraId="290C842C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必须以事实为依据，以标准为准绳，避免主观臆断和个人偏见</w:t>
      </w:r>
    </w:p>
    <w:p w14:paraId="47A34E78">
      <w:pPr>
        <w:pStyle w:val="28"/>
        <w:bidi w:val="0"/>
      </w:pPr>
      <w:bookmarkStart w:id="4" w:name="_Toc13228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E37193B">
      <w:pPr>
        <w:pStyle w:val="42"/>
        <w:tabs>
          <w:tab w:val="left" w:pos="851"/>
        </w:tabs>
        <w:spacing w:before="0" w:line="360" w:lineRule="auto"/>
        <w:ind w:left="0" w:firstLine="480" w:firstLineChars="200"/>
        <w:rPr>
          <w:sz w:val="24"/>
          <w:szCs w:val="24"/>
        </w:rPr>
      </w:pPr>
      <w:r>
        <w:rPr>
          <w:sz w:val="24"/>
          <w:szCs w:val="24"/>
        </w:rPr>
        <w:t>运维服务相关部门，包括：</w:t>
      </w:r>
      <w:bookmarkStart w:id="5" w:name="_bookmark2"/>
      <w:bookmarkEnd w:id="5"/>
      <w:bookmarkStart w:id="6" w:name="3审核依据"/>
      <w:bookmarkEnd w:id="6"/>
      <w:r>
        <w:rPr>
          <w:rFonts w:hint="eastAsia"/>
          <w:sz w:val="24"/>
          <w:szCs w:val="24"/>
        </w:rPr>
        <w:t>管理层、人力部、</w:t>
      </w:r>
      <w:r>
        <w:rPr>
          <w:rFonts w:hint="eastAsia"/>
          <w:sz w:val="24"/>
          <w:szCs w:val="24"/>
          <w:lang w:val="en-US" w:eastAsia="zh-CN"/>
        </w:rPr>
        <w:t>运维部</w:t>
      </w:r>
      <w:r>
        <w:rPr>
          <w:rFonts w:hint="eastAsia"/>
          <w:sz w:val="24"/>
          <w:szCs w:val="24"/>
        </w:rPr>
        <w:t>、研发部、质量部、</w:t>
      </w:r>
      <w:r>
        <w:rPr>
          <w:rFonts w:hint="eastAsia"/>
          <w:sz w:val="24"/>
          <w:szCs w:val="24"/>
          <w:lang w:eastAsia="zh-CN"/>
        </w:rPr>
        <w:t>采购部</w:t>
      </w:r>
      <w:r>
        <w:rPr>
          <w:rFonts w:hint="eastAsia"/>
          <w:sz w:val="24"/>
          <w:szCs w:val="24"/>
        </w:rPr>
        <w:t>。</w:t>
      </w:r>
    </w:p>
    <w:p w14:paraId="4893DA2A">
      <w:pPr>
        <w:pStyle w:val="28"/>
        <w:bidi w:val="0"/>
        <w:rPr>
          <w:rFonts w:hint="default"/>
          <w:lang w:val="en-US" w:eastAsia="zh-CN"/>
        </w:rPr>
      </w:pPr>
      <w:bookmarkStart w:id="7" w:name="_Toc13463"/>
      <w:r>
        <w:rPr>
          <w:rFonts w:hint="eastAsia"/>
          <w:lang w:val="en-US" w:eastAsia="zh-CN"/>
        </w:rPr>
        <w:t>内部审核规划</w:t>
      </w:r>
      <w:bookmarkEnd w:id="7"/>
    </w:p>
    <w:p w14:paraId="7082956F">
      <w:pPr>
        <w:pStyle w:val="30"/>
        <w:bidi w:val="0"/>
        <w:rPr>
          <w:rFonts w:hint="eastAsia"/>
          <w:lang w:val="en-US" w:eastAsia="zh-CN"/>
        </w:rPr>
      </w:pPr>
      <w:bookmarkStart w:id="8" w:name="_Toc16533"/>
      <w:r>
        <w:rPr>
          <w:rFonts w:hint="eastAsia"/>
          <w:lang w:val="en-US" w:eastAsia="zh-CN"/>
        </w:rPr>
        <w:t>审核安排</w:t>
      </w:r>
      <w:bookmarkEnd w:id="8"/>
    </w:p>
    <w:p w14:paraId="515E7735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bookmarkStart w:id="9" w:name="_Toc32298"/>
      <w:r>
        <w:t>时间安排：</w:t>
      </w:r>
      <w:bookmarkEnd w:id="9"/>
      <w:r>
        <w:t>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15</w:t>
      </w:r>
      <w:r>
        <w:t>-202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bookmarkStart w:id="10" w:name="_Toc31166"/>
      <w:r>
        <w:rPr>
          <w:rFonts w:hint="eastAsia"/>
          <w:lang w:val="en-US" w:eastAsia="zh-CN"/>
        </w:rPr>
        <w:t>16</w:t>
      </w:r>
    </w:p>
    <w:p w14:paraId="0BBC9349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地点安排：公司会议室</w:t>
      </w:r>
      <w:bookmarkEnd w:id="10"/>
    </w:p>
    <w:p w14:paraId="71610B7F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</w:rPr>
        <w:t>首次会议：</w:t>
      </w:r>
      <w:r>
        <w:t>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15</w:t>
      </w:r>
      <w:r>
        <w:t xml:space="preserve">   </w:t>
      </w:r>
      <w:r>
        <w:rPr>
          <w:rFonts w:hint="eastAsia"/>
        </w:rPr>
        <w:t>9:30</w:t>
      </w:r>
    </w:p>
    <w:p w14:paraId="3AA803FD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</w:rPr>
        <w:t>末次会议：</w:t>
      </w:r>
      <w:r>
        <w:t>202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 xml:space="preserve">   16:30-17:00</w:t>
      </w:r>
    </w:p>
    <w:p w14:paraId="0E45AB0B">
      <w:pPr>
        <w:pStyle w:val="30"/>
        <w:bidi w:val="0"/>
        <w:rPr>
          <w:rFonts w:hint="eastAsia"/>
          <w:lang w:val="en-US" w:eastAsia="zh-CN"/>
        </w:rPr>
      </w:pPr>
      <w:bookmarkStart w:id="11" w:name="_Toc8713"/>
      <w:r>
        <w:rPr>
          <w:rFonts w:hint="eastAsia"/>
          <w:lang w:val="en-US" w:eastAsia="zh-CN"/>
        </w:rPr>
        <w:t>审核组成员</w:t>
      </w:r>
      <w:bookmarkEnd w:id="11"/>
    </w:p>
    <w:p w14:paraId="0ACDEF28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组长：陈姝羽</w:t>
      </w:r>
    </w:p>
    <w:p w14:paraId="6CF0B684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</w:t>
      </w:r>
      <w:r>
        <w:t>毛彦超</w:t>
      </w:r>
      <w:r>
        <w:rPr>
          <w:rFonts w:hint="eastAsia"/>
          <w:lang w:eastAsia="zh-CN"/>
        </w:rPr>
        <w:t>、田力、</w:t>
      </w:r>
      <w:r>
        <w:t>王琼</w:t>
      </w:r>
      <w:r>
        <w:rPr>
          <w:rFonts w:hint="eastAsia"/>
          <w:lang w:eastAsia="zh-CN"/>
        </w:rPr>
        <w:t>、</w:t>
      </w:r>
      <w:r>
        <w:t>孙文</w:t>
      </w:r>
      <w:r>
        <w:rPr>
          <w:rFonts w:hint="eastAsia"/>
          <w:lang w:eastAsia="zh-CN"/>
        </w:rPr>
        <w:t>、王钰轩</w:t>
      </w:r>
    </w:p>
    <w:p w14:paraId="41615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FECD1B5">
      <w:pPr>
        <w:pStyle w:val="30"/>
        <w:bidi w:val="0"/>
        <w:rPr>
          <w:rFonts w:hint="eastAsia"/>
          <w:lang w:val="en-US" w:eastAsia="zh-CN"/>
        </w:rPr>
      </w:pPr>
      <w:bookmarkStart w:id="12" w:name="_Toc6228"/>
      <w:r>
        <w:rPr>
          <w:rFonts w:hint="eastAsia"/>
          <w:lang w:val="en-US" w:eastAsia="zh-CN"/>
        </w:rPr>
        <w:t>审核日程</w:t>
      </w:r>
      <w:bookmarkEnd w:id="12"/>
    </w:p>
    <w:p w14:paraId="05069890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审核日日程如表4-1所示。</w:t>
      </w:r>
    </w:p>
    <w:p w14:paraId="2B540DF4">
      <w:pPr>
        <w:pStyle w:val="29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审核日程表</w:t>
      </w:r>
    </w:p>
    <w:tbl>
      <w:tblPr>
        <w:tblStyle w:val="26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1693"/>
        <w:gridCol w:w="4066"/>
        <w:gridCol w:w="1442"/>
      </w:tblGrid>
      <w:tr w14:paraId="7E0578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9" w:type="dxa"/>
          </w:tcPr>
          <w:p w14:paraId="57A1037F">
            <w:pPr>
              <w:pStyle w:val="27"/>
              <w:spacing w:before="209" w:line="228" w:lineRule="auto"/>
              <w:jc w:val="center"/>
            </w:pPr>
            <w:r>
              <w:rPr>
                <w:spacing w:val="-14"/>
              </w:rPr>
              <w:t>日期</w:t>
            </w:r>
          </w:p>
        </w:tc>
        <w:tc>
          <w:tcPr>
            <w:tcW w:w="1619" w:type="dxa"/>
            <w:vAlign w:val="center"/>
          </w:tcPr>
          <w:p w14:paraId="1945E5B3">
            <w:pPr>
              <w:pStyle w:val="27"/>
              <w:spacing w:before="208" w:line="230" w:lineRule="auto"/>
              <w:jc w:val="center"/>
            </w:pPr>
            <w:r>
              <w:rPr>
                <w:spacing w:val="-5"/>
              </w:rPr>
              <w:t>时间</w:t>
            </w:r>
          </w:p>
        </w:tc>
        <w:tc>
          <w:tcPr>
            <w:tcW w:w="5759" w:type="dxa"/>
            <w:gridSpan w:val="2"/>
          </w:tcPr>
          <w:p w14:paraId="0FE2DF50">
            <w:pPr>
              <w:pStyle w:val="27"/>
              <w:spacing w:before="208" w:line="228" w:lineRule="auto"/>
              <w:jc w:val="center"/>
            </w:pPr>
            <w:r>
              <w:rPr>
                <w:spacing w:val="7"/>
              </w:rPr>
              <w:t>审核部门及标准条款</w:t>
            </w:r>
          </w:p>
        </w:tc>
        <w:tc>
          <w:tcPr>
            <w:tcW w:w="1442" w:type="dxa"/>
          </w:tcPr>
          <w:p w14:paraId="504B887C">
            <w:pPr>
              <w:pStyle w:val="27"/>
              <w:spacing w:before="53" w:line="263" w:lineRule="auto"/>
              <w:ind w:right="316"/>
              <w:jc w:val="center"/>
            </w:pPr>
            <w:r>
              <w:rPr>
                <w:spacing w:val="3"/>
              </w:rPr>
              <w:t>审核员分工</w:t>
            </w:r>
          </w:p>
        </w:tc>
      </w:tr>
      <w:tr w14:paraId="052598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59" w:type="dxa"/>
            <w:vMerge w:val="restart"/>
            <w:tcBorders>
              <w:bottom w:val="nil"/>
            </w:tcBorders>
            <w:textDirection w:val="tbLrV"/>
          </w:tcPr>
          <w:p w14:paraId="47615752">
            <w:pPr>
              <w:pStyle w:val="27"/>
              <w:spacing w:before="65" w:line="290" w:lineRule="auto"/>
              <w:ind w:left="113" w:right="324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8月15日</w:t>
            </w:r>
          </w:p>
        </w:tc>
        <w:tc>
          <w:tcPr>
            <w:tcW w:w="1619" w:type="dxa"/>
            <w:vAlign w:val="center"/>
          </w:tcPr>
          <w:p w14:paraId="0DD634C1">
            <w:pPr>
              <w:pStyle w:val="27"/>
              <w:spacing w:before="115" w:line="264" w:lineRule="exact"/>
              <w:ind w:left="181"/>
            </w:pPr>
            <w:r>
              <w:rPr>
                <w:spacing w:val="5"/>
                <w:position w:val="1"/>
              </w:rPr>
              <w:t>9：00—9：30</w:t>
            </w:r>
          </w:p>
        </w:tc>
        <w:tc>
          <w:tcPr>
            <w:tcW w:w="5759" w:type="dxa"/>
            <w:gridSpan w:val="2"/>
          </w:tcPr>
          <w:p w14:paraId="6C9EC717">
            <w:pPr>
              <w:pStyle w:val="27"/>
              <w:spacing w:before="115" w:line="227" w:lineRule="auto"/>
              <w:ind w:left="1822"/>
            </w:pPr>
            <w:r>
              <w:rPr>
                <w:spacing w:val="7"/>
              </w:rPr>
              <w:t>首次会议（公司会议室）</w:t>
            </w:r>
          </w:p>
        </w:tc>
        <w:tc>
          <w:tcPr>
            <w:tcW w:w="1442" w:type="dxa"/>
          </w:tcPr>
          <w:p w14:paraId="621B72CF">
            <w:pPr>
              <w:pStyle w:val="27"/>
              <w:spacing w:before="115" w:line="229" w:lineRule="auto"/>
              <w:ind w:left="321"/>
            </w:pPr>
            <w:r>
              <w:t>全体</w:t>
            </w:r>
          </w:p>
        </w:tc>
      </w:tr>
      <w:tr w14:paraId="6354045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1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</w:tcPr>
          <w:p w14:paraId="555727C7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3515F0AD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015C9C05">
            <w:pPr>
              <w:pStyle w:val="27"/>
              <w:spacing w:before="65" w:line="228" w:lineRule="auto"/>
              <w:ind w:left="410"/>
              <w:rPr>
                <w:spacing w:val="5"/>
              </w:rPr>
            </w:pPr>
            <w:r>
              <w:rPr>
                <w:rFonts w:hint="eastAsia"/>
                <w:spacing w:val="5"/>
                <w:lang w:val="en-US" w:eastAsia="zh-CN"/>
              </w:rPr>
              <w:t>人力</w:t>
            </w:r>
            <w:r>
              <w:rPr>
                <w:spacing w:val="5"/>
              </w:rPr>
              <w:t>部</w:t>
            </w:r>
          </w:p>
          <w:p w14:paraId="3217241D">
            <w:pPr>
              <w:pStyle w:val="27"/>
              <w:spacing w:before="65" w:line="228" w:lineRule="auto"/>
              <w:ind w:left="410"/>
              <w:rPr>
                <w:rFonts w:hint="eastAsia" w:eastAsia="宋体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运维部</w:t>
            </w:r>
          </w:p>
        </w:tc>
        <w:tc>
          <w:tcPr>
            <w:tcW w:w="4066" w:type="dxa"/>
            <w:vAlign w:val="center"/>
          </w:tcPr>
          <w:p w14:paraId="59EE8619">
            <w:pPr>
              <w:pStyle w:val="27"/>
              <w:spacing w:before="65" w:line="289" w:lineRule="auto"/>
              <w:ind w:left="112" w:right="102" w:firstLine="3"/>
            </w:pPr>
            <w:r>
              <w:rPr>
                <w:spacing w:val="5"/>
              </w:rPr>
              <w:t>7.3.1 人员能力策划、7.3.2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岗位结构、7.3</w:t>
            </w:r>
            <w:r>
              <w:rPr>
                <w:spacing w:val="4"/>
              </w:rPr>
              <w:t>.3</w:t>
            </w:r>
            <w:r>
              <w:rPr>
                <w:spacing w:val="7"/>
              </w:rPr>
              <w:t>人员储备、7.3.4 人员培训、7.3.5 绩效管理</w:t>
            </w:r>
          </w:p>
        </w:tc>
        <w:tc>
          <w:tcPr>
            <w:tcW w:w="1442" w:type="dxa"/>
            <w:vAlign w:val="center"/>
          </w:tcPr>
          <w:p w14:paraId="1005489E">
            <w:pPr>
              <w:pStyle w:val="27"/>
              <w:spacing w:before="65" w:line="228" w:lineRule="auto"/>
              <w:ind w:left="32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孙文</w:t>
            </w:r>
          </w:p>
        </w:tc>
      </w:tr>
      <w:tr w14:paraId="2E591E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</w:tcPr>
          <w:p w14:paraId="4FDE652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2680329B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449D655D">
            <w:pPr>
              <w:pStyle w:val="27"/>
              <w:spacing w:before="65" w:line="289" w:lineRule="auto"/>
              <w:ind w:left="112" w:right="110" w:firstLine="2"/>
              <w:rPr>
                <w:rFonts w:hint="eastAsia"/>
                <w:spacing w:val="1"/>
                <w:lang w:val="en-US" w:eastAsia="zh-CN"/>
              </w:rPr>
            </w:pPr>
            <w:r>
              <w:rPr>
                <w:spacing w:val="1"/>
              </w:rPr>
              <w:t>管理层、</w:t>
            </w:r>
            <w:r>
              <w:rPr>
                <w:rFonts w:hint="eastAsia"/>
                <w:spacing w:val="1"/>
                <w:lang w:val="en-US" w:eastAsia="zh-CN"/>
              </w:rPr>
              <w:t>质量部</w:t>
            </w:r>
          </w:p>
          <w:p w14:paraId="418C4018">
            <w:pPr>
              <w:pStyle w:val="27"/>
              <w:spacing w:before="65" w:line="289" w:lineRule="auto"/>
              <w:ind w:left="112" w:right="110" w:firstLine="2"/>
              <w:rPr>
                <w:rFonts w:hint="default"/>
                <w:spacing w:val="1"/>
                <w:lang w:val="en-US" w:eastAsia="zh-CN"/>
              </w:rPr>
            </w:pPr>
            <w:r>
              <w:rPr>
                <w:rFonts w:hint="eastAsia"/>
                <w:spacing w:val="1"/>
                <w:lang w:val="en-US" w:eastAsia="zh-CN"/>
              </w:rPr>
              <w:t>运维部</w:t>
            </w:r>
          </w:p>
        </w:tc>
        <w:tc>
          <w:tcPr>
            <w:tcW w:w="4066" w:type="dxa"/>
            <w:vAlign w:val="center"/>
          </w:tcPr>
          <w:p w14:paraId="27AA43F9">
            <w:pPr>
              <w:pStyle w:val="27"/>
              <w:spacing w:before="107" w:line="258" w:lineRule="auto"/>
              <w:ind w:left="110" w:right="108" w:firstLine="5"/>
            </w:pPr>
            <w:r>
              <w:rPr>
                <w:spacing w:val="4"/>
              </w:rPr>
              <w:t>7.1.1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能力策划、7.1.2</w:t>
            </w:r>
            <w:r>
              <w:rPr>
                <w:spacing w:val="-30"/>
              </w:rPr>
              <w:t xml:space="preserve"> </w:t>
            </w:r>
            <w:r>
              <w:rPr>
                <w:spacing w:val="4"/>
              </w:rPr>
              <w:t>能力实施、7.1.3 能力</w:t>
            </w:r>
            <w:r>
              <w:rPr>
                <w:spacing w:val="6"/>
              </w:rPr>
              <w:t>检查、7.1.4 能力改进</w:t>
            </w:r>
          </w:p>
          <w:p w14:paraId="031B2D16">
            <w:pPr>
              <w:pStyle w:val="27"/>
              <w:spacing w:before="65" w:line="258" w:lineRule="auto"/>
              <w:ind w:left="110" w:right="189" w:firstLine="5"/>
            </w:pPr>
            <w:r>
              <w:rPr>
                <w:spacing w:val="6"/>
              </w:rPr>
              <w:t>7.2.1 质量策划、7.2.2 质量评测、7.2.3 质量改进</w:t>
            </w:r>
          </w:p>
        </w:tc>
        <w:tc>
          <w:tcPr>
            <w:tcW w:w="1442" w:type="dxa"/>
            <w:vAlign w:val="center"/>
          </w:tcPr>
          <w:p w14:paraId="5CEDA52D">
            <w:pPr>
              <w:pStyle w:val="27"/>
              <w:spacing w:before="65" w:line="228" w:lineRule="auto"/>
              <w:ind w:left="32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田力</w:t>
            </w:r>
          </w:p>
        </w:tc>
      </w:tr>
      <w:tr w14:paraId="00C921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859" w:type="dxa"/>
            <w:vMerge w:val="continue"/>
            <w:tcBorders>
              <w:top w:val="nil"/>
            </w:tcBorders>
          </w:tcPr>
          <w:p w14:paraId="38C6C05C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5E7AC090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53EA4A6B">
            <w:pPr>
              <w:pStyle w:val="27"/>
              <w:spacing w:before="65" w:line="228" w:lineRule="auto"/>
              <w:ind w:left="408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研发部</w:t>
            </w:r>
          </w:p>
        </w:tc>
        <w:tc>
          <w:tcPr>
            <w:tcW w:w="4066" w:type="dxa"/>
            <w:vAlign w:val="center"/>
          </w:tcPr>
          <w:p w14:paraId="00580EA1">
            <w:pPr>
              <w:pStyle w:val="27"/>
              <w:spacing w:before="305" w:line="289" w:lineRule="auto"/>
              <w:ind w:left="112" w:right="189" w:firstLine="3"/>
            </w:pPr>
            <w:r>
              <w:rPr>
                <w:spacing w:val="6"/>
              </w:rPr>
              <w:t>7.5.1 技术管理、7.5.2 技术研发、7.5.3 技术应用</w:t>
            </w:r>
          </w:p>
        </w:tc>
        <w:tc>
          <w:tcPr>
            <w:tcW w:w="1442" w:type="dxa"/>
            <w:vAlign w:val="center"/>
          </w:tcPr>
          <w:p w14:paraId="71AE4FA7">
            <w:pPr>
              <w:pStyle w:val="27"/>
              <w:spacing w:before="65" w:line="228" w:lineRule="auto"/>
              <w:ind w:left="323"/>
            </w:pPr>
            <w:r>
              <w:t>孙文</w:t>
            </w:r>
          </w:p>
        </w:tc>
      </w:tr>
      <w:tr w14:paraId="4C8CB0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859" w:type="dxa"/>
            <w:vMerge w:val="restart"/>
            <w:tcBorders>
              <w:bottom w:val="nil"/>
            </w:tcBorders>
            <w:textDirection w:val="tbLrV"/>
          </w:tcPr>
          <w:p w14:paraId="6BC55F09">
            <w:pPr>
              <w:pStyle w:val="27"/>
              <w:spacing w:before="65" w:line="290" w:lineRule="auto"/>
              <w:ind w:left="331" w:right="324" w:hanging="3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8月16日</w:t>
            </w:r>
          </w:p>
        </w:tc>
        <w:tc>
          <w:tcPr>
            <w:tcW w:w="1619" w:type="dxa"/>
            <w:vAlign w:val="center"/>
          </w:tcPr>
          <w:p w14:paraId="49CF81EB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vAlign w:val="center"/>
          </w:tcPr>
          <w:p w14:paraId="3DA55881">
            <w:pPr>
              <w:pStyle w:val="27"/>
              <w:spacing w:before="65" w:line="228" w:lineRule="auto"/>
              <w:ind w:left="407"/>
            </w:pPr>
            <w:r>
              <w:rPr>
                <w:spacing w:val="6"/>
              </w:rPr>
              <w:t>运维部</w:t>
            </w:r>
          </w:p>
        </w:tc>
        <w:tc>
          <w:tcPr>
            <w:tcW w:w="4066" w:type="dxa"/>
            <w:vAlign w:val="center"/>
          </w:tcPr>
          <w:p w14:paraId="6C8528D4">
            <w:pPr>
              <w:pStyle w:val="27"/>
              <w:spacing w:before="65" w:line="289" w:lineRule="auto"/>
              <w:ind w:left="114" w:right="105" w:firstLine="1"/>
            </w:pPr>
            <w:r>
              <w:rPr>
                <w:spacing w:val="2"/>
              </w:rPr>
              <w:t>7.6.1 运行维护工具、7.6.2 服务台、7.6.</w:t>
            </w:r>
            <w:r>
              <w:rPr>
                <w:rFonts w:hint="eastAsia"/>
                <w:spacing w:val="2"/>
                <w:lang w:val="en-US" w:eastAsia="zh-CN"/>
              </w:rPr>
              <w:t>3 备件库</w:t>
            </w:r>
            <w:r>
              <w:rPr>
                <w:rFonts w:hint="eastAsia"/>
                <w:spacing w:val="2"/>
                <w:lang w:eastAsia="zh-CN"/>
              </w:rPr>
              <w:t>、</w:t>
            </w:r>
            <w:r>
              <w:rPr>
                <w:spacing w:val="2"/>
              </w:rPr>
              <w:t>7.6</w:t>
            </w:r>
            <w:r>
              <w:rPr>
                <w:spacing w:val="1"/>
              </w:rPr>
              <w:t>.4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最</w:t>
            </w:r>
            <w:r>
              <w:rPr>
                <w:spacing w:val="7"/>
              </w:rPr>
              <w:t>终软件库、7.6.5 服务数据、7.6.6 服务知识</w:t>
            </w:r>
          </w:p>
        </w:tc>
        <w:tc>
          <w:tcPr>
            <w:tcW w:w="1442" w:type="dxa"/>
            <w:vAlign w:val="center"/>
          </w:tcPr>
          <w:p w14:paraId="46EC2B9D">
            <w:pPr>
              <w:pStyle w:val="27"/>
              <w:spacing w:before="65" w:line="228" w:lineRule="auto"/>
              <w:ind w:left="325"/>
            </w:pPr>
            <w:r>
              <w:t>孙文</w:t>
            </w:r>
          </w:p>
        </w:tc>
      </w:tr>
      <w:tr w14:paraId="3A211E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</w:tcPr>
          <w:p w14:paraId="7E4A43A4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tcBorders>
              <w:bottom w:val="single" w:color="auto" w:sz="4" w:space="0"/>
            </w:tcBorders>
            <w:vAlign w:val="center"/>
          </w:tcPr>
          <w:p w14:paraId="40B5C55B">
            <w:pPr>
              <w:pStyle w:val="2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tcBorders>
              <w:bottom w:val="single" w:color="auto" w:sz="4" w:space="0"/>
            </w:tcBorders>
            <w:vAlign w:val="center"/>
          </w:tcPr>
          <w:p w14:paraId="0665E4E5">
            <w:pPr>
              <w:pStyle w:val="27"/>
              <w:spacing w:before="65" w:line="228" w:lineRule="auto"/>
              <w:ind w:left="407"/>
              <w:rPr>
                <w:spacing w:val="6"/>
              </w:rPr>
            </w:pPr>
            <w:r>
              <w:rPr>
                <w:spacing w:val="6"/>
              </w:rPr>
              <w:t>运维部</w:t>
            </w:r>
          </w:p>
          <w:p w14:paraId="1C12D461">
            <w:pPr>
              <w:pStyle w:val="27"/>
              <w:spacing w:before="65" w:line="228" w:lineRule="auto"/>
              <w:ind w:left="407"/>
              <w:rPr>
                <w:rFonts w:hint="eastAsia" w:eastAsia="宋体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质量部</w:t>
            </w:r>
          </w:p>
        </w:tc>
        <w:tc>
          <w:tcPr>
            <w:tcW w:w="4066" w:type="dxa"/>
            <w:tcBorders>
              <w:bottom w:val="single" w:color="auto" w:sz="4" w:space="0"/>
            </w:tcBorders>
            <w:vAlign w:val="center"/>
          </w:tcPr>
          <w:p w14:paraId="6A397F39">
            <w:pPr>
              <w:pStyle w:val="27"/>
              <w:spacing w:before="53" w:line="268" w:lineRule="auto"/>
              <w:ind w:left="110" w:right="189" w:firstLine="5"/>
            </w:pPr>
            <w:r>
              <w:rPr>
                <w:spacing w:val="6"/>
              </w:rPr>
              <w:t>7.7.1 交付策划、7.7.2 交付实施、7.7.3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交</w:t>
            </w:r>
            <w:r>
              <w:rPr>
                <w:spacing w:val="7"/>
              </w:rPr>
              <w:t>付检查、7.7.4 交付改进、7.7.5 例行操作、</w:t>
            </w:r>
            <w:r>
              <w:rPr>
                <w:spacing w:val="9"/>
              </w:rPr>
              <w:t xml:space="preserve"> </w:t>
            </w:r>
            <w:r>
              <w:rPr>
                <w:spacing w:val="7"/>
              </w:rPr>
              <w:t>7.7.6 响应支持、7.8.1 应急组织</w:t>
            </w:r>
            <w:r>
              <w:rPr>
                <w:spacing w:val="6"/>
              </w:rPr>
              <w:t>与制度、</w:t>
            </w:r>
          </w:p>
          <w:p w14:paraId="2C2E812D">
            <w:pPr>
              <w:pStyle w:val="27"/>
              <w:spacing w:before="65" w:line="258" w:lineRule="auto"/>
              <w:ind w:left="116" w:right="189" w:hanging="1"/>
            </w:pPr>
            <w:r>
              <w:rPr>
                <w:spacing w:val="6"/>
              </w:rPr>
              <w:t>7.8.2 应急预案、7.8.3 应急处置、7.8.4 应</w:t>
            </w:r>
            <w:r>
              <w:rPr>
                <w:spacing w:val="7"/>
              </w:rPr>
              <w:t>急总结与改进</w:t>
            </w:r>
          </w:p>
        </w:tc>
        <w:tc>
          <w:tcPr>
            <w:tcW w:w="1442" w:type="dxa"/>
            <w:tcBorders>
              <w:bottom w:val="single" w:color="auto" w:sz="4" w:space="0"/>
            </w:tcBorders>
            <w:vAlign w:val="center"/>
          </w:tcPr>
          <w:p w14:paraId="32F73794">
            <w:pPr>
              <w:pStyle w:val="27"/>
              <w:spacing w:before="65" w:line="228" w:lineRule="auto"/>
              <w:ind w:left="324"/>
            </w:pPr>
            <w:r>
              <w:rPr>
                <w:rFonts w:hint="eastAsia"/>
                <w:lang w:eastAsia="zh-CN"/>
              </w:rPr>
              <w:t>田力</w:t>
            </w:r>
          </w:p>
        </w:tc>
      </w:tr>
      <w:tr w14:paraId="4FED58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</w:tcPr>
          <w:p w14:paraId="64109A0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7C0DEC3C">
            <w:pPr>
              <w:pStyle w:val="27"/>
              <w:spacing w:before="72"/>
              <w:ind w:left="26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693" w:type="dxa"/>
            <w:tcBorders>
              <w:top w:val="single" w:color="auto" w:sz="4" w:space="0"/>
            </w:tcBorders>
            <w:vAlign w:val="center"/>
          </w:tcPr>
          <w:p w14:paraId="65E5CF7F">
            <w:pPr>
              <w:pStyle w:val="27"/>
              <w:spacing w:before="65" w:line="228" w:lineRule="auto"/>
              <w:ind w:left="407"/>
            </w:pPr>
            <w:r>
              <w:rPr>
                <w:spacing w:val="6"/>
              </w:rPr>
              <w:t>运维部</w:t>
            </w:r>
          </w:p>
        </w:tc>
        <w:tc>
          <w:tcPr>
            <w:tcW w:w="4066" w:type="dxa"/>
            <w:tcBorders>
              <w:top w:val="single" w:color="auto" w:sz="4" w:space="0"/>
            </w:tcBorders>
          </w:tcPr>
          <w:p w14:paraId="0C6EF0BE">
            <w:pPr>
              <w:pStyle w:val="27"/>
              <w:spacing w:before="54" w:line="228" w:lineRule="auto"/>
              <w:ind w:left="115"/>
            </w:pPr>
            <w:r>
              <w:rPr>
                <w:spacing w:val="6"/>
              </w:rPr>
              <w:t>7.4.1 过程框架设计、7.4.2 服务级别管理、</w:t>
            </w:r>
          </w:p>
          <w:p w14:paraId="76B53E0C">
            <w:pPr>
              <w:pStyle w:val="27"/>
              <w:spacing w:before="66" w:line="257" w:lineRule="auto"/>
              <w:ind w:left="133" w:right="35" w:hanging="18"/>
            </w:pPr>
            <w:r>
              <w:rPr>
                <w:spacing w:val="6"/>
              </w:rPr>
              <w:t>7.4.3 服务报告管理、7.4.4 事件管理、7.4.5</w:t>
            </w:r>
            <w:r>
              <w:rPr>
                <w:spacing w:val="4"/>
              </w:rPr>
              <w:t>问题管理、7.4.6 变更管理、7.4.7 发布管理、</w:t>
            </w:r>
          </w:p>
          <w:p w14:paraId="384BD269">
            <w:pPr>
              <w:pStyle w:val="27"/>
              <w:spacing w:before="65" w:line="268" w:lineRule="auto"/>
              <w:ind w:left="115" w:right="108"/>
            </w:pPr>
            <w:r>
              <w:rPr>
                <w:spacing w:val="7"/>
              </w:rPr>
              <w:t>7.4.8 配置管理、7.4.9 服务可用性和连续性</w:t>
            </w:r>
            <w:r>
              <w:rPr>
                <w:spacing w:val="4"/>
              </w:rPr>
              <w:t>管理、7.4.10 系统容量管理、7.4.11</w:t>
            </w:r>
            <w:r>
              <w:rPr>
                <w:spacing w:val="-41"/>
              </w:rPr>
              <w:t xml:space="preserve"> </w:t>
            </w:r>
            <w:r>
              <w:rPr>
                <w:spacing w:val="4"/>
              </w:rPr>
              <w:t>信息安全</w:t>
            </w:r>
            <w:r>
              <w:rPr>
                <w:spacing w:val="2"/>
              </w:rPr>
              <w:t>管理</w:t>
            </w:r>
          </w:p>
        </w:tc>
        <w:tc>
          <w:tcPr>
            <w:tcW w:w="1442" w:type="dxa"/>
            <w:tcBorders>
              <w:top w:val="single" w:color="auto" w:sz="4" w:space="0"/>
            </w:tcBorders>
            <w:vAlign w:val="center"/>
          </w:tcPr>
          <w:p w14:paraId="7EEAE050">
            <w:pPr>
              <w:pStyle w:val="27"/>
              <w:spacing w:before="65" w:line="228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王钰轩</w:t>
            </w:r>
          </w:p>
          <w:p w14:paraId="4EA0C386">
            <w:pPr>
              <w:pStyle w:val="27"/>
              <w:spacing w:before="65" w:line="228" w:lineRule="auto"/>
            </w:pPr>
          </w:p>
        </w:tc>
      </w:tr>
      <w:tr w14:paraId="7D7B99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859" w:type="dxa"/>
            <w:vMerge w:val="continue"/>
            <w:tcBorders>
              <w:top w:val="nil"/>
            </w:tcBorders>
          </w:tcPr>
          <w:p w14:paraId="132784AB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center"/>
          </w:tcPr>
          <w:p w14:paraId="793AF06B">
            <w:pPr>
              <w:pStyle w:val="27"/>
              <w:spacing w:before="300" w:line="264" w:lineRule="exact"/>
              <w:ind w:left="124"/>
            </w:pPr>
            <w:r>
              <w:rPr>
                <w:spacing w:val="-2"/>
                <w:position w:val="1"/>
              </w:rPr>
              <w:t>17：00—17：30</w:t>
            </w:r>
          </w:p>
        </w:tc>
        <w:tc>
          <w:tcPr>
            <w:tcW w:w="5759" w:type="dxa"/>
            <w:gridSpan w:val="2"/>
          </w:tcPr>
          <w:p w14:paraId="0D4FBAEF">
            <w:pPr>
              <w:pStyle w:val="27"/>
              <w:spacing w:before="300" w:line="227" w:lineRule="auto"/>
              <w:ind w:left="2249"/>
            </w:pPr>
            <w:r>
              <w:rPr>
                <w:spacing w:val="7"/>
              </w:rPr>
              <w:t>审核组内部会议</w:t>
            </w:r>
          </w:p>
        </w:tc>
        <w:tc>
          <w:tcPr>
            <w:tcW w:w="1442" w:type="dxa"/>
            <w:vAlign w:val="center"/>
          </w:tcPr>
          <w:p w14:paraId="70A4270A">
            <w:pPr>
              <w:pStyle w:val="27"/>
              <w:spacing w:before="300" w:line="229" w:lineRule="auto"/>
              <w:ind w:left="32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</w:tr>
    </w:tbl>
    <w:p w14:paraId="36329652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3" w:name="bookmark3"/>
      <w:bookmarkEnd w:id="13"/>
      <w:bookmarkStart w:id="14" w:name="_Toc17424"/>
      <w:bookmarkStart w:id="15" w:name="_Toc9391"/>
      <w:r>
        <w:rPr>
          <w:rStyle w:val="38"/>
          <w:rFonts w:hint="eastAsia" w:eastAsia="宋体"/>
          <w:lang w:val="en-US" w:eastAsia="zh-CN"/>
        </w:rPr>
        <w:t>附则</w:t>
      </w:r>
      <w:bookmarkEnd w:id="14"/>
      <w:bookmarkEnd w:id="15"/>
    </w:p>
    <w:p w14:paraId="7A2E8760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GB/T 28827.1-2022《信息技术服务  运行维护  第 1 部分：通用要求》；</w:t>
      </w:r>
    </w:p>
    <w:p w14:paraId="219F361D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GB/T 28827.2-2012《信息技术服务 运行维护 第 2 部分:交付规范》；</w:t>
      </w:r>
    </w:p>
    <w:p w14:paraId="604E7AE5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GB/T 28827.3-2012《信息技术服务 运行维护 第 3 部分:应急响应规范》；</w:t>
      </w:r>
    </w:p>
    <w:p w14:paraId="060DFEEA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ITSS运维服务能力管理体系文件；</w:t>
      </w:r>
    </w:p>
    <w:p w14:paraId="44A5E1E4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T/CESA 1299—2023《信息技术服务 运行维护服务能力成熟度模型》；</w:t>
      </w:r>
    </w:p>
    <w:p w14:paraId="5D7E298D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《服务级别协议》；</w:t>
      </w:r>
    </w:p>
    <w:p w14:paraId="02B2EEBE">
      <w:pPr>
        <w:pStyle w:val="39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相关的法律法规要求。</w:t>
      </w:r>
    </w:p>
    <w:p w14:paraId="2C5F694F">
      <w:pPr>
        <w:pStyle w:val="28"/>
        <w:bidi w:val="0"/>
        <w:rPr>
          <w:rFonts w:hint="default"/>
          <w:lang w:val="en-US" w:eastAsia="zh-CN"/>
        </w:rPr>
      </w:pPr>
      <w:bookmarkStart w:id="16" w:name="bookmark14"/>
      <w:bookmarkEnd w:id="16"/>
      <w:bookmarkStart w:id="17" w:name="_Toc13397"/>
      <w:r>
        <w:rPr>
          <w:rFonts w:hint="eastAsia"/>
          <w:lang w:val="en-US" w:eastAsia="zh-CN"/>
        </w:rPr>
        <w:t>附件</w:t>
      </w:r>
      <w:bookmarkEnd w:id="17"/>
    </w:p>
    <w:p w14:paraId="77599637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19" w:name="_GoBack"/>
      <w:bookmarkEnd w:id="19"/>
    </w:p>
    <w:p w14:paraId="02D8D02B">
      <w:pPr>
        <w:pStyle w:val="28"/>
        <w:bidi w:val="0"/>
        <w:rPr>
          <w:rFonts w:hint="eastAsia"/>
          <w:lang w:val="en-US" w:eastAsia="zh-CN"/>
        </w:rPr>
      </w:pPr>
      <w:bookmarkStart w:id="18" w:name="_Toc8177"/>
      <w:r>
        <w:rPr>
          <w:rFonts w:hint="eastAsia"/>
          <w:lang w:val="en-US" w:eastAsia="zh-CN"/>
        </w:rPr>
        <w:t>记录</w:t>
      </w:r>
      <w:bookmarkEnd w:id="18"/>
    </w:p>
    <w:p w14:paraId="5D0C2078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《内部审核不符合报告》</w:t>
      </w:r>
    </w:p>
    <w:p w14:paraId="1E17F50A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《内部审核报告》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36A5E0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82D01F2"/>
    <w:multiLevelType w:val="singleLevel"/>
    <w:tmpl w:val="A82D01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2724DD1"/>
    <w:multiLevelType w:val="singleLevel"/>
    <w:tmpl w:val="E2724D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DF0DB6E"/>
    <w:multiLevelType w:val="singleLevel"/>
    <w:tmpl w:val="7DF0DB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0E331B"/>
    <w:rsid w:val="0BB04180"/>
    <w:rsid w:val="159A3084"/>
    <w:rsid w:val="1D3E15EC"/>
    <w:rsid w:val="24415E66"/>
    <w:rsid w:val="24D57C8A"/>
    <w:rsid w:val="274259C3"/>
    <w:rsid w:val="2AB96756"/>
    <w:rsid w:val="2F3B1D5C"/>
    <w:rsid w:val="379879D5"/>
    <w:rsid w:val="41FF4F3E"/>
    <w:rsid w:val="480768FB"/>
    <w:rsid w:val="4DDB6FC8"/>
    <w:rsid w:val="4E191136"/>
    <w:rsid w:val="509E3B74"/>
    <w:rsid w:val="512F2A1E"/>
    <w:rsid w:val="51F122C0"/>
    <w:rsid w:val="52FD7421"/>
    <w:rsid w:val="54D04518"/>
    <w:rsid w:val="581035A9"/>
    <w:rsid w:val="595D5751"/>
    <w:rsid w:val="60903E10"/>
    <w:rsid w:val="61840B64"/>
    <w:rsid w:val="63100901"/>
    <w:rsid w:val="63220635"/>
    <w:rsid w:val="64835103"/>
    <w:rsid w:val="6FD9651F"/>
    <w:rsid w:val="77B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  <w:style w:type="paragraph" w:styleId="42">
    <w:name w:val="List Paragraph"/>
    <w:basedOn w:val="1"/>
    <w:qFormat/>
    <w:uiPriority w:val="1"/>
    <w:pPr>
      <w:autoSpaceDE w:val="0"/>
      <w:autoSpaceDN w:val="0"/>
      <w:spacing w:before="182"/>
      <w:ind w:left="1078" w:hanging="421"/>
      <w:jc w:val="left"/>
    </w:pPr>
    <w:rPr>
      <w:rFonts w:ascii="宋体" w:hAnsi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1000</Words>
  <Characters>1423</Characters>
  <Lines>0</Lines>
  <Paragraphs>0</Paragraphs>
  <TotalTime>2</TotalTime>
  <ScaleCrop>false</ScaleCrop>
  <LinksUpToDate>false</LinksUpToDate>
  <CharactersWithSpaces>1543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2025-09-18T08:22:23Z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