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98A68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3</w:t>
      </w:r>
    </w:p>
    <w:p w14:paraId="5AA885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DF467E2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515148C">
      <w:pPr>
        <w:pStyle w:val="2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内部审核不符合报告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17FDC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B428803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697789C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  <w:tr w14:paraId="739C3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D4C42A8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C6F2ACF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  <w:tr w14:paraId="78253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6083ECA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5EC72D3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</w:tbl>
    <w:p w14:paraId="03036C94">
      <w:r>
        <w:br w:type="page"/>
      </w:r>
    </w:p>
    <w:p w14:paraId="2F9097A0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3232E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9BE25E0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E9466B2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2D816859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BA11DA4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D6162DF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3604C48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C2252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35A0C78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8.16</w:t>
            </w:r>
          </w:p>
        </w:tc>
        <w:tc>
          <w:tcPr>
            <w:tcW w:w="919" w:type="dxa"/>
          </w:tcPr>
          <w:p w14:paraId="4D46B274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EDFE346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70DD8B1C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1026254479"/>
                <w:lang w:val="en-US" w:eastAsia="zh-CN"/>
              </w:rPr>
              <w:t>孙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1026254479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0802BE5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41ED882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16AFF1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878F71A">
            <w:pPr>
              <w:pStyle w:val="27"/>
            </w:pPr>
          </w:p>
        </w:tc>
        <w:tc>
          <w:tcPr>
            <w:tcW w:w="919" w:type="dxa"/>
          </w:tcPr>
          <w:p w14:paraId="3DD14CE0">
            <w:pPr>
              <w:pStyle w:val="27"/>
            </w:pPr>
          </w:p>
        </w:tc>
        <w:tc>
          <w:tcPr>
            <w:tcW w:w="2289" w:type="dxa"/>
          </w:tcPr>
          <w:p w14:paraId="04248747">
            <w:pPr>
              <w:pStyle w:val="27"/>
            </w:pPr>
          </w:p>
        </w:tc>
        <w:tc>
          <w:tcPr>
            <w:tcW w:w="1148" w:type="dxa"/>
          </w:tcPr>
          <w:p w14:paraId="302D7072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4BB5C793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4CEABC39">
            <w:pPr>
              <w:pStyle w:val="27"/>
            </w:pPr>
          </w:p>
        </w:tc>
      </w:tr>
      <w:tr w14:paraId="2FC089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9ACB004">
            <w:pPr>
              <w:pStyle w:val="27"/>
            </w:pPr>
          </w:p>
        </w:tc>
        <w:tc>
          <w:tcPr>
            <w:tcW w:w="919" w:type="dxa"/>
          </w:tcPr>
          <w:p w14:paraId="3C03228F">
            <w:pPr>
              <w:pStyle w:val="27"/>
            </w:pPr>
          </w:p>
        </w:tc>
        <w:tc>
          <w:tcPr>
            <w:tcW w:w="2289" w:type="dxa"/>
          </w:tcPr>
          <w:p w14:paraId="423F022F">
            <w:pPr>
              <w:pStyle w:val="27"/>
            </w:pPr>
          </w:p>
        </w:tc>
        <w:tc>
          <w:tcPr>
            <w:tcW w:w="1148" w:type="dxa"/>
          </w:tcPr>
          <w:p w14:paraId="32A62B71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7D16BEE1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C2EE4C0">
            <w:pPr>
              <w:pStyle w:val="27"/>
            </w:pPr>
          </w:p>
        </w:tc>
      </w:tr>
      <w:tr w14:paraId="5E3BA2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4B1AAD68">
            <w:pPr>
              <w:pStyle w:val="27"/>
            </w:pPr>
          </w:p>
        </w:tc>
        <w:tc>
          <w:tcPr>
            <w:tcW w:w="919" w:type="dxa"/>
          </w:tcPr>
          <w:p w14:paraId="35942CF3">
            <w:pPr>
              <w:pStyle w:val="27"/>
            </w:pPr>
          </w:p>
        </w:tc>
        <w:tc>
          <w:tcPr>
            <w:tcW w:w="2289" w:type="dxa"/>
          </w:tcPr>
          <w:p w14:paraId="3A6C688D">
            <w:pPr>
              <w:pStyle w:val="27"/>
            </w:pPr>
          </w:p>
        </w:tc>
        <w:tc>
          <w:tcPr>
            <w:tcW w:w="1148" w:type="dxa"/>
          </w:tcPr>
          <w:p w14:paraId="6576A46D">
            <w:pPr>
              <w:pStyle w:val="27"/>
            </w:pPr>
          </w:p>
        </w:tc>
        <w:tc>
          <w:tcPr>
            <w:tcW w:w="1150" w:type="dxa"/>
          </w:tcPr>
          <w:p w14:paraId="044B0A18">
            <w:pPr>
              <w:pStyle w:val="27"/>
            </w:pPr>
          </w:p>
        </w:tc>
        <w:tc>
          <w:tcPr>
            <w:tcW w:w="1240" w:type="dxa"/>
          </w:tcPr>
          <w:p w14:paraId="7656F347">
            <w:pPr>
              <w:pStyle w:val="27"/>
            </w:pPr>
          </w:p>
        </w:tc>
      </w:tr>
      <w:tr w14:paraId="483699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B1FEBCC">
            <w:pPr>
              <w:pStyle w:val="27"/>
            </w:pPr>
          </w:p>
        </w:tc>
        <w:tc>
          <w:tcPr>
            <w:tcW w:w="919" w:type="dxa"/>
          </w:tcPr>
          <w:p w14:paraId="38D4D018">
            <w:pPr>
              <w:pStyle w:val="27"/>
            </w:pPr>
          </w:p>
        </w:tc>
        <w:tc>
          <w:tcPr>
            <w:tcW w:w="2289" w:type="dxa"/>
          </w:tcPr>
          <w:p w14:paraId="376A4E19">
            <w:pPr>
              <w:pStyle w:val="27"/>
            </w:pPr>
          </w:p>
        </w:tc>
        <w:tc>
          <w:tcPr>
            <w:tcW w:w="1148" w:type="dxa"/>
          </w:tcPr>
          <w:p w14:paraId="2B93C481">
            <w:pPr>
              <w:pStyle w:val="27"/>
            </w:pPr>
          </w:p>
        </w:tc>
        <w:tc>
          <w:tcPr>
            <w:tcW w:w="1150" w:type="dxa"/>
          </w:tcPr>
          <w:p w14:paraId="1BE1DA2D">
            <w:pPr>
              <w:pStyle w:val="27"/>
            </w:pPr>
          </w:p>
        </w:tc>
        <w:tc>
          <w:tcPr>
            <w:tcW w:w="1240" w:type="dxa"/>
          </w:tcPr>
          <w:p w14:paraId="118DD22F">
            <w:pPr>
              <w:pStyle w:val="27"/>
            </w:pPr>
          </w:p>
        </w:tc>
      </w:tr>
      <w:tr w14:paraId="2E4025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848A225">
            <w:pPr>
              <w:pStyle w:val="27"/>
            </w:pPr>
          </w:p>
        </w:tc>
        <w:tc>
          <w:tcPr>
            <w:tcW w:w="919" w:type="dxa"/>
          </w:tcPr>
          <w:p w14:paraId="22472898">
            <w:pPr>
              <w:pStyle w:val="27"/>
            </w:pPr>
          </w:p>
        </w:tc>
        <w:tc>
          <w:tcPr>
            <w:tcW w:w="2289" w:type="dxa"/>
          </w:tcPr>
          <w:p w14:paraId="6D766E14">
            <w:pPr>
              <w:pStyle w:val="27"/>
            </w:pPr>
          </w:p>
        </w:tc>
        <w:tc>
          <w:tcPr>
            <w:tcW w:w="1148" w:type="dxa"/>
          </w:tcPr>
          <w:p w14:paraId="08C785EA">
            <w:pPr>
              <w:pStyle w:val="27"/>
            </w:pPr>
          </w:p>
        </w:tc>
        <w:tc>
          <w:tcPr>
            <w:tcW w:w="1150" w:type="dxa"/>
          </w:tcPr>
          <w:p w14:paraId="574D85C1">
            <w:pPr>
              <w:pStyle w:val="27"/>
            </w:pPr>
          </w:p>
        </w:tc>
        <w:tc>
          <w:tcPr>
            <w:tcW w:w="1240" w:type="dxa"/>
          </w:tcPr>
          <w:p w14:paraId="40C13F3D">
            <w:pPr>
              <w:pStyle w:val="27"/>
            </w:pPr>
          </w:p>
        </w:tc>
      </w:tr>
    </w:tbl>
    <w:p w14:paraId="231EE0C5">
      <w:r>
        <w:br w:type="page"/>
      </w:r>
    </w:p>
    <w:p w14:paraId="2B96E826">
      <w:pPr>
        <w:spacing w:before="187" w:line="223" w:lineRule="auto"/>
        <w:ind w:left="3192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z w:val="31"/>
          <w:szCs w:val="31"/>
        </w:rPr>
        <w:t>内审不合格报告</w:t>
      </w:r>
    </w:p>
    <w:p w14:paraId="6DA0774C">
      <w:pPr>
        <w:spacing w:line="68" w:lineRule="exact"/>
      </w:pPr>
    </w:p>
    <w:tbl>
      <w:tblPr>
        <w:tblStyle w:val="26"/>
        <w:tblW w:w="85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2708"/>
        <w:gridCol w:w="70"/>
        <w:gridCol w:w="1465"/>
        <w:gridCol w:w="2813"/>
      </w:tblGrid>
      <w:tr w14:paraId="74E562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468" w:type="dxa"/>
          </w:tcPr>
          <w:p w14:paraId="3A2E6697">
            <w:pPr>
              <w:pStyle w:val="27"/>
              <w:spacing w:before="131" w:line="228" w:lineRule="auto"/>
              <w:ind w:left="216"/>
            </w:pPr>
            <w:r>
              <w:rPr>
                <w:b/>
                <w:bCs/>
                <w:spacing w:val="5"/>
              </w:rPr>
              <w:t>受审核部门</w:t>
            </w:r>
          </w:p>
        </w:tc>
        <w:tc>
          <w:tcPr>
            <w:tcW w:w="2778" w:type="dxa"/>
            <w:gridSpan w:val="2"/>
          </w:tcPr>
          <w:p w14:paraId="70AC62D5">
            <w:pPr>
              <w:pStyle w:val="27"/>
              <w:spacing w:before="129" w:line="228" w:lineRule="auto"/>
              <w:ind w:left="1076"/>
            </w:pPr>
            <w:r>
              <w:rPr>
                <w:spacing w:val="6"/>
              </w:rPr>
              <w:t>运维部</w:t>
            </w:r>
          </w:p>
        </w:tc>
        <w:tc>
          <w:tcPr>
            <w:tcW w:w="1465" w:type="dxa"/>
          </w:tcPr>
          <w:p w14:paraId="4862B3B8">
            <w:pPr>
              <w:pStyle w:val="27"/>
              <w:spacing w:before="131" w:line="228" w:lineRule="auto"/>
              <w:ind w:left="314"/>
            </w:pPr>
            <w:r>
              <w:rPr>
                <w:b/>
                <w:bCs/>
                <w:spacing w:val="6"/>
              </w:rPr>
              <w:t>被审核人</w:t>
            </w:r>
          </w:p>
        </w:tc>
        <w:tc>
          <w:tcPr>
            <w:tcW w:w="2813" w:type="dxa"/>
          </w:tcPr>
          <w:p w14:paraId="5E6552CF">
            <w:pPr>
              <w:pStyle w:val="27"/>
              <w:spacing w:before="129" w:line="228" w:lineRule="auto"/>
              <w:ind w:left="110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毛彦超</w:t>
            </w:r>
          </w:p>
        </w:tc>
      </w:tr>
      <w:tr w14:paraId="7BDFC5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68" w:type="dxa"/>
          </w:tcPr>
          <w:p w14:paraId="00EA7E66">
            <w:pPr>
              <w:pStyle w:val="27"/>
              <w:spacing w:before="128" w:line="228" w:lineRule="auto"/>
              <w:ind w:left="433"/>
            </w:pPr>
            <w:r>
              <w:rPr>
                <w:b/>
                <w:bCs/>
                <w:spacing w:val="2"/>
              </w:rPr>
              <w:t>审核员</w:t>
            </w:r>
          </w:p>
        </w:tc>
        <w:tc>
          <w:tcPr>
            <w:tcW w:w="2778" w:type="dxa"/>
            <w:gridSpan w:val="2"/>
          </w:tcPr>
          <w:p w14:paraId="1F6ECFD8">
            <w:pPr>
              <w:pStyle w:val="27"/>
              <w:spacing w:before="125" w:line="228" w:lineRule="auto"/>
              <w:ind w:left="1078"/>
            </w:pPr>
            <w:r>
              <w:t>孙文</w:t>
            </w:r>
          </w:p>
        </w:tc>
        <w:tc>
          <w:tcPr>
            <w:tcW w:w="1465" w:type="dxa"/>
          </w:tcPr>
          <w:p w14:paraId="62AF73CC">
            <w:pPr>
              <w:pStyle w:val="27"/>
              <w:spacing w:before="128" w:line="228" w:lineRule="auto"/>
              <w:ind w:left="325"/>
            </w:pPr>
            <w:r>
              <w:rPr>
                <w:b/>
                <w:bCs/>
                <w:spacing w:val="3"/>
              </w:rPr>
              <w:t>审核日期</w:t>
            </w:r>
          </w:p>
        </w:tc>
        <w:tc>
          <w:tcPr>
            <w:tcW w:w="2813" w:type="dxa"/>
          </w:tcPr>
          <w:p w14:paraId="3655A219">
            <w:pPr>
              <w:pStyle w:val="27"/>
              <w:spacing w:before="125" w:line="268" w:lineRule="exact"/>
              <w:ind w:left="887"/>
              <w:rPr>
                <w:rFonts w:hint="eastAsia" w:eastAsia="宋体"/>
                <w:lang w:val="en-US" w:eastAsia="zh-CN"/>
              </w:rPr>
            </w:pPr>
            <w:r>
              <w:rPr>
                <w:spacing w:val="4"/>
                <w:position w:val="1"/>
              </w:rPr>
              <w:t>2025.0</w:t>
            </w:r>
            <w:r>
              <w:rPr>
                <w:rFonts w:hint="eastAsia"/>
                <w:spacing w:val="4"/>
                <w:position w:val="1"/>
                <w:lang w:val="en-US" w:eastAsia="zh-CN"/>
              </w:rPr>
              <w:t>8</w:t>
            </w:r>
            <w:r>
              <w:rPr>
                <w:spacing w:val="4"/>
                <w:position w:val="1"/>
              </w:rPr>
              <w:t>.1</w:t>
            </w:r>
            <w:r>
              <w:rPr>
                <w:rFonts w:hint="eastAsia"/>
                <w:spacing w:val="4"/>
                <w:position w:val="1"/>
                <w:lang w:val="en-US" w:eastAsia="zh-CN"/>
              </w:rPr>
              <w:t>6</w:t>
            </w:r>
          </w:p>
        </w:tc>
      </w:tr>
      <w:tr w14:paraId="475C7F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8524" w:type="dxa"/>
            <w:gridSpan w:val="5"/>
          </w:tcPr>
          <w:p w14:paraId="0471E003">
            <w:pPr>
              <w:pStyle w:val="27"/>
              <w:spacing w:before="48" w:line="228" w:lineRule="auto"/>
              <w:ind w:left="119"/>
            </w:pPr>
            <w:r>
              <w:rPr>
                <w:b/>
                <w:bCs/>
                <w:spacing w:val="5"/>
              </w:rPr>
              <w:t>不合格事实描述：</w:t>
            </w:r>
          </w:p>
          <w:p w14:paraId="1A36990B">
            <w:pPr>
              <w:spacing w:line="310" w:lineRule="auto"/>
              <w:rPr>
                <w:rFonts w:ascii="Arial"/>
                <w:sz w:val="21"/>
              </w:rPr>
            </w:pPr>
          </w:p>
          <w:p w14:paraId="3FB42286">
            <w:pPr>
              <w:pStyle w:val="27"/>
              <w:spacing w:before="65" w:line="226" w:lineRule="auto"/>
              <w:ind w:left="435"/>
            </w:pPr>
            <w:r>
              <w:rPr>
                <w:spacing w:val="9"/>
              </w:rPr>
              <w:t>查看并访谈运维服务负责人，未见运维工具效果的自评估记录信息。</w:t>
            </w:r>
          </w:p>
        </w:tc>
      </w:tr>
      <w:tr w14:paraId="02008B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524" w:type="dxa"/>
            <w:gridSpan w:val="5"/>
          </w:tcPr>
          <w:p w14:paraId="3C0B75F7">
            <w:pPr>
              <w:pStyle w:val="27"/>
              <w:spacing w:before="128" w:line="370" w:lineRule="auto"/>
              <w:ind w:left="115" w:right="106" w:firstLine="4"/>
            </w:pPr>
            <w:r>
              <w:rPr>
                <w:b/>
                <w:bCs/>
                <w:spacing w:val="8"/>
              </w:rPr>
              <w:t>不合格标准：</w:t>
            </w:r>
            <w:r>
              <w:rPr>
                <w:spacing w:val="8"/>
              </w:rPr>
              <w:t>T/</w:t>
            </w:r>
            <w:r>
              <w:t>CESA</w:t>
            </w:r>
            <w:r>
              <w:rPr>
                <w:spacing w:val="8"/>
              </w:rPr>
              <w:t xml:space="preserve"> 1299—2023  7.6</w:t>
            </w:r>
            <w:r>
              <w:rPr>
                <w:spacing w:val="7"/>
              </w:rPr>
              <w:t>.1 运行维护工具 c)</w:t>
            </w:r>
            <w:r>
              <w:rPr>
                <w:spacing w:val="20"/>
              </w:rPr>
              <w:t xml:space="preserve"> </w:t>
            </w:r>
            <w:r>
              <w:rPr>
                <w:spacing w:val="7"/>
              </w:rPr>
              <w:t>定期对运维工具使用效果进行</w:t>
            </w:r>
            <w:r>
              <w:rPr>
                <w:spacing w:val="8"/>
              </w:rPr>
              <w:t>评估，形成评估报告。</w:t>
            </w:r>
          </w:p>
        </w:tc>
      </w:tr>
      <w:tr w14:paraId="79175A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524" w:type="dxa"/>
            <w:gridSpan w:val="5"/>
          </w:tcPr>
          <w:p w14:paraId="6EFE7620">
            <w:pPr>
              <w:pStyle w:val="27"/>
              <w:spacing w:before="129" w:line="228" w:lineRule="auto"/>
              <w:ind w:left="119"/>
            </w:pPr>
            <w:r>
              <w:rPr>
                <w:b/>
                <w:bCs/>
                <w:spacing w:val="3"/>
              </w:rPr>
              <w:t>不合格类型：</w:t>
            </w:r>
            <w:r>
              <w:rPr>
                <w:spacing w:val="27"/>
              </w:rPr>
              <w:t xml:space="preserve">  </w:t>
            </w:r>
            <w:r>
              <w:rPr>
                <w:b/>
                <w:bCs/>
                <w:spacing w:val="3"/>
              </w:rPr>
              <w:t>□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A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（严重）</w:t>
            </w:r>
            <w:r>
              <w:rPr>
                <w:spacing w:val="7"/>
              </w:rPr>
              <w:t xml:space="preserve">             </w:t>
            </w:r>
            <w:r>
              <w:drawing>
                <wp:inline distT="0" distB="0" distL="0" distR="0">
                  <wp:extent cx="106680" cy="102235"/>
                  <wp:effectExtent l="0" t="0" r="0" b="4445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00" cy="10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8"/>
              </w:rPr>
              <w:t xml:space="preserve"> </w:t>
            </w:r>
            <w:r>
              <w:rPr>
                <w:b/>
                <w:bCs/>
                <w:spacing w:val="3"/>
              </w:rPr>
              <w:t>B（一般）</w:t>
            </w:r>
            <w:r>
              <w:rPr>
                <w:spacing w:val="10"/>
              </w:rPr>
              <w:t xml:space="preserve">         </w:t>
            </w:r>
            <w:r>
              <w:rPr>
                <w:b/>
                <w:bCs/>
                <w:spacing w:val="3"/>
              </w:rPr>
              <w:t>□</w:t>
            </w:r>
            <w:r>
              <w:rPr>
                <w:b/>
                <w:bCs/>
                <w:spacing w:val="2"/>
              </w:rPr>
              <w:t>C（观察）</w:t>
            </w:r>
          </w:p>
        </w:tc>
      </w:tr>
      <w:tr w14:paraId="3DDDD4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176" w:type="dxa"/>
            <w:gridSpan w:val="2"/>
          </w:tcPr>
          <w:p w14:paraId="449EE4A0">
            <w:pPr>
              <w:pStyle w:val="27"/>
              <w:spacing w:before="130" w:line="228" w:lineRule="auto"/>
              <w:ind w:left="126"/>
            </w:pPr>
            <w:r>
              <w:rPr>
                <w:b/>
                <w:bCs/>
                <w:spacing w:val="6"/>
              </w:rPr>
              <w:t>审核员：</w:t>
            </w:r>
            <w:r>
              <w:t>孙文</w:t>
            </w:r>
          </w:p>
        </w:tc>
        <w:tc>
          <w:tcPr>
            <w:tcW w:w="4348" w:type="dxa"/>
            <w:gridSpan w:val="3"/>
          </w:tcPr>
          <w:p w14:paraId="0E0A48C6">
            <w:pPr>
              <w:pStyle w:val="27"/>
              <w:spacing w:before="129" w:line="228" w:lineRule="auto"/>
              <w:ind w:left="113"/>
            </w:pPr>
            <w:r>
              <w:rPr>
                <w:b/>
                <w:bCs/>
                <w:spacing w:val="8"/>
              </w:rPr>
              <w:t>部门负责人确认：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</w:p>
        </w:tc>
      </w:tr>
      <w:tr w14:paraId="071AFC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7" w:hRule="atLeast"/>
        </w:trPr>
        <w:tc>
          <w:tcPr>
            <w:tcW w:w="8524" w:type="dxa"/>
            <w:gridSpan w:val="5"/>
          </w:tcPr>
          <w:p w14:paraId="482D42CD">
            <w:pPr>
              <w:pStyle w:val="27"/>
              <w:spacing w:before="129" w:line="228" w:lineRule="auto"/>
              <w:ind w:left="119"/>
            </w:pPr>
            <w:r>
              <w:rPr>
                <w:b/>
                <w:bCs/>
                <w:spacing w:val="5"/>
              </w:rPr>
              <w:t>不符合原因分析：</w:t>
            </w:r>
          </w:p>
          <w:p w14:paraId="769A8BEF">
            <w:pPr>
              <w:pStyle w:val="27"/>
              <w:spacing w:before="141" w:line="228" w:lineRule="auto"/>
              <w:ind w:left="340"/>
            </w:pPr>
            <w:r>
              <w:rPr>
                <w:spacing w:val="6"/>
              </w:rPr>
              <w:t>1.相关人员对</w:t>
            </w:r>
            <w:r>
              <w:rPr>
                <w:spacing w:val="-25"/>
              </w:rPr>
              <w:t xml:space="preserve"> </w:t>
            </w:r>
            <w:r>
              <w:rPr>
                <w:spacing w:val="6"/>
              </w:rPr>
              <w:t>T/</w:t>
            </w:r>
            <w:r>
              <w:t>CESA</w:t>
            </w:r>
            <w:r>
              <w:rPr>
                <w:spacing w:val="6"/>
              </w:rPr>
              <w:t xml:space="preserve"> 1299—2023  7.6.1  运维工具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c)条款内容理解不够。</w:t>
            </w:r>
          </w:p>
          <w:p w14:paraId="3D45C415">
            <w:pPr>
              <w:pStyle w:val="27"/>
              <w:spacing w:before="65" w:line="226" w:lineRule="auto"/>
              <w:ind w:left="327"/>
            </w:pPr>
            <w:r>
              <w:rPr>
                <w:spacing w:val="8"/>
              </w:rPr>
              <w:t>2.没有编制《运维工具使用效果自评估报告》的模板。</w:t>
            </w:r>
          </w:p>
          <w:p w14:paraId="01D4173B">
            <w:pPr>
              <w:pStyle w:val="27"/>
              <w:spacing w:before="146" w:line="228" w:lineRule="auto"/>
              <w:ind w:left="4107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r>
              <w:rPr>
                <w:spacing w:val="6"/>
              </w:rPr>
              <w:t xml:space="preserve">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</w:t>
            </w:r>
            <w:r>
              <w:rPr>
                <w:rFonts w:hint="eastAsia"/>
                <w:spacing w:val="6"/>
                <w:lang w:val="en-US" w:eastAsia="zh-CN"/>
              </w:rPr>
              <w:t>6</w:t>
            </w:r>
          </w:p>
        </w:tc>
      </w:tr>
      <w:tr w14:paraId="065191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9" w:hRule="atLeast"/>
        </w:trPr>
        <w:tc>
          <w:tcPr>
            <w:tcW w:w="8524" w:type="dxa"/>
            <w:gridSpan w:val="5"/>
          </w:tcPr>
          <w:p w14:paraId="7EBDA3CD">
            <w:pPr>
              <w:pStyle w:val="27"/>
              <w:spacing w:before="130" w:line="228" w:lineRule="auto"/>
              <w:ind w:left="115"/>
            </w:pPr>
            <w:r>
              <w:rPr>
                <w:b/>
                <w:bCs/>
                <w:spacing w:val="6"/>
              </w:rPr>
              <w:t>对不符合的处置：</w:t>
            </w:r>
          </w:p>
          <w:p w14:paraId="09B5210E">
            <w:pPr>
              <w:pStyle w:val="27"/>
              <w:spacing w:before="202" w:line="226" w:lineRule="auto"/>
              <w:ind w:left="324"/>
            </w:pPr>
            <w:r>
              <w:rPr>
                <w:spacing w:val="7"/>
              </w:rPr>
              <w:t>补充对运维工具的自评估记录，见《运维工具使用效果自评估报告》。</w:t>
            </w:r>
          </w:p>
          <w:p w14:paraId="146CF340">
            <w:pPr>
              <w:pStyle w:val="27"/>
              <w:spacing w:before="133" w:line="228" w:lineRule="auto"/>
              <w:ind w:left="4107"/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r>
              <w:rPr>
                <w:spacing w:val="6"/>
              </w:rPr>
              <w:t xml:space="preserve">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.16</w:t>
            </w:r>
          </w:p>
        </w:tc>
      </w:tr>
      <w:tr w14:paraId="15D014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2" w:hRule="atLeast"/>
        </w:trPr>
        <w:tc>
          <w:tcPr>
            <w:tcW w:w="8524" w:type="dxa"/>
            <w:gridSpan w:val="5"/>
          </w:tcPr>
          <w:p w14:paraId="58A31ABA">
            <w:pPr>
              <w:pStyle w:val="27"/>
              <w:spacing w:before="131" w:line="227" w:lineRule="auto"/>
              <w:ind w:left="115"/>
            </w:pPr>
            <w:r>
              <w:rPr>
                <w:b/>
                <w:bCs/>
                <w:spacing w:val="7"/>
              </w:rPr>
              <w:t>针对原因采取的防止再发生的措施：</w:t>
            </w:r>
          </w:p>
          <w:p w14:paraId="33B54616">
            <w:pPr>
              <w:pStyle w:val="27"/>
              <w:spacing w:before="142" w:line="228" w:lineRule="auto"/>
              <w:ind w:left="131"/>
            </w:pPr>
            <w:r>
              <w:rPr>
                <w:spacing w:val="7"/>
              </w:rPr>
              <w:t>1.对相关人员进行</w:t>
            </w:r>
            <w:r>
              <w:rPr>
                <w:spacing w:val="-39"/>
              </w:rPr>
              <w:t xml:space="preserve"> </w:t>
            </w:r>
            <w:r>
              <w:rPr>
                <w:spacing w:val="7"/>
              </w:rPr>
              <w:t>T/</w:t>
            </w:r>
            <w:r>
              <w:t>CESA</w:t>
            </w:r>
            <w:r>
              <w:rPr>
                <w:spacing w:val="7"/>
              </w:rPr>
              <w:t xml:space="preserve"> 1299—2023  7.6.1  运维工具 c)</w:t>
            </w:r>
            <w:r>
              <w:rPr>
                <w:spacing w:val="6"/>
              </w:rPr>
              <w:t>条款进行再培训学习。</w:t>
            </w:r>
          </w:p>
          <w:p w14:paraId="00747BF3">
            <w:pPr>
              <w:pStyle w:val="27"/>
              <w:spacing w:before="65" w:line="226" w:lineRule="auto"/>
              <w:ind w:right="12"/>
              <w:jc w:val="left"/>
            </w:pPr>
            <w:r>
              <w:rPr>
                <w:spacing w:val="4"/>
              </w:rPr>
              <w:t>2.编制《运维工具使用效果自评估报告》模板</w:t>
            </w:r>
            <w:bookmarkStart w:id="1" w:name="_GoBack"/>
            <w:bookmarkEnd w:id="1"/>
            <w:r>
              <w:rPr>
                <w:spacing w:val="4"/>
              </w:rPr>
              <w:t>，后续对运维工具进行自评估时按此模板填写。</w:t>
            </w:r>
          </w:p>
          <w:p w14:paraId="60CB2A65">
            <w:pPr>
              <w:pStyle w:val="27"/>
              <w:spacing w:before="145" w:line="228" w:lineRule="auto"/>
              <w:ind w:left="120"/>
            </w:pPr>
            <w:r>
              <w:rPr>
                <w:spacing w:val="9"/>
              </w:rPr>
              <w:t>3.后期由管理人员不定期对此项工作进行抽查，杜绝同类事件的再次发</w:t>
            </w:r>
            <w:r>
              <w:rPr>
                <w:spacing w:val="8"/>
              </w:rPr>
              <w:t>生。</w:t>
            </w:r>
          </w:p>
          <w:p w14:paraId="6449F6FA">
            <w:pPr>
              <w:pStyle w:val="27"/>
              <w:spacing w:before="221" w:line="228" w:lineRule="auto"/>
              <w:ind w:left="4124"/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r>
              <w:rPr>
                <w:spacing w:val="6"/>
              </w:rPr>
              <w:t xml:space="preserve">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.16</w:t>
            </w:r>
          </w:p>
        </w:tc>
      </w:tr>
      <w:tr w14:paraId="2CE1A5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8524" w:type="dxa"/>
            <w:gridSpan w:val="5"/>
          </w:tcPr>
          <w:p w14:paraId="4D52382E">
            <w:pPr>
              <w:pStyle w:val="27"/>
              <w:spacing w:before="132" w:line="228" w:lineRule="auto"/>
              <w:ind w:left="120"/>
            </w:pPr>
            <w:r>
              <w:rPr>
                <w:b/>
                <w:bCs/>
                <w:spacing w:val="5"/>
              </w:rPr>
              <w:t>纠正措施的验证：</w:t>
            </w:r>
          </w:p>
          <w:p w14:paraId="5CF86B59">
            <w:pPr>
              <w:pStyle w:val="27"/>
              <w:spacing w:before="220" w:line="228" w:lineRule="auto"/>
              <w:ind w:left="347"/>
            </w:pPr>
            <w:r>
              <w:rPr>
                <w:b/>
                <w:bCs/>
                <w:spacing w:val="-2"/>
              </w:rPr>
              <w:t>已完成</w:t>
            </w:r>
          </w:p>
          <w:p w14:paraId="437216BE">
            <w:pPr>
              <w:spacing w:line="310" w:lineRule="auto"/>
              <w:rPr>
                <w:rFonts w:ascii="Arial"/>
                <w:sz w:val="21"/>
              </w:rPr>
            </w:pPr>
          </w:p>
          <w:p w14:paraId="05117F40">
            <w:pPr>
              <w:spacing w:line="310" w:lineRule="auto"/>
              <w:rPr>
                <w:rFonts w:ascii="Arial"/>
                <w:sz w:val="21"/>
              </w:rPr>
            </w:pPr>
          </w:p>
          <w:p w14:paraId="1B174F4F">
            <w:pPr>
              <w:pStyle w:val="27"/>
              <w:spacing w:before="65" w:line="228" w:lineRule="auto"/>
              <w:ind w:left="4554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5"/>
              </w:rPr>
              <w:t>审核员：</w:t>
            </w:r>
            <w:r>
              <w:rPr>
                <w:rFonts w:hint="eastAsia"/>
                <w:spacing w:val="5"/>
                <w:lang w:val="en-US" w:eastAsia="zh-CN"/>
              </w:rPr>
              <w:t>孙文</w:t>
            </w:r>
            <w:r>
              <w:rPr>
                <w:spacing w:val="5"/>
              </w:rPr>
              <w:t xml:space="preserve"> 2025.0</w:t>
            </w:r>
            <w:r>
              <w:rPr>
                <w:rFonts w:hint="eastAsia"/>
                <w:spacing w:val="5"/>
                <w:lang w:val="en-US" w:eastAsia="zh-CN"/>
              </w:rPr>
              <w:t>8</w:t>
            </w:r>
            <w:r>
              <w:rPr>
                <w:spacing w:val="5"/>
              </w:rPr>
              <w:t>.1</w:t>
            </w:r>
            <w:r>
              <w:rPr>
                <w:rFonts w:hint="eastAsia"/>
                <w:spacing w:val="5"/>
                <w:lang w:val="en-US" w:eastAsia="zh-CN"/>
              </w:rPr>
              <w:t>6</w:t>
            </w:r>
          </w:p>
        </w:tc>
      </w:tr>
    </w:tbl>
    <w:p w14:paraId="40549353">
      <w:pPr>
        <w:bidi w:val="0"/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-SA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E0083F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1197F4E"/>
    <w:rsid w:val="419454A4"/>
    <w:rsid w:val="512B3531"/>
    <w:rsid w:val="77F94858"/>
    <w:rsid w:val="7E60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518</Words>
  <Characters>673</Characters>
  <Lines>0</Lines>
  <Paragraphs>0</Paragraphs>
  <TotalTime>2</TotalTime>
  <ScaleCrop>false</ScaleCrop>
  <LinksUpToDate>false</LinksUpToDate>
  <CharactersWithSpaces>727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2025-09-18T12:37:57Z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