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380272">
      <w:pPr>
        <w:pStyle w:val="11"/>
        <w:spacing w:line="252" w:lineRule="auto"/>
      </w:pPr>
    </w:p>
    <w:p w14:paraId="3D778470">
      <w:pPr>
        <w:pStyle w:val="11"/>
        <w:spacing w:line="252" w:lineRule="auto"/>
      </w:pPr>
    </w:p>
    <w:p w14:paraId="676116C2">
      <w:pPr>
        <w:spacing w:before="169" w:line="218" w:lineRule="auto"/>
        <w:jc w:val="center"/>
        <w:outlineLvl w:val="0"/>
        <w:rPr>
          <w:rFonts w:ascii="宋体" w:hAnsi="宋体" w:eastAsia="宋体" w:cs="宋体"/>
          <w:sz w:val="52"/>
          <w:szCs w:val="52"/>
        </w:rPr>
      </w:pPr>
      <w:bookmarkStart w:id="0" w:name="_Toc23989"/>
      <w:r>
        <w:rPr>
          <w:rFonts w:ascii="宋体" w:hAnsi="宋体" w:eastAsia="宋体" w:cs="宋体"/>
          <w:b/>
          <w:bCs/>
          <w:spacing w:val="-18"/>
          <w:sz w:val="52"/>
          <w:szCs w:val="52"/>
        </w:rPr>
        <w:t>内部审核报告</w:t>
      </w:r>
      <w:bookmarkEnd w:id="0"/>
    </w:p>
    <w:p w14:paraId="632E354C">
      <w:pPr>
        <w:pStyle w:val="11"/>
      </w:pPr>
    </w:p>
    <w:p w14:paraId="543FF819">
      <w:pPr>
        <w:pStyle w:val="11"/>
        <w:spacing w:line="241" w:lineRule="auto"/>
      </w:pPr>
    </w:p>
    <w:p w14:paraId="29901CF9">
      <w:pPr>
        <w:pStyle w:val="11"/>
        <w:spacing w:line="241" w:lineRule="auto"/>
      </w:pPr>
    </w:p>
    <w:p w14:paraId="7D7D0121">
      <w:pPr>
        <w:pStyle w:val="11"/>
        <w:spacing w:line="241" w:lineRule="auto"/>
      </w:pPr>
    </w:p>
    <w:p w14:paraId="2E378806">
      <w:pPr>
        <w:pStyle w:val="11"/>
        <w:spacing w:line="241" w:lineRule="auto"/>
      </w:pPr>
    </w:p>
    <w:p w14:paraId="0A274398">
      <w:pPr>
        <w:pStyle w:val="11"/>
        <w:spacing w:line="241" w:lineRule="auto"/>
      </w:pPr>
    </w:p>
    <w:p w14:paraId="63B361FA">
      <w:pPr>
        <w:pStyle w:val="11"/>
        <w:spacing w:line="241" w:lineRule="auto"/>
      </w:pPr>
    </w:p>
    <w:p w14:paraId="33C6FCF7">
      <w:pPr>
        <w:pStyle w:val="11"/>
        <w:spacing w:line="241" w:lineRule="auto"/>
      </w:pPr>
    </w:p>
    <w:p w14:paraId="41317FC2">
      <w:pPr>
        <w:pStyle w:val="11"/>
        <w:spacing w:line="241" w:lineRule="auto"/>
      </w:pPr>
      <w:r>
        <w:rPr>
          <w:rFonts w:hint="eastAsia" w:eastAsia="宋体"/>
          <w:lang w:eastAsia="zh-CN"/>
        </w:rPr>
        <w:drawing>
          <wp:anchor distT="0" distB="0" distL="114300" distR="114300" simplePos="0" relativeHeight="251659264" behindDoc="0" locked="0" layoutInCell="1" allowOverlap="1">
            <wp:simplePos x="0" y="0"/>
            <wp:positionH relativeFrom="column">
              <wp:posOffset>1340485</wp:posOffset>
            </wp:positionH>
            <wp:positionV relativeFrom="paragraph">
              <wp:posOffset>80010</wp:posOffset>
            </wp:positionV>
            <wp:extent cx="2462530" cy="785495"/>
            <wp:effectExtent l="0" t="0" r="6350" b="6985"/>
            <wp:wrapNone/>
            <wp:docPr id="4" name="图片 4" descr="5a762ee5761bed248175e83484c3b6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a762ee5761bed248175e83484c3b6fa"/>
                    <pic:cNvPicPr>
                      <a:picLocks noChangeAspect="1"/>
                    </pic:cNvPicPr>
                  </pic:nvPicPr>
                  <pic:blipFill>
                    <a:blip r:embed="rId7"/>
                    <a:stretch>
                      <a:fillRect/>
                    </a:stretch>
                  </pic:blipFill>
                  <pic:spPr>
                    <a:xfrm>
                      <a:off x="0" y="0"/>
                      <a:ext cx="2462530" cy="785495"/>
                    </a:xfrm>
                    <a:prstGeom prst="rect">
                      <a:avLst/>
                    </a:prstGeom>
                  </pic:spPr>
                </pic:pic>
              </a:graphicData>
            </a:graphic>
          </wp:anchor>
        </w:drawing>
      </w:r>
    </w:p>
    <w:p w14:paraId="7F9B7D98">
      <w:pPr>
        <w:pStyle w:val="11"/>
        <w:spacing w:line="241" w:lineRule="auto"/>
      </w:pPr>
    </w:p>
    <w:p w14:paraId="4D2A938F">
      <w:pPr>
        <w:pStyle w:val="11"/>
        <w:spacing w:line="241" w:lineRule="auto"/>
      </w:pPr>
    </w:p>
    <w:p w14:paraId="4E419FDD">
      <w:pPr>
        <w:pStyle w:val="11"/>
        <w:spacing w:line="241" w:lineRule="auto"/>
      </w:pPr>
    </w:p>
    <w:p w14:paraId="39D5B648">
      <w:pPr>
        <w:pStyle w:val="11"/>
        <w:spacing w:line="241" w:lineRule="auto"/>
      </w:pPr>
    </w:p>
    <w:p w14:paraId="2797BE98">
      <w:pPr>
        <w:spacing w:line="1293" w:lineRule="exact"/>
        <w:ind w:firstLine="2247"/>
      </w:pPr>
    </w:p>
    <w:p w14:paraId="0C92FB9E">
      <w:pPr>
        <w:pStyle w:val="11"/>
        <w:spacing w:line="258" w:lineRule="auto"/>
      </w:pPr>
    </w:p>
    <w:p w14:paraId="73BB2D4E">
      <w:pPr>
        <w:pStyle w:val="11"/>
        <w:spacing w:line="258" w:lineRule="auto"/>
      </w:pPr>
    </w:p>
    <w:p w14:paraId="3A9ED506">
      <w:pPr>
        <w:pStyle w:val="11"/>
        <w:spacing w:line="258" w:lineRule="auto"/>
      </w:pPr>
    </w:p>
    <w:p w14:paraId="0CC93074">
      <w:pPr>
        <w:pStyle w:val="11"/>
        <w:spacing w:line="258" w:lineRule="auto"/>
      </w:pPr>
    </w:p>
    <w:p w14:paraId="675A36B3">
      <w:pPr>
        <w:pStyle w:val="11"/>
        <w:spacing w:line="258" w:lineRule="auto"/>
      </w:pPr>
    </w:p>
    <w:p w14:paraId="52DF8300">
      <w:pPr>
        <w:pStyle w:val="11"/>
        <w:spacing w:line="259" w:lineRule="auto"/>
      </w:pPr>
    </w:p>
    <w:p w14:paraId="18FCDC84">
      <w:pPr>
        <w:pStyle w:val="11"/>
        <w:spacing w:line="259" w:lineRule="auto"/>
      </w:pPr>
    </w:p>
    <w:p w14:paraId="1A2B155B">
      <w:pPr>
        <w:pStyle w:val="11"/>
        <w:spacing w:line="259" w:lineRule="auto"/>
      </w:pPr>
    </w:p>
    <w:p w14:paraId="483145D4">
      <w:pPr>
        <w:pStyle w:val="11"/>
        <w:spacing w:line="259" w:lineRule="auto"/>
      </w:pPr>
    </w:p>
    <w:p w14:paraId="35B4A08D">
      <w:pPr>
        <w:spacing w:before="224" w:line="220" w:lineRule="auto"/>
        <w:jc w:val="center"/>
        <w:rPr>
          <w:rFonts w:hint="eastAsia" w:ascii="宋体" w:hAnsi="宋体" w:eastAsia="宋体" w:cs="宋体"/>
          <w:spacing w:val="-1"/>
          <w:sz w:val="36"/>
          <w:szCs w:val="36"/>
        </w:rPr>
      </w:pPr>
      <w:r>
        <w:rPr>
          <w:rFonts w:hint="eastAsia" w:ascii="宋体" w:hAnsi="宋体" w:eastAsia="宋体" w:cs="宋体"/>
          <w:spacing w:val="-1"/>
          <w:sz w:val="36"/>
          <w:szCs w:val="36"/>
        </w:rPr>
        <w:t>万洲奇智(青岛)信息科技有限公司</w:t>
      </w:r>
    </w:p>
    <w:p w14:paraId="1B9B014D">
      <w:pPr>
        <w:spacing w:before="224" w:line="220" w:lineRule="auto"/>
        <w:jc w:val="center"/>
        <w:rPr>
          <w:rFonts w:ascii="宋体" w:hAnsi="宋体" w:eastAsia="宋体" w:cs="宋体"/>
          <w:sz w:val="36"/>
          <w:szCs w:val="36"/>
        </w:rPr>
      </w:pPr>
      <w:r>
        <w:rPr>
          <w:rFonts w:ascii="宋体" w:hAnsi="宋体" w:eastAsia="宋体" w:cs="宋体"/>
          <w:spacing w:val="-13"/>
          <w:sz w:val="36"/>
          <w:szCs w:val="36"/>
        </w:rPr>
        <w:t>2025年</w:t>
      </w:r>
      <w:r>
        <w:rPr>
          <w:rFonts w:ascii="宋体" w:hAnsi="宋体" w:eastAsia="宋体" w:cs="宋体"/>
          <w:spacing w:val="-65"/>
          <w:sz w:val="36"/>
          <w:szCs w:val="36"/>
        </w:rPr>
        <w:t xml:space="preserve"> </w:t>
      </w:r>
      <w:r>
        <w:rPr>
          <w:rFonts w:hint="eastAsia" w:ascii="宋体" w:hAnsi="宋体" w:eastAsia="宋体" w:cs="宋体"/>
          <w:spacing w:val="-65"/>
          <w:sz w:val="36"/>
          <w:szCs w:val="36"/>
          <w:lang w:val="en-US" w:eastAsia="zh-CN"/>
        </w:rPr>
        <w:t>7</w:t>
      </w:r>
      <w:r>
        <w:rPr>
          <w:rFonts w:ascii="宋体" w:hAnsi="宋体" w:eastAsia="宋体" w:cs="宋体"/>
          <w:spacing w:val="-68"/>
          <w:sz w:val="36"/>
          <w:szCs w:val="36"/>
        </w:rPr>
        <w:t xml:space="preserve"> </w:t>
      </w:r>
      <w:r>
        <w:rPr>
          <w:rFonts w:ascii="宋体" w:hAnsi="宋体" w:eastAsia="宋体" w:cs="宋体"/>
          <w:spacing w:val="-13"/>
          <w:sz w:val="36"/>
          <w:szCs w:val="36"/>
        </w:rPr>
        <w:t>月</w:t>
      </w:r>
      <w:r>
        <w:rPr>
          <w:rFonts w:ascii="宋体" w:hAnsi="宋体" w:eastAsia="宋体" w:cs="宋体"/>
          <w:spacing w:val="-49"/>
          <w:sz w:val="36"/>
          <w:szCs w:val="36"/>
        </w:rPr>
        <w:t xml:space="preserve"> </w:t>
      </w:r>
      <w:r>
        <w:rPr>
          <w:rFonts w:hint="eastAsia" w:ascii="宋体" w:hAnsi="宋体" w:eastAsia="宋体" w:cs="宋体"/>
          <w:spacing w:val="-49"/>
          <w:sz w:val="36"/>
          <w:szCs w:val="36"/>
          <w:lang w:val="en-US" w:eastAsia="zh-CN"/>
        </w:rPr>
        <w:t>28</w:t>
      </w:r>
      <w:r>
        <w:rPr>
          <w:rFonts w:ascii="宋体" w:hAnsi="宋体" w:eastAsia="宋体" w:cs="宋体"/>
          <w:spacing w:val="-13"/>
          <w:sz w:val="36"/>
          <w:szCs w:val="36"/>
        </w:rPr>
        <w:t xml:space="preserve"> 日</w:t>
      </w:r>
    </w:p>
    <w:p w14:paraId="237C0345">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270A7C89">
      <w:pPr>
        <w:pStyle w:val="11"/>
        <w:spacing w:line="363" w:lineRule="auto"/>
      </w:pPr>
    </w:p>
    <w:p w14:paraId="6B21DC96">
      <w:pPr>
        <w:bidi w:val="0"/>
        <w:jc w:val="center"/>
      </w:pPr>
      <w:r>
        <w:t>文档信息</w:t>
      </w:r>
    </w:p>
    <w:p w14:paraId="0D4E122B">
      <w:pPr>
        <w:bidi w:val="0"/>
      </w:pPr>
    </w:p>
    <w:tbl>
      <w:tblPr>
        <w:tblStyle w:val="18"/>
        <w:tblW w:w="915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4"/>
        <w:gridCol w:w="1697"/>
        <w:gridCol w:w="2342"/>
        <w:gridCol w:w="1983"/>
        <w:gridCol w:w="1564"/>
      </w:tblGrid>
      <w:tr w14:paraId="46D2BE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1" w:hRule="atLeast"/>
        </w:trPr>
        <w:tc>
          <w:tcPr>
            <w:tcW w:w="1564" w:type="dxa"/>
            <w:vAlign w:val="top"/>
          </w:tcPr>
          <w:p w14:paraId="3A244E9B">
            <w:pPr>
              <w:pStyle w:val="19"/>
              <w:spacing w:before="125" w:line="325" w:lineRule="auto"/>
              <w:ind w:left="117" w:right="251" w:hanging="3"/>
            </w:pPr>
            <w:r>
              <w:rPr>
                <w:spacing w:val="-3"/>
              </w:rPr>
              <w:t>文档名称编</w:t>
            </w:r>
            <w:r>
              <w:t>号</w:t>
            </w:r>
          </w:p>
        </w:tc>
        <w:tc>
          <w:tcPr>
            <w:tcW w:w="7586" w:type="dxa"/>
            <w:gridSpan w:val="4"/>
            <w:vAlign w:val="top"/>
          </w:tcPr>
          <w:p w14:paraId="19F63FA9">
            <w:pPr>
              <w:spacing w:line="291" w:lineRule="auto"/>
              <w:rPr>
                <w:rFonts w:ascii="Arial"/>
                <w:sz w:val="21"/>
              </w:rPr>
            </w:pPr>
          </w:p>
          <w:p w14:paraId="47ACFCB5">
            <w:pPr>
              <w:pStyle w:val="19"/>
              <w:spacing w:before="78" w:line="218" w:lineRule="auto"/>
              <w:ind w:left="138"/>
            </w:pPr>
            <w:r>
              <w:rPr>
                <w:spacing w:val="-2"/>
              </w:rPr>
              <w:t>内部审核报告（</w:t>
            </w:r>
            <w:r>
              <w:rPr>
                <w:rFonts w:hint="eastAsia"/>
                <w:spacing w:val="-2"/>
                <w:lang w:val="en-US" w:eastAsia="zh-CN"/>
              </w:rPr>
              <w:t>WZQZ</w:t>
            </w:r>
            <w:r>
              <w:rPr>
                <w:spacing w:val="-2"/>
              </w:rPr>
              <w:t>-ITSS-NBSHBG）</w:t>
            </w:r>
          </w:p>
        </w:tc>
      </w:tr>
      <w:tr w14:paraId="21A171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22FF922F">
            <w:pPr>
              <w:pStyle w:val="19"/>
              <w:spacing w:before="182" w:line="220" w:lineRule="auto"/>
              <w:ind w:left="114"/>
            </w:pPr>
            <w:r>
              <w:rPr>
                <w:spacing w:val="-3"/>
              </w:rPr>
              <w:t>编制单位</w:t>
            </w:r>
          </w:p>
        </w:tc>
        <w:tc>
          <w:tcPr>
            <w:tcW w:w="7586" w:type="dxa"/>
            <w:gridSpan w:val="4"/>
            <w:vAlign w:val="top"/>
          </w:tcPr>
          <w:p w14:paraId="03219E05">
            <w:pPr>
              <w:pStyle w:val="19"/>
              <w:spacing w:before="182" w:line="219" w:lineRule="auto"/>
              <w:ind w:left="109"/>
            </w:pPr>
            <w:r>
              <w:rPr>
                <w:spacing w:val="-1"/>
              </w:rPr>
              <w:t>青岛慧海联创信息技术有限公司</w:t>
            </w:r>
          </w:p>
        </w:tc>
      </w:tr>
      <w:tr w14:paraId="27F77A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4958BA5E">
            <w:pPr>
              <w:pStyle w:val="19"/>
              <w:spacing w:before="184" w:line="220" w:lineRule="auto"/>
              <w:ind w:left="114"/>
            </w:pPr>
            <w:r>
              <w:rPr>
                <w:spacing w:val="-3"/>
              </w:rPr>
              <w:t>文档密级</w:t>
            </w:r>
          </w:p>
        </w:tc>
        <w:tc>
          <w:tcPr>
            <w:tcW w:w="7586" w:type="dxa"/>
            <w:gridSpan w:val="4"/>
            <w:vAlign w:val="top"/>
          </w:tcPr>
          <w:p w14:paraId="29377631">
            <w:pPr>
              <w:pStyle w:val="19"/>
              <w:spacing w:before="184" w:line="220" w:lineRule="auto"/>
              <w:ind w:left="108"/>
            </w:pPr>
            <w:r>
              <w:rPr>
                <w:spacing w:val="-3"/>
              </w:rPr>
              <w:t>秘密</w:t>
            </w:r>
          </w:p>
        </w:tc>
      </w:tr>
      <w:tr w14:paraId="12DFD4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4D702237">
            <w:pPr>
              <w:pStyle w:val="19"/>
              <w:spacing w:before="186" w:line="219" w:lineRule="auto"/>
              <w:ind w:left="306"/>
            </w:pPr>
            <w:r>
              <w:rPr>
                <w:spacing w:val="-3"/>
              </w:rPr>
              <w:t>文档版本</w:t>
            </w:r>
          </w:p>
        </w:tc>
        <w:tc>
          <w:tcPr>
            <w:tcW w:w="1697" w:type="dxa"/>
            <w:vAlign w:val="top"/>
          </w:tcPr>
          <w:p w14:paraId="03F76DD1">
            <w:pPr>
              <w:pStyle w:val="19"/>
              <w:spacing w:before="186" w:line="219" w:lineRule="auto"/>
              <w:ind w:left="371"/>
            </w:pPr>
            <w:r>
              <w:rPr>
                <w:spacing w:val="-2"/>
              </w:rPr>
              <w:t>版本日期</w:t>
            </w:r>
          </w:p>
        </w:tc>
        <w:tc>
          <w:tcPr>
            <w:tcW w:w="2342" w:type="dxa"/>
            <w:vAlign w:val="top"/>
          </w:tcPr>
          <w:p w14:paraId="1D36C4B8">
            <w:pPr>
              <w:pStyle w:val="19"/>
              <w:spacing w:before="186" w:line="219" w:lineRule="auto"/>
              <w:ind w:left="696"/>
            </w:pPr>
            <w:r>
              <w:rPr>
                <w:spacing w:val="-2"/>
              </w:rPr>
              <w:t>版本说明</w:t>
            </w:r>
          </w:p>
        </w:tc>
        <w:tc>
          <w:tcPr>
            <w:tcW w:w="1983" w:type="dxa"/>
            <w:vAlign w:val="top"/>
          </w:tcPr>
          <w:p w14:paraId="4516815E">
            <w:pPr>
              <w:pStyle w:val="19"/>
              <w:spacing w:before="187" w:line="220" w:lineRule="auto"/>
              <w:ind w:left="758"/>
            </w:pPr>
            <w:r>
              <w:rPr>
                <w:spacing w:val="-3"/>
              </w:rPr>
              <w:t>作者</w:t>
            </w:r>
          </w:p>
        </w:tc>
        <w:tc>
          <w:tcPr>
            <w:tcW w:w="1564" w:type="dxa"/>
            <w:vAlign w:val="top"/>
          </w:tcPr>
          <w:p w14:paraId="260541A1">
            <w:pPr>
              <w:pStyle w:val="19"/>
              <w:spacing w:before="187" w:line="220" w:lineRule="auto"/>
              <w:ind w:left="560"/>
            </w:pPr>
            <w:r>
              <w:rPr>
                <w:spacing w:val="-6"/>
              </w:rPr>
              <w:t>审核</w:t>
            </w:r>
          </w:p>
        </w:tc>
      </w:tr>
      <w:tr w14:paraId="1DDD64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1564" w:type="dxa"/>
            <w:vAlign w:val="top"/>
          </w:tcPr>
          <w:p w14:paraId="65AFB208">
            <w:pPr>
              <w:pStyle w:val="19"/>
              <w:spacing w:before="162" w:line="239" w:lineRule="auto"/>
              <w:ind w:left="539"/>
            </w:pPr>
            <w:r>
              <w:rPr>
                <w:spacing w:val="-1"/>
              </w:rPr>
              <w:t>V1.0</w:t>
            </w:r>
          </w:p>
        </w:tc>
        <w:tc>
          <w:tcPr>
            <w:tcW w:w="1697" w:type="dxa"/>
            <w:vAlign w:val="top"/>
          </w:tcPr>
          <w:p w14:paraId="0E1265FC">
            <w:pPr>
              <w:pStyle w:val="19"/>
              <w:spacing w:before="162"/>
              <w:ind w:left="313"/>
              <w:rPr>
                <w:rFonts w:hint="default" w:eastAsia="宋体"/>
                <w:lang w:val="en-US" w:eastAsia="zh-CN"/>
              </w:rPr>
            </w:pPr>
            <w:r>
              <w:rPr>
                <w:spacing w:val="-2"/>
              </w:rPr>
              <w:t>2025-</w:t>
            </w:r>
            <w:r>
              <w:rPr>
                <w:rFonts w:hint="eastAsia"/>
                <w:spacing w:val="-2"/>
                <w:lang w:val="en-US" w:eastAsia="zh-CN"/>
              </w:rPr>
              <w:t>7</w:t>
            </w:r>
            <w:r>
              <w:rPr>
                <w:spacing w:val="-2"/>
              </w:rPr>
              <w:t>-</w:t>
            </w:r>
            <w:r>
              <w:rPr>
                <w:rFonts w:hint="eastAsia"/>
                <w:spacing w:val="-2"/>
                <w:lang w:val="en-US" w:eastAsia="zh-CN"/>
              </w:rPr>
              <w:t>28</w:t>
            </w:r>
          </w:p>
        </w:tc>
        <w:tc>
          <w:tcPr>
            <w:tcW w:w="2342" w:type="dxa"/>
            <w:vAlign w:val="top"/>
          </w:tcPr>
          <w:p w14:paraId="1478B042">
            <w:pPr>
              <w:pStyle w:val="19"/>
              <w:spacing w:before="128" w:line="219" w:lineRule="auto"/>
              <w:ind w:left="699"/>
            </w:pPr>
            <w:r>
              <w:rPr>
                <w:spacing w:val="-3"/>
              </w:rPr>
              <w:t>发布版本</w:t>
            </w:r>
          </w:p>
        </w:tc>
        <w:tc>
          <w:tcPr>
            <w:tcW w:w="1983" w:type="dxa"/>
            <w:vAlign w:val="top"/>
          </w:tcPr>
          <w:p w14:paraId="131E8CD2">
            <w:pPr>
              <w:pStyle w:val="19"/>
              <w:spacing w:before="128" w:line="220" w:lineRule="auto"/>
              <w:ind w:left="639"/>
            </w:pPr>
            <w:r>
              <w:rPr>
                <w:rFonts w:hint="eastAsia"/>
                <w:spacing w:val="-3"/>
              </w:rPr>
              <w:t>孙文</w:t>
            </w:r>
          </w:p>
        </w:tc>
        <w:tc>
          <w:tcPr>
            <w:tcW w:w="1564" w:type="dxa"/>
            <w:vAlign w:val="top"/>
          </w:tcPr>
          <w:p w14:paraId="271662A8">
            <w:pPr>
              <w:pStyle w:val="19"/>
              <w:spacing w:before="129" w:line="221" w:lineRule="auto"/>
              <w:ind w:left="429"/>
            </w:pPr>
            <w:r>
              <w:rPr>
                <w:rFonts w:hint="eastAsia"/>
                <w:spacing w:val="-3"/>
              </w:rPr>
              <w:t>郭万洲</w:t>
            </w:r>
          </w:p>
        </w:tc>
      </w:tr>
      <w:tr w14:paraId="674DAB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564" w:type="dxa"/>
            <w:vAlign w:val="top"/>
          </w:tcPr>
          <w:p w14:paraId="6D571DAC">
            <w:pPr>
              <w:rPr>
                <w:rFonts w:ascii="Arial"/>
                <w:sz w:val="21"/>
              </w:rPr>
            </w:pPr>
          </w:p>
        </w:tc>
        <w:tc>
          <w:tcPr>
            <w:tcW w:w="1697" w:type="dxa"/>
            <w:vAlign w:val="top"/>
          </w:tcPr>
          <w:p w14:paraId="6B4DB9AE">
            <w:pPr>
              <w:rPr>
                <w:rFonts w:ascii="Arial"/>
                <w:sz w:val="21"/>
              </w:rPr>
            </w:pPr>
          </w:p>
        </w:tc>
        <w:tc>
          <w:tcPr>
            <w:tcW w:w="2342" w:type="dxa"/>
            <w:vAlign w:val="top"/>
          </w:tcPr>
          <w:p w14:paraId="2DB21EC5">
            <w:pPr>
              <w:rPr>
                <w:rFonts w:ascii="Arial"/>
                <w:sz w:val="21"/>
              </w:rPr>
            </w:pPr>
          </w:p>
        </w:tc>
        <w:tc>
          <w:tcPr>
            <w:tcW w:w="1983" w:type="dxa"/>
            <w:vAlign w:val="top"/>
          </w:tcPr>
          <w:p w14:paraId="5C511E1A">
            <w:pPr>
              <w:rPr>
                <w:rFonts w:ascii="Arial"/>
                <w:sz w:val="21"/>
              </w:rPr>
            </w:pPr>
          </w:p>
        </w:tc>
        <w:tc>
          <w:tcPr>
            <w:tcW w:w="1564" w:type="dxa"/>
            <w:vAlign w:val="top"/>
          </w:tcPr>
          <w:p w14:paraId="0CF5178D">
            <w:pPr>
              <w:rPr>
                <w:rFonts w:ascii="Arial"/>
                <w:sz w:val="21"/>
              </w:rPr>
            </w:pPr>
          </w:p>
        </w:tc>
      </w:tr>
      <w:tr w14:paraId="6D9A79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564" w:type="dxa"/>
            <w:vAlign w:val="top"/>
          </w:tcPr>
          <w:p w14:paraId="081FB291">
            <w:pPr>
              <w:rPr>
                <w:rFonts w:ascii="Arial"/>
                <w:sz w:val="21"/>
              </w:rPr>
            </w:pPr>
          </w:p>
        </w:tc>
        <w:tc>
          <w:tcPr>
            <w:tcW w:w="1697" w:type="dxa"/>
            <w:vAlign w:val="top"/>
          </w:tcPr>
          <w:p w14:paraId="5BE37D5F">
            <w:pPr>
              <w:rPr>
                <w:rFonts w:ascii="Arial"/>
                <w:sz w:val="21"/>
              </w:rPr>
            </w:pPr>
          </w:p>
        </w:tc>
        <w:tc>
          <w:tcPr>
            <w:tcW w:w="2342" w:type="dxa"/>
            <w:vAlign w:val="top"/>
          </w:tcPr>
          <w:p w14:paraId="44420CC4">
            <w:pPr>
              <w:rPr>
                <w:rFonts w:ascii="Arial"/>
                <w:sz w:val="21"/>
              </w:rPr>
            </w:pPr>
          </w:p>
        </w:tc>
        <w:tc>
          <w:tcPr>
            <w:tcW w:w="1983" w:type="dxa"/>
            <w:vAlign w:val="top"/>
          </w:tcPr>
          <w:p w14:paraId="059B1120">
            <w:pPr>
              <w:rPr>
                <w:rFonts w:ascii="Arial"/>
                <w:sz w:val="21"/>
              </w:rPr>
            </w:pPr>
          </w:p>
        </w:tc>
        <w:tc>
          <w:tcPr>
            <w:tcW w:w="1564" w:type="dxa"/>
            <w:vAlign w:val="top"/>
          </w:tcPr>
          <w:p w14:paraId="769F33E8">
            <w:pPr>
              <w:rPr>
                <w:rFonts w:ascii="Arial"/>
                <w:sz w:val="21"/>
              </w:rPr>
            </w:pPr>
          </w:p>
        </w:tc>
      </w:tr>
    </w:tbl>
    <w:p w14:paraId="5BD1DA74">
      <w:pPr>
        <w:pStyle w:val="11"/>
      </w:pPr>
    </w:p>
    <w:p w14:paraId="7CE0AAAC">
      <w:pPr>
        <w:sectPr>
          <w:pgSz w:w="11906" w:h="16839"/>
          <w:pgMar w:top="1431" w:right="1150" w:bottom="0" w:left="1595" w:header="0" w:footer="0" w:gutter="0"/>
          <w:cols w:space="720" w:num="1"/>
        </w:sectPr>
      </w:pPr>
    </w:p>
    <w:p w14:paraId="09BDF81C">
      <w:pPr>
        <w:pStyle w:val="11"/>
        <w:spacing w:line="247" w:lineRule="auto"/>
      </w:pPr>
    </w:p>
    <w:sdt>
      <w:sdtPr>
        <w:rPr>
          <w:rFonts w:hint="eastAsia" w:ascii="Microsoft JhengHei" w:hAnsi="Microsoft JhengHei" w:eastAsia="Microsoft JhengHei" w:cs="Microsoft JhengHei"/>
          <w:snapToGrid w:val="0"/>
          <w:color w:val="000000"/>
          <w:kern w:val="0"/>
          <w:sz w:val="24"/>
          <w:szCs w:val="24"/>
          <w:lang w:val="en-US" w:eastAsia="en-US" w:bidi="ar-SA"/>
        </w:rPr>
        <w:id w:val="147463505"/>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27113DFC">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2B9A3916">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_Toc23989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8"/>
              <w:sz w:val="24"/>
              <w:szCs w:val="24"/>
            </w:rPr>
            <w:t>内部审核报告</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_Toc23989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CAE061E">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_Toc12791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1.审核目的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_Toc12791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7EC00C">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_Toc4585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2.审核范围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_Toc4585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4CF95E">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_Toc24028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3.审核依据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_Toc24028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3761BFC">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_Toc28889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2"/>
              <w:sz w:val="24"/>
              <w:szCs w:val="24"/>
            </w:rPr>
            <w:t>4.审核组织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_Toc28889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6402F66">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_Toc25811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5.审核日期</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_Toc25811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6C45EFB">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_Toc3526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6.审核计划的实施情况总结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_Toc3526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88610E7">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_Toc8502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7.审核情况</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_Toc8502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528944D">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_Toc9533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8.审核结论及说明</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_Toc9533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A7AB512">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27843CA1">
      <w:pPr>
        <w:spacing w:line="220" w:lineRule="auto"/>
        <w:rPr>
          <w:rFonts w:ascii="宋体" w:hAnsi="宋体" w:eastAsia="宋体" w:cs="宋体"/>
          <w:snapToGrid w:val="0"/>
          <w:color w:val="000000"/>
          <w:kern w:val="0"/>
          <w:sz w:val="21"/>
          <w:szCs w:val="24"/>
          <w:lang w:val="en-US" w:eastAsia="en-US" w:bidi="ar-SA"/>
        </w:rPr>
        <w:sectPr>
          <w:pgSz w:w="11906" w:h="16839"/>
          <w:pgMar w:top="1431" w:right="1710" w:bottom="0" w:left="1709" w:header="0" w:footer="0" w:gutter="0"/>
          <w:cols w:space="720" w:num="1"/>
        </w:sectPr>
      </w:pPr>
    </w:p>
    <w:p w14:paraId="0E4D2D6E">
      <w:pPr>
        <w:pStyle w:val="20"/>
        <w:bidi w:val="0"/>
      </w:pPr>
      <w:bookmarkStart w:id="1" w:name="_Toc12791"/>
      <w:r>
        <w:t>审核目的</w:t>
      </w:r>
      <w:bookmarkEnd w:id="1"/>
    </w:p>
    <w:p w14:paraId="5005A0F2">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z w:val="24"/>
          <w:szCs w:val="24"/>
        </w:rPr>
      </w:pPr>
      <w:r>
        <w:rPr>
          <w:spacing w:val="-2"/>
          <w:position w:val="2"/>
          <w:sz w:val="24"/>
          <w:szCs w:val="24"/>
        </w:rPr>
        <w:t>1)</w:t>
      </w:r>
      <w:r>
        <w:rPr>
          <w:rFonts w:ascii="宋体" w:hAnsi="宋体" w:eastAsia="宋体" w:cs="宋体"/>
          <w:spacing w:val="-2"/>
          <w:position w:val="2"/>
          <w:sz w:val="24"/>
          <w:szCs w:val="24"/>
        </w:rPr>
        <w:t>验证运维服务能力体系与标准的符合性和实施保持的有效性。</w:t>
      </w:r>
    </w:p>
    <w:p w14:paraId="270A4FAF">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6" w:hangingChars="200"/>
        <w:textAlignment w:val="baseline"/>
        <w:rPr>
          <w:rFonts w:ascii="宋体" w:hAnsi="宋体" w:eastAsia="宋体" w:cs="宋体"/>
          <w:sz w:val="24"/>
          <w:szCs w:val="24"/>
        </w:rPr>
      </w:pPr>
      <w:r>
        <w:rPr>
          <w:spacing w:val="-1"/>
          <w:position w:val="3"/>
          <w:sz w:val="24"/>
          <w:szCs w:val="24"/>
        </w:rPr>
        <w:t>2)</w:t>
      </w:r>
      <w:r>
        <w:rPr>
          <w:rFonts w:ascii="宋体" w:hAnsi="宋体" w:eastAsia="宋体" w:cs="宋体"/>
          <w:spacing w:val="-1"/>
          <w:position w:val="3"/>
          <w:sz w:val="24"/>
          <w:szCs w:val="24"/>
        </w:rPr>
        <w:t>针对体系中存在的问题，进行原因分析，制定纠正措施并予以改进。</w:t>
      </w:r>
    </w:p>
    <w:p w14:paraId="1387E2E8">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z w:val="24"/>
          <w:szCs w:val="24"/>
        </w:rPr>
      </w:pPr>
      <w:r>
        <w:rPr>
          <w:spacing w:val="-2"/>
          <w:position w:val="2"/>
          <w:sz w:val="24"/>
          <w:szCs w:val="24"/>
        </w:rPr>
        <w:t>3)</w:t>
      </w:r>
      <w:r>
        <w:rPr>
          <w:rFonts w:ascii="宋体" w:hAnsi="宋体" w:eastAsia="宋体" w:cs="宋体"/>
          <w:spacing w:val="-2"/>
          <w:position w:val="2"/>
          <w:sz w:val="24"/>
          <w:szCs w:val="24"/>
        </w:rPr>
        <w:t>运维能力体系运维情况是否满足法律法规的要求。</w:t>
      </w:r>
    </w:p>
    <w:p w14:paraId="376999F8">
      <w:pPr>
        <w:pStyle w:val="20"/>
        <w:bidi w:val="0"/>
      </w:pPr>
      <w:bookmarkStart w:id="2" w:name="_Toc4585"/>
      <w:r>
        <w:t>审核范围</w:t>
      </w:r>
      <w:bookmarkEnd w:id="2"/>
    </w:p>
    <w:p w14:paraId="5381255E">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hint="eastAsia" w:ascii="宋体" w:hAnsi="宋体" w:eastAsia="宋体" w:cs="宋体"/>
          <w:spacing w:val="-2"/>
          <w:position w:val="2"/>
          <w:sz w:val="24"/>
          <w:szCs w:val="24"/>
          <w:lang w:val="en-US" w:eastAsia="zh-CN"/>
        </w:rPr>
        <w:t>1)</w:t>
      </w:r>
      <w:r>
        <w:rPr>
          <w:rFonts w:ascii="宋体" w:hAnsi="宋体" w:eastAsia="宋体" w:cs="宋体"/>
          <w:spacing w:val="-2"/>
          <w:position w:val="2"/>
          <w:sz w:val="24"/>
          <w:szCs w:val="24"/>
        </w:rPr>
        <w:t>运维服务能力体系涉及的相关部门</w:t>
      </w:r>
    </w:p>
    <w:p w14:paraId="50FA7835">
      <w:pPr>
        <w:pStyle w:val="20"/>
        <w:bidi w:val="0"/>
      </w:pPr>
      <w:bookmarkStart w:id="3" w:name="_Toc24028"/>
      <w:r>
        <w:t>审核依据</w:t>
      </w:r>
      <w:bookmarkEnd w:id="3"/>
    </w:p>
    <w:p w14:paraId="2B62D147">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1.ITSS.1—2015 《信息技术服务 运行维护服务能力成熟度模型》</w:t>
      </w:r>
    </w:p>
    <w:p w14:paraId="2CA8ECF4">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2.GB/T28827.1-20</w:t>
      </w:r>
      <w:r>
        <w:rPr>
          <w:rFonts w:hint="eastAsia" w:ascii="宋体" w:hAnsi="宋体" w:eastAsia="宋体" w:cs="宋体"/>
          <w:spacing w:val="-2"/>
          <w:position w:val="2"/>
          <w:sz w:val="24"/>
          <w:szCs w:val="24"/>
          <w:lang w:val="en-US" w:eastAsia="zh-CN"/>
        </w:rPr>
        <w:t>2</w:t>
      </w:r>
      <w:r>
        <w:rPr>
          <w:rFonts w:ascii="宋体" w:hAnsi="宋体" w:eastAsia="宋体" w:cs="宋体"/>
          <w:spacing w:val="-2"/>
          <w:position w:val="2"/>
          <w:sz w:val="24"/>
          <w:szCs w:val="24"/>
        </w:rPr>
        <w:t>2《信息技术服务 运行维护 第 1 部分：通用要求》</w:t>
      </w:r>
    </w:p>
    <w:p w14:paraId="2FC6A0D8">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3.GB/T 29264-2012 《信息技术服务 分类与代码》</w:t>
      </w:r>
    </w:p>
    <w:p w14:paraId="141B1AD1">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4.GB/T 28827.2-2012 《信息技术服务 运行维护 第 2 部分:交付规范》</w:t>
      </w:r>
    </w:p>
    <w:p w14:paraId="092DFBD3">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hint="eastAsia" w:ascii="宋体" w:hAnsi="宋体" w:eastAsia="宋体" w:cs="宋体"/>
          <w:spacing w:val="-2"/>
          <w:position w:val="2"/>
          <w:sz w:val="24"/>
          <w:szCs w:val="24"/>
          <w:lang w:val="en-US" w:eastAsia="zh-CN"/>
        </w:rPr>
        <w:t>5</w:t>
      </w:r>
      <w:r>
        <w:rPr>
          <w:rFonts w:ascii="宋体" w:hAnsi="宋体" w:eastAsia="宋体" w:cs="宋体"/>
          <w:spacing w:val="-2"/>
          <w:position w:val="2"/>
          <w:sz w:val="24"/>
          <w:szCs w:val="24"/>
        </w:rPr>
        <w:t>.国家有关法律、法规及行业标准</w:t>
      </w:r>
    </w:p>
    <w:p w14:paraId="6FA60746">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hint="eastAsia" w:ascii="宋体" w:hAnsi="宋体" w:eastAsia="宋体" w:cs="宋体"/>
          <w:spacing w:val="-2"/>
          <w:position w:val="2"/>
          <w:sz w:val="24"/>
          <w:szCs w:val="24"/>
          <w:lang w:val="en-US" w:eastAsia="zh-CN"/>
        </w:rPr>
        <w:t>6</w:t>
      </w:r>
      <w:r>
        <w:rPr>
          <w:rFonts w:ascii="宋体" w:hAnsi="宋体" w:eastAsia="宋体" w:cs="宋体"/>
          <w:spacing w:val="-2"/>
          <w:position w:val="2"/>
          <w:sz w:val="24"/>
          <w:szCs w:val="24"/>
        </w:rPr>
        <w:t>.公司运营管理制度及管理要求</w:t>
      </w:r>
    </w:p>
    <w:p w14:paraId="4B9A9981">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hint="eastAsia" w:ascii="宋体" w:hAnsi="宋体" w:eastAsia="宋体" w:cs="宋体"/>
          <w:spacing w:val="-2"/>
          <w:position w:val="2"/>
          <w:sz w:val="24"/>
          <w:szCs w:val="24"/>
          <w:lang w:val="en-US" w:eastAsia="zh-CN"/>
        </w:rPr>
        <w:t>7</w:t>
      </w:r>
      <w:r>
        <w:rPr>
          <w:rFonts w:ascii="宋体" w:hAnsi="宋体" w:eastAsia="宋体" w:cs="宋体"/>
          <w:spacing w:val="-2"/>
          <w:position w:val="2"/>
          <w:sz w:val="24"/>
          <w:szCs w:val="24"/>
        </w:rPr>
        <w:t>.客户需求和商务人员获得的市场信息</w:t>
      </w:r>
    </w:p>
    <w:p w14:paraId="388FFA8B">
      <w:pPr>
        <w:pStyle w:val="20"/>
        <w:bidi w:val="0"/>
      </w:pPr>
      <w:bookmarkStart w:id="4" w:name="_Toc28889"/>
      <w:r>
        <w:t>审核组织</w:t>
      </w:r>
      <w:bookmarkEnd w:id="4"/>
    </w:p>
    <w:p w14:paraId="0191E456">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textAlignment w:val="baseline"/>
        <w:rPr>
          <w:rFonts w:ascii="宋体" w:hAnsi="宋体" w:eastAsia="宋体" w:cs="宋体"/>
          <w:sz w:val="24"/>
          <w:szCs w:val="24"/>
        </w:rPr>
      </w:pPr>
      <w:r>
        <w:rPr>
          <w:rFonts w:ascii="宋体" w:hAnsi="宋体" w:eastAsia="宋体" w:cs="宋体"/>
          <w:spacing w:val="-3"/>
          <w:sz w:val="24"/>
          <w:szCs w:val="24"/>
        </w:rPr>
        <w:t>审核组长：</w:t>
      </w:r>
      <w:r>
        <w:rPr>
          <w:rFonts w:hint="eastAsia" w:ascii="宋体" w:hAnsi="宋体" w:eastAsia="宋体" w:cs="宋体"/>
          <w:spacing w:val="-3"/>
          <w:sz w:val="24"/>
          <w:szCs w:val="24"/>
        </w:rPr>
        <w:t>孙文</w:t>
      </w:r>
    </w:p>
    <w:p w14:paraId="0C7AB228">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72" w:hangingChars="200"/>
        <w:textAlignment w:val="baseline"/>
        <w:rPr>
          <w:rFonts w:ascii="宋体" w:hAnsi="宋体" w:eastAsia="宋体" w:cs="宋体"/>
          <w:sz w:val="24"/>
          <w:szCs w:val="24"/>
        </w:rPr>
      </w:pPr>
      <w:r>
        <w:rPr>
          <w:rFonts w:ascii="宋体" w:hAnsi="宋体" w:eastAsia="宋体" w:cs="宋体"/>
          <w:spacing w:val="-2"/>
          <w:sz w:val="24"/>
          <w:szCs w:val="24"/>
        </w:rPr>
        <w:t>审核成员：王予婷，李帅</w:t>
      </w:r>
      <w:r>
        <w:rPr>
          <w:spacing w:val="-2"/>
          <w:sz w:val="24"/>
          <w:szCs w:val="24"/>
        </w:rPr>
        <w:t xml:space="preserve">,  </w:t>
      </w:r>
      <w:r>
        <w:rPr>
          <w:rFonts w:ascii="宋体" w:hAnsi="宋体" w:eastAsia="宋体" w:cs="宋体"/>
          <w:spacing w:val="-2"/>
          <w:sz w:val="24"/>
          <w:szCs w:val="24"/>
        </w:rPr>
        <w:t>肖容斐</w:t>
      </w:r>
      <w:r>
        <w:rPr>
          <w:spacing w:val="-2"/>
          <w:sz w:val="24"/>
          <w:szCs w:val="24"/>
        </w:rPr>
        <w:t xml:space="preserve">,  </w:t>
      </w:r>
      <w:r>
        <w:rPr>
          <w:rFonts w:ascii="宋体" w:hAnsi="宋体" w:eastAsia="宋体" w:cs="宋体"/>
          <w:spacing w:val="-2"/>
          <w:sz w:val="24"/>
          <w:szCs w:val="24"/>
        </w:rPr>
        <w:t>郑永伟</w:t>
      </w:r>
      <w:r>
        <w:rPr>
          <w:spacing w:val="-2"/>
          <w:sz w:val="24"/>
          <w:szCs w:val="24"/>
        </w:rPr>
        <w:t xml:space="preserve">,  </w:t>
      </w:r>
      <w:r>
        <w:rPr>
          <w:rFonts w:ascii="宋体" w:hAnsi="宋体" w:eastAsia="宋体" w:cs="宋体"/>
          <w:spacing w:val="-2"/>
          <w:sz w:val="24"/>
          <w:szCs w:val="24"/>
        </w:rPr>
        <w:t>姚烨</w:t>
      </w:r>
      <w:r>
        <w:rPr>
          <w:spacing w:val="-2"/>
          <w:sz w:val="24"/>
          <w:szCs w:val="24"/>
        </w:rPr>
        <w:t xml:space="preserve">,  </w:t>
      </w:r>
      <w:r>
        <w:rPr>
          <w:rFonts w:ascii="宋体" w:hAnsi="宋体" w:eastAsia="宋体" w:cs="宋体"/>
          <w:spacing w:val="-3"/>
          <w:sz w:val="24"/>
          <w:szCs w:val="24"/>
        </w:rPr>
        <w:t>范卓然</w:t>
      </w:r>
    </w:p>
    <w:p w14:paraId="7DF4CAA2">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44" w:hangingChars="200"/>
        <w:textAlignment w:val="baseline"/>
        <w:rPr>
          <w:rFonts w:hint="eastAsia" w:ascii="宋体" w:hAnsi="宋体" w:eastAsia="宋体" w:cs="宋体"/>
          <w:sz w:val="24"/>
          <w:szCs w:val="24"/>
          <w:lang w:val="en-US" w:eastAsia="zh-CN"/>
        </w:rPr>
      </w:pPr>
      <w:r>
        <w:rPr>
          <w:rFonts w:ascii="宋体" w:hAnsi="宋体" w:eastAsia="宋体" w:cs="宋体"/>
          <w:spacing w:val="-9"/>
          <w:sz w:val="24"/>
          <w:szCs w:val="24"/>
        </w:rPr>
        <w:t>受审部门：运维部（</w:t>
      </w:r>
      <w:r>
        <w:rPr>
          <w:rFonts w:ascii="MS Gothic" w:hAnsi="MS Gothic" w:eastAsia="MS Gothic" w:cs="MS Gothic"/>
          <w:spacing w:val="-9"/>
          <w:sz w:val="24"/>
          <w:szCs w:val="24"/>
        </w:rPr>
        <w:t>服</w:t>
      </w:r>
      <w:r>
        <w:rPr>
          <w:rFonts w:ascii="宋体" w:hAnsi="宋体" w:eastAsia="宋体" w:cs="宋体"/>
          <w:spacing w:val="-9"/>
          <w:sz w:val="24"/>
          <w:szCs w:val="24"/>
        </w:rPr>
        <w:t>务</w:t>
      </w:r>
      <w:r>
        <w:rPr>
          <w:rFonts w:ascii="MS Gothic" w:hAnsi="MS Gothic" w:eastAsia="MS Gothic" w:cs="MS Gothic"/>
          <w:spacing w:val="-9"/>
          <w:sz w:val="24"/>
          <w:szCs w:val="24"/>
        </w:rPr>
        <w:t>台、</w:t>
      </w:r>
      <w:r>
        <w:rPr>
          <w:rFonts w:ascii="宋体" w:hAnsi="宋体" w:eastAsia="宋体" w:cs="宋体"/>
          <w:spacing w:val="-9"/>
          <w:sz w:val="24"/>
          <w:szCs w:val="24"/>
        </w:rPr>
        <w:t>备</w:t>
      </w:r>
      <w:r>
        <w:rPr>
          <w:rFonts w:ascii="MS Gothic" w:hAnsi="MS Gothic" w:eastAsia="MS Gothic" w:cs="MS Gothic"/>
          <w:spacing w:val="-9"/>
          <w:sz w:val="24"/>
          <w:szCs w:val="24"/>
        </w:rPr>
        <w:t>件</w:t>
      </w:r>
      <w:r>
        <w:rPr>
          <w:rFonts w:ascii="宋体" w:hAnsi="宋体" w:eastAsia="宋体" w:cs="宋体"/>
          <w:spacing w:val="-9"/>
          <w:sz w:val="24"/>
          <w:szCs w:val="24"/>
        </w:rPr>
        <w:t>库</w:t>
      </w:r>
      <w:r>
        <w:rPr>
          <w:rFonts w:hint="eastAsia" w:ascii="宋体" w:hAnsi="宋体" w:eastAsia="宋体" w:cs="宋体"/>
          <w:spacing w:val="-9"/>
          <w:sz w:val="24"/>
          <w:szCs w:val="24"/>
          <w:lang w:eastAsia="zh-CN"/>
        </w:rPr>
        <w:t>、</w:t>
      </w:r>
      <w:r>
        <w:rPr>
          <w:rFonts w:hint="eastAsia" w:ascii="宋体" w:hAnsi="宋体" w:eastAsia="宋体" w:cs="宋体"/>
          <w:spacing w:val="-9"/>
          <w:sz w:val="24"/>
          <w:szCs w:val="24"/>
          <w:lang w:val="en-US" w:eastAsia="zh-CN"/>
        </w:rPr>
        <w:t>知识库</w:t>
      </w:r>
      <w:r>
        <w:rPr>
          <w:rFonts w:ascii="宋体" w:hAnsi="宋体" w:eastAsia="宋体" w:cs="宋体"/>
          <w:spacing w:val="-9"/>
          <w:sz w:val="24"/>
          <w:szCs w:val="24"/>
        </w:rPr>
        <w:t>）、</w:t>
      </w:r>
      <w:r>
        <w:rPr>
          <w:rFonts w:hint="eastAsia" w:ascii="宋体" w:hAnsi="宋体" w:eastAsia="宋体" w:cs="宋体"/>
          <w:spacing w:val="-9"/>
          <w:sz w:val="24"/>
          <w:szCs w:val="24"/>
          <w:lang w:val="en-US" w:eastAsia="zh-CN"/>
        </w:rPr>
        <w:t>人力部</w:t>
      </w:r>
      <w:r>
        <w:rPr>
          <w:rFonts w:ascii="宋体" w:hAnsi="宋体" w:eastAsia="宋体" w:cs="宋体"/>
          <w:spacing w:val="-9"/>
          <w:sz w:val="24"/>
          <w:szCs w:val="24"/>
        </w:rPr>
        <w:t>、</w:t>
      </w:r>
      <w:r>
        <w:rPr>
          <w:rFonts w:ascii="宋体" w:hAnsi="宋体" w:eastAsia="宋体" w:cs="宋体"/>
          <w:spacing w:val="-1"/>
          <w:sz w:val="24"/>
          <w:szCs w:val="24"/>
        </w:rPr>
        <w:t>采购部、质量</w:t>
      </w:r>
      <w:r>
        <w:rPr>
          <w:rFonts w:hint="eastAsia" w:ascii="宋体" w:hAnsi="宋体" w:eastAsia="宋体" w:cs="宋体"/>
          <w:spacing w:val="-1"/>
          <w:sz w:val="24"/>
          <w:szCs w:val="24"/>
          <w:lang w:val="en-US" w:eastAsia="zh-CN"/>
        </w:rPr>
        <w:t>部</w:t>
      </w:r>
      <w:r>
        <w:rPr>
          <w:rFonts w:ascii="宋体" w:hAnsi="宋体" w:eastAsia="宋体" w:cs="宋体"/>
          <w:spacing w:val="-1"/>
          <w:sz w:val="24"/>
          <w:szCs w:val="24"/>
        </w:rPr>
        <w:t>、研发</w:t>
      </w:r>
      <w:r>
        <w:rPr>
          <w:rFonts w:hint="eastAsia" w:ascii="宋体" w:hAnsi="宋体" w:eastAsia="宋体" w:cs="宋体"/>
          <w:spacing w:val="-1"/>
          <w:sz w:val="24"/>
          <w:szCs w:val="24"/>
          <w:lang w:val="en-US" w:eastAsia="zh-CN"/>
        </w:rPr>
        <w:t>部</w:t>
      </w:r>
    </w:p>
    <w:p w14:paraId="037FB2EA">
      <w:pPr>
        <w:pStyle w:val="20"/>
        <w:bidi w:val="0"/>
      </w:pPr>
      <w:bookmarkStart w:id="5" w:name="_Toc25811"/>
      <w:r>
        <w:t>审核日期</w:t>
      </w:r>
      <w:bookmarkEnd w:id="5"/>
    </w:p>
    <w:p w14:paraId="12CF123E">
      <w:pPr>
        <w:spacing w:before="245" w:line="239" w:lineRule="auto"/>
        <w:ind w:left="588"/>
        <w:rPr>
          <w:rFonts w:hint="default" w:ascii="宋体" w:hAnsi="宋体" w:eastAsia="宋体" w:cs="宋体"/>
          <w:sz w:val="28"/>
          <w:szCs w:val="28"/>
          <w:lang w:val="en-US" w:eastAsia="zh-CN"/>
        </w:rPr>
      </w:pPr>
      <w:r>
        <w:rPr>
          <w:rFonts w:ascii="宋体" w:hAnsi="宋体" w:eastAsia="宋体" w:cs="宋体"/>
          <w:spacing w:val="-1"/>
          <w:sz w:val="28"/>
          <w:szCs w:val="28"/>
        </w:rPr>
        <w:t>2025.</w:t>
      </w:r>
      <w:r>
        <w:rPr>
          <w:rFonts w:hint="eastAsia" w:ascii="宋体" w:hAnsi="宋体" w:eastAsia="宋体" w:cs="宋体"/>
          <w:spacing w:val="-1"/>
          <w:sz w:val="28"/>
          <w:szCs w:val="28"/>
          <w:lang w:val="en-US" w:eastAsia="zh-CN"/>
        </w:rPr>
        <w:t>7</w:t>
      </w:r>
      <w:r>
        <w:rPr>
          <w:rFonts w:ascii="宋体" w:hAnsi="宋体" w:eastAsia="宋体" w:cs="宋体"/>
          <w:spacing w:val="-1"/>
          <w:sz w:val="28"/>
          <w:szCs w:val="28"/>
        </w:rPr>
        <w:t>.</w:t>
      </w:r>
      <w:r>
        <w:rPr>
          <w:rFonts w:hint="eastAsia" w:ascii="宋体" w:hAnsi="宋体" w:eastAsia="宋体" w:cs="宋体"/>
          <w:spacing w:val="-1"/>
          <w:sz w:val="28"/>
          <w:szCs w:val="28"/>
          <w:lang w:val="en-US" w:eastAsia="zh-CN"/>
        </w:rPr>
        <w:t>24</w:t>
      </w:r>
      <w:r>
        <w:rPr>
          <w:rFonts w:ascii="宋体" w:hAnsi="宋体" w:eastAsia="宋体" w:cs="宋体"/>
          <w:spacing w:val="-1"/>
          <w:sz w:val="28"/>
          <w:szCs w:val="28"/>
        </w:rPr>
        <w:t>-2025.</w:t>
      </w:r>
      <w:r>
        <w:rPr>
          <w:rFonts w:hint="eastAsia" w:ascii="宋体" w:hAnsi="宋体" w:eastAsia="宋体" w:cs="宋体"/>
          <w:spacing w:val="-1"/>
          <w:sz w:val="28"/>
          <w:szCs w:val="28"/>
          <w:lang w:val="en-US" w:eastAsia="zh-CN"/>
        </w:rPr>
        <w:t>7</w:t>
      </w:r>
      <w:r>
        <w:rPr>
          <w:rFonts w:ascii="宋体" w:hAnsi="宋体" w:eastAsia="宋体" w:cs="宋体"/>
          <w:spacing w:val="-1"/>
          <w:sz w:val="28"/>
          <w:szCs w:val="28"/>
        </w:rPr>
        <w:t>.</w:t>
      </w:r>
      <w:r>
        <w:rPr>
          <w:rFonts w:hint="eastAsia" w:ascii="宋体" w:hAnsi="宋体" w:eastAsia="宋体" w:cs="宋体"/>
          <w:spacing w:val="-1"/>
          <w:sz w:val="28"/>
          <w:szCs w:val="28"/>
          <w:lang w:val="en-US" w:eastAsia="zh-CN"/>
        </w:rPr>
        <w:t>25</w:t>
      </w:r>
    </w:p>
    <w:p w14:paraId="3796F68F">
      <w:pPr>
        <w:pStyle w:val="20"/>
        <w:bidi w:val="0"/>
      </w:pPr>
      <w:bookmarkStart w:id="6" w:name="_Toc3526"/>
      <w:r>
        <w:t>审核计划的实施情况总结</w:t>
      </w:r>
      <w:bookmarkEnd w:id="6"/>
    </w:p>
    <w:p w14:paraId="50CC9CCD">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 xml:space="preserve">审核组经过 </w:t>
      </w:r>
      <w:r>
        <w:rPr>
          <w:rFonts w:hint="eastAsia" w:ascii="宋体" w:hAnsi="宋体" w:eastAsia="宋体" w:cs="宋体"/>
          <w:spacing w:val="-1"/>
          <w:sz w:val="24"/>
          <w:szCs w:val="24"/>
          <w:lang w:val="en-US" w:eastAsia="zh-CN"/>
        </w:rPr>
        <w:t>2</w:t>
      </w:r>
      <w:r>
        <w:rPr>
          <w:rFonts w:ascii="宋体" w:hAnsi="宋体" w:eastAsia="宋体" w:cs="宋体"/>
          <w:spacing w:val="-1"/>
          <w:sz w:val="24"/>
          <w:szCs w:val="24"/>
        </w:rPr>
        <w:t xml:space="preserve"> 天的审核，对运维体系的运行的实际情况所涉及到的部门的职责进行了全面的审核，审核过程中得到了各部门的大力支持和配合，按计划完成了本次审核。</w:t>
      </w:r>
    </w:p>
    <w:p w14:paraId="23BF8658">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此次内审采用询问交谈、查阅文件记录、现场查看、随机抽样等方法来收集客观证据。各部门按职责的要求开展工作，提供了大量的符合性证据。通过此次公司内部审核，各相</w:t>
      </w:r>
      <w:r>
        <w:rPr>
          <w:rFonts w:hint="eastAsia" w:ascii="宋体" w:hAnsi="宋体" w:eastAsia="宋体" w:cs="宋体"/>
          <w:spacing w:val="-1"/>
          <w:sz w:val="24"/>
          <w:szCs w:val="24"/>
          <w:lang w:val="en-US" w:eastAsia="zh-CN"/>
        </w:rPr>
        <w:t>关</w:t>
      </w:r>
      <w:r>
        <w:rPr>
          <w:rFonts w:ascii="宋体" w:hAnsi="宋体" w:eastAsia="宋体" w:cs="宋体"/>
          <w:spacing w:val="-1"/>
          <w:sz w:val="24"/>
          <w:szCs w:val="24"/>
        </w:rPr>
        <w:t>部门和个人能认真对待、</w:t>
      </w:r>
      <w:r>
        <w:rPr>
          <w:rFonts w:hint="eastAsia" w:ascii="宋体" w:hAnsi="宋体" w:eastAsia="宋体" w:cs="宋体"/>
          <w:spacing w:val="-1"/>
          <w:sz w:val="24"/>
          <w:szCs w:val="24"/>
          <w:lang w:val="en-US" w:eastAsia="zh-CN"/>
        </w:rPr>
        <w:t>积极</w:t>
      </w:r>
      <w:r>
        <w:rPr>
          <w:rFonts w:ascii="宋体" w:hAnsi="宋体" w:eastAsia="宋体" w:cs="宋体"/>
          <w:spacing w:val="-1"/>
          <w:sz w:val="24"/>
          <w:szCs w:val="24"/>
        </w:rPr>
        <w:t>配合，内审过程实施顺利</w:t>
      </w:r>
      <w:r>
        <w:rPr>
          <w:rFonts w:hint="eastAsia" w:ascii="宋体" w:hAnsi="宋体" w:eastAsia="宋体" w:cs="宋体"/>
          <w:spacing w:val="-1"/>
          <w:sz w:val="24"/>
          <w:szCs w:val="24"/>
          <w:lang w:eastAsia="zh-CN"/>
        </w:rPr>
        <w:t>，</w:t>
      </w:r>
      <w:r>
        <w:rPr>
          <w:rFonts w:ascii="宋体" w:hAnsi="宋体" w:eastAsia="宋体" w:cs="宋体"/>
          <w:spacing w:val="-1"/>
          <w:sz w:val="24"/>
          <w:szCs w:val="24"/>
        </w:rPr>
        <w:t>取证较为全面、客观。</w:t>
      </w:r>
    </w:p>
    <w:p w14:paraId="6E0E423B">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公司已经按运维服务标准的要求，建立了较为健全的运维服务能力体系，并制定了一系列管理制度，但尚有部分记录文件需待改进，以保证程序文件与实际操作的符合性。</w:t>
      </w:r>
    </w:p>
    <w:p w14:paraId="44DA176B">
      <w:pPr>
        <w:pStyle w:val="20"/>
        <w:bidi w:val="0"/>
      </w:pPr>
      <w:bookmarkStart w:id="9" w:name="_GoBack"/>
      <w:bookmarkEnd w:id="9"/>
      <w:bookmarkStart w:id="7" w:name="_Toc8502"/>
      <w:r>
        <w:t>审核情况</w:t>
      </w:r>
      <w:bookmarkEnd w:id="7"/>
    </w:p>
    <w:p w14:paraId="04C9BA2E">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本次内审共发现 1 处不符合项， 不符合项如下：</w:t>
      </w:r>
    </w:p>
    <w:p w14:paraId="71B1D288">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知识库内容</w:t>
      </w:r>
      <w:r>
        <w:rPr>
          <w:rFonts w:hint="eastAsia" w:ascii="宋体" w:hAnsi="宋体" w:eastAsia="宋体" w:cs="宋体"/>
          <w:spacing w:val="-1"/>
          <w:sz w:val="24"/>
          <w:szCs w:val="24"/>
          <w:lang w:val="en-US" w:eastAsia="zh-CN"/>
        </w:rPr>
        <w:t>适宜性</w:t>
      </w:r>
      <w:r>
        <w:rPr>
          <w:rFonts w:ascii="宋体" w:hAnsi="宋体" w:eastAsia="宋体" w:cs="宋体"/>
          <w:spacing w:val="-1"/>
          <w:sz w:val="24"/>
          <w:szCs w:val="24"/>
        </w:rPr>
        <w:t>的评审记录未生成；不符合 7.</w:t>
      </w:r>
      <w:r>
        <w:rPr>
          <w:rFonts w:hint="eastAsia" w:ascii="宋体" w:hAnsi="宋体" w:eastAsia="宋体" w:cs="宋体"/>
          <w:spacing w:val="-1"/>
          <w:sz w:val="24"/>
          <w:szCs w:val="24"/>
          <w:lang w:val="en-US" w:eastAsia="zh-CN"/>
        </w:rPr>
        <w:t>6.1运行维护工具</w:t>
      </w:r>
      <w:r>
        <w:rPr>
          <w:rFonts w:ascii="宋体" w:hAnsi="宋体" w:eastAsia="宋体" w:cs="宋体"/>
          <w:spacing w:val="-1"/>
          <w:sz w:val="24"/>
          <w:szCs w:val="24"/>
        </w:rPr>
        <w:t>，要求运维服务部尽快整改完毕，并由</w:t>
      </w:r>
      <w:r>
        <w:rPr>
          <w:rFonts w:hint="eastAsia" w:ascii="宋体" w:hAnsi="宋体" w:eastAsia="宋体" w:cs="宋体"/>
          <w:spacing w:val="-1"/>
          <w:sz w:val="24"/>
          <w:szCs w:val="24"/>
          <w:lang w:eastAsia="zh-CN"/>
        </w:rPr>
        <w:t>质量部</w:t>
      </w:r>
      <w:r>
        <w:rPr>
          <w:rFonts w:ascii="宋体" w:hAnsi="宋体" w:eastAsia="宋体" w:cs="宋体"/>
          <w:spacing w:val="-1"/>
          <w:sz w:val="24"/>
          <w:szCs w:val="24"/>
        </w:rPr>
        <w:t>验证，跟踪信息见《不符合项报告》。</w:t>
      </w:r>
    </w:p>
    <w:p w14:paraId="6EC5E690">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不符合原因分析是运维服务部相关人员未按要求对评审会议内容进行记录并归档。</w:t>
      </w:r>
    </w:p>
    <w:p w14:paraId="4B21DE91">
      <w:pPr>
        <w:pStyle w:val="20"/>
        <w:bidi w:val="0"/>
      </w:pPr>
      <w:bookmarkStart w:id="8" w:name="_Toc9533"/>
      <w:r>
        <w:t>审核结论及说明</w:t>
      </w:r>
      <w:bookmarkEnd w:id="8"/>
    </w:p>
    <w:p w14:paraId="26C7A8B4">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（1）公司体系的运行基本符合运维能力体系的要求，运维体系运行基本有效。</w:t>
      </w:r>
    </w:p>
    <w:p w14:paraId="1DE2AC0F">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（2）公司的运维管理指标适宜，目标基本实现，无变更需要。</w:t>
      </w:r>
    </w:p>
    <w:p w14:paraId="47415501">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经过运维体系的实际运行内审中发现 1 个不符合项，属于一般不符合，可以在一周之内进行关闭，并有后期跟踪负责人。我们结合该情况，对各个部门通报了因为公司业务压力较大，所以员工反馈对于制度性的规范行作业有的时候会漏掉，通过这个我们公司也专门会做出改进性的措施。这些问题的发现有利于公司和运维部门的持续改进，在以后的工作中还需要公司和员工共同努力，逐步提高运维服务水平。</w:t>
      </w:r>
    </w:p>
    <w:p w14:paraId="1C89F3BF">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default" w:eastAsia="宋体"/>
          <w:sz w:val="24"/>
          <w:szCs w:val="24"/>
          <w:lang w:val="en-US" w:eastAsia="zh-CN"/>
        </w:rPr>
      </w:pPr>
      <w:r>
        <w:rPr>
          <w:rFonts w:ascii="宋体" w:hAnsi="宋体" w:eastAsia="宋体" w:cs="宋体"/>
          <w:spacing w:val="-1"/>
          <w:sz w:val="24"/>
          <w:szCs w:val="24"/>
        </w:rPr>
        <w:t>（3）经内部审核发现因运维服务部相关人员未按要求对评审会议内容进行记录并归档，现已要求运维服务部相关人员认真学习知识库管理制度，在开展评审时如实记录会议内容并归档。（4）在内审过程中，发现某些运维工程师的现场服务报告，有补充提交的现象。所以通过这个现象，为了强化内审管理，公司会在未来对类似的嫌疑进行搜集数据，并要求各部门负责人要重视内审工作的开展。</w:t>
      </w:r>
    </w:p>
    <w:sectPr>
      <w:footerReference r:id="rId5" w:type="default"/>
      <w:pgSz w:w="11906" w:h="16839"/>
      <w:pgMar w:top="1431" w:right="1785"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MS Gothic">
    <w:panose1 w:val="020B0609070205080204"/>
    <w:charset w:val="86"/>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A3A1F1">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6B2C51"/>
    <w:rsid w:val="03463A74"/>
    <w:rsid w:val="038F0F77"/>
    <w:rsid w:val="03E272F9"/>
    <w:rsid w:val="047A1C27"/>
    <w:rsid w:val="04812FB5"/>
    <w:rsid w:val="099948FD"/>
    <w:rsid w:val="09CB4CD3"/>
    <w:rsid w:val="0A4707FD"/>
    <w:rsid w:val="0A9F23E7"/>
    <w:rsid w:val="0B5807E8"/>
    <w:rsid w:val="0BCD0490"/>
    <w:rsid w:val="0FA07BF0"/>
    <w:rsid w:val="0FE8038D"/>
    <w:rsid w:val="11E22BBA"/>
    <w:rsid w:val="11F50B3F"/>
    <w:rsid w:val="142166E1"/>
    <w:rsid w:val="14BA7E1E"/>
    <w:rsid w:val="16897AA8"/>
    <w:rsid w:val="16CF7BB0"/>
    <w:rsid w:val="17AA4179"/>
    <w:rsid w:val="18E84F59"/>
    <w:rsid w:val="19222CB8"/>
    <w:rsid w:val="1A5204BD"/>
    <w:rsid w:val="1AB75217"/>
    <w:rsid w:val="1BD12C88"/>
    <w:rsid w:val="1C3B5CE8"/>
    <w:rsid w:val="1D8A2F60"/>
    <w:rsid w:val="1E696B3C"/>
    <w:rsid w:val="1F316F2E"/>
    <w:rsid w:val="21C16BCC"/>
    <w:rsid w:val="22997805"/>
    <w:rsid w:val="22E83DA8"/>
    <w:rsid w:val="26355556"/>
    <w:rsid w:val="270D78FD"/>
    <w:rsid w:val="275814FC"/>
    <w:rsid w:val="27771A63"/>
    <w:rsid w:val="27AF30E6"/>
    <w:rsid w:val="282F6F65"/>
    <w:rsid w:val="291E6775"/>
    <w:rsid w:val="298F1421"/>
    <w:rsid w:val="2B0A5203"/>
    <w:rsid w:val="2D5908D8"/>
    <w:rsid w:val="2DE61645"/>
    <w:rsid w:val="33072028"/>
    <w:rsid w:val="3344327C"/>
    <w:rsid w:val="34F52A80"/>
    <w:rsid w:val="37296A11"/>
    <w:rsid w:val="389B749B"/>
    <w:rsid w:val="39FD76C3"/>
    <w:rsid w:val="3C340332"/>
    <w:rsid w:val="3E9E1A93"/>
    <w:rsid w:val="3F8A64BB"/>
    <w:rsid w:val="46F96400"/>
    <w:rsid w:val="473F7B8B"/>
    <w:rsid w:val="47615D53"/>
    <w:rsid w:val="48E7759C"/>
    <w:rsid w:val="49090450"/>
    <w:rsid w:val="4B37108B"/>
    <w:rsid w:val="4CB0372B"/>
    <w:rsid w:val="4D891B60"/>
    <w:rsid w:val="50067498"/>
    <w:rsid w:val="51DF7223"/>
    <w:rsid w:val="52067C23"/>
    <w:rsid w:val="52BA32D9"/>
    <w:rsid w:val="536201FA"/>
    <w:rsid w:val="53A67AE6"/>
    <w:rsid w:val="5467028A"/>
    <w:rsid w:val="5560764A"/>
    <w:rsid w:val="57FF75EE"/>
    <w:rsid w:val="5D7F0889"/>
    <w:rsid w:val="5E2D6537"/>
    <w:rsid w:val="5ECC6B94"/>
    <w:rsid w:val="5EDC2437"/>
    <w:rsid w:val="5EF552A7"/>
    <w:rsid w:val="5FC44C79"/>
    <w:rsid w:val="606153EC"/>
    <w:rsid w:val="61DE7DD0"/>
    <w:rsid w:val="66AF4608"/>
    <w:rsid w:val="68AF4719"/>
    <w:rsid w:val="6AC56475"/>
    <w:rsid w:val="6D611D5A"/>
    <w:rsid w:val="6D913907"/>
    <w:rsid w:val="6E11552E"/>
    <w:rsid w:val="70D54F38"/>
    <w:rsid w:val="70F52EE5"/>
    <w:rsid w:val="723A4C09"/>
    <w:rsid w:val="75157FF9"/>
    <w:rsid w:val="779F18BB"/>
    <w:rsid w:val="77B238DE"/>
    <w:rsid w:val="78801C2E"/>
    <w:rsid w:val="78AB7FCA"/>
    <w:rsid w:val="7B38310C"/>
    <w:rsid w:val="7BC13290"/>
    <w:rsid w:val="7CE83493"/>
    <w:rsid w:val="7EB33023"/>
    <w:rsid w:val="7F8B68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1330</Words>
  <Characters>1457</Characters>
  <TotalTime>4</TotalTime>
  <ScaleCrop>false</ScaleCrop>
  <LinksUpToDate>false</LinksUpToDate>
  <CharactersWithSpaces>1531</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2025-08-17T00:46:00Z</dcterms:created>
  <dc:creator>谢永刚</dc:creator>
  <cp:lastModifiedBy>郝宇</cp:lastModifiedBy>
  <dcterms:modified xsi:type="dcterms:W3CDTF">2025-08-23T18:12:17Z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2025-08-21T00:41:30Z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D831732450574DEA8A465526ABC353C9_12</vt:lpwstr>
  </property>
</Properties>
</file>