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4FA7F">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4</w:t>
      </w:r>
    </w:p>
    <w:p w14:paraId="544F7066">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615B735">
      <w:pPr>
        <w:pStyle w:val="24"/>
        <w:bidi w:val="0"/>
      </w:pPr>
      <w:bookmarkStart w:id="0" w:name="_Toc22162"/>
      <w:r>
        <w:rPr>
          <w:rFonts w:hint="eastAsia"/>
          <w:lang w:val="en-US" w:eastAsia="zh-CN"/>
        </w:rPr>
        <w:t>万洲奇智（青岛）信息科技有限</w:t>
      </w:r>
      <w:r>
        <w:t>公司</w:t>
      </w:r>
      <w:bookmarkEnd w:id="0"/>
    </w:p>
    <w:p w14:paraId="1A067356">
      <w:pPr>
        <w:pStyle w:val="25"/>
        <w:bidi w:val="0"/>
        <w:rPr>
          <w:rFonts w:hint="default"/>
          <w:lang w:val="en-US"/>
        </w:rPr>
      </w:pPr>
      <w:bookmarkStart w:id="1" w:name="_Toc18950"/>
      <w:r>
        <w:rPr>
          <w:rFonts w:hint="eastAsia"/>
          <w:lang w:val="en-US" w:eastAsia="zh-CN"/>
        </w:rPr>
        <w:t>内部审核报告</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B653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2B06EF8">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0CF72475">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2025.08.16</w:t>
            </w:r>
          </w:p>
        </w:tc>
      </w:tr>
      <w:tr w14:paraId="6BADF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55916C9C">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C5AB8CD">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2025.08.16</w:t>
            </w:r>
          </w:p>
        </w:tc>
      </w:tr>
      <w:tr w14:paraId="6FB53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55D4CAB">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4D3646A">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2025.08.16</w:t>
            </w:r>
          </w:p>
        </w:tc>
      </w:tr>
    </w:tbl>
    <w:p w14:paraId="5440364A">
      <w:r>
        <w:br w:type="page"/>
      </w:r>
    </w:p>
    <w:p w14:paraId="70129A78">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34EB96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689BE4C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ECEF21E">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7783F42D">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D232BE5">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011B392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FFAE99D">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C3056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3321B2F">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16</w:t>
            </w:r>
          </w:p>
        </w:tc>
        <w:tc>
          <w:tcPr>
            <w:tcW w:w="919" w:type="dxa"/>
          </w:tcPr>
          <w:p w14:paraId="50B49501">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02F9D5FD">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C662076">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14BBC4D4">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56E0D0D0">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1C3046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9AFD9CF">
            <w:pPr>
              <w:pStyle w:val="27"/>
            </w:pPr>
          </w:p>
        </w:tc>
        <w:tc>
          <w:tcPr>
            <w:tcW w:w="919" w:type="dxa"/>
          </w:tcPr>
          <w:p w14:paraId="71D95511">
            <w:pPr>
              <w:pStyle w:val="27"/>
            </w:pPr>
          </w:p>
        </w:tc>
        <w:tc>
          <w:tcPr>
            <w:tcW w:w="2289" w:type="dxa"/>
          </w:tcPr>
          <w:p w14:paraId="2A4ABFD4">
            <w:pPr>
              <w:pStyle w:val="27"/>
            </w:pPr>
          </w:p>
        </w:tc>
        <w:tc>
          <w:tcPr>
            <w:tcW w:w="1148" w:type="dxa"/>
          </w:tcPr>
          <w:p w14:paraId="644AA370">
            <w:pPr>
              <w:spacing w:before="172" w:line="228" w:lineRule="auto"/>
              <w:ind w:left="313"/>
            </w:pPr>
          </w:p>
        </w:tc>
        <w:tc>
          <w:tcPr>
            <w:tcW w:w="1150" w:type="dxa"/>
          </w:tcPr>
          <w:p w14:paraId="165E1F1F">
            <w:pPr>
              <w:spacing w:before="172" w:line="228" w:lineRule="auto"/>
              <w:ind w:left="313"/>
            </w:pPr>
          </w:p>
        </w:tc>
        <w:tc>
          <w:tcPr>
            <w:tcW w:w="1240" w:type="dxa"/>
          </w:tcPr>
          <w:p w14:paraId="523CFD09">
            <w:pPr>
              <w:pStyle w:val="27"/>
            </w:pPr>
          </w:p>
        </w:tc>
      </w:tr>
      <w:tr w14:paraId="5FB90307">
        <w:tblPrEx>
          <w:tblCellMar>
            <w:top w:w="0" w:type="dxa"/>
            <w:left w:w="0" w:type="dxa"/>
            <w:bottom w:w="0" w:type="dxa"/>
            <w:right w:w="0" w:type="dxa"/>
          </w:tblCellMar>
        </w:tblPrEx>
        <w:trPr>
          <w:trHeight w:val="556" w:hRule="atLeast"/>
        </w:trPr>
        <w:tc>
          <w:tcPr>
            <w:tcW w:w="1555" w:type="dxa"/>
          </w:tcPr>
          <w:p w14:paraId="6F055EC9">
            <w:pPr>
              <w:pStyle w:val="27"/>
            </w:pPr>
          </w:p>
        </w:tc>
        <w:tc>
          <w:tcPr>
            <w:tcW w:w="919" w:type="dxa"/>
          </w:tcPr>
          <w:p w14:paraId="24DBDC2E">
            <w:pPr>
              <w:pStyle w:val="27"/>
            </w:pPr>
          </w:p>
        </w:tc>
        <w:tc>
          <w:tcPr>
            <w:tcW w:w="2289" w:type="dxa"/>
          </w:tcPr>
          <w:p w14:paraId="32CDAB24">
            <w:pPr>
              <w:pStyle w:val="27"/>
            </w:pPr>
          </w:p>
        </w:tc>
        <w:tc>
          <w:tcPr>
            <w:tcW w:w="1148" w:type="dxa"/>
          </w:tcPr>
          <w:p w14:paraId="730E9D00">
            <w:pPr>
              <w:spacing w:before="173" w:line="229" w:lineRule="auto"/>
              <w:ind w:left="314"/>
            </w:pPr>
          </w:p>
        </w:tc>
        <w:tc>
          <w:tcPr>
            <w:tcW w:w="1150" w:type="dxa"/>
          </w:tcPr>
          <w:p w14:paraId="070CA26A">
            <w:pPr>
              <w:spacing w:before="173" w:line="229" w:lineRule="auto"/>
              <w:ind w:left="314"/>
            </w:pPr>
          </w:p>
        </w:tc>
        <w:tc>
          <w:tcPr>
            <w:tcW w:w="1240" w:type="dxa"/>
          </w:tcPr>
          <w:p w14:paraId="6F11B059">
            <w:pPr>
              <w:pStyle w:val="27"/>
            </w:pPr>
          </w:p>
        </w:tc>
      </w:tr>
      <w:tr w14:paraId="638E9D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1792B28">
            <w:pPr>
              <w:pStyle w:val="27"/>
            </w:pPr>
          </w:p>
        </w:tc>
        <w:tc>
          <w:tcPr>
            <w:tcW w:w="919" w:type="dxa"/>
          </w:tcPr>
          <w:p w14:paraId="7145BCE5">
            <w:pPr>
              <w:pStyle w:val="27"/>
            </w:pPr>
          </w:p>
        </w:tc>
        <w:tc>
          <w:tcPr>
            <w:tcW w:w="2289" w:type="dxa"/>
          </w:tcPr>
          <w:p w14:paraId="6819BC69">
            <w:pPr>
              <w:pStyle w:val="27"/>
            </w:pPr>
          </w:p>
        </w:tc>
        <w:tc>
          <w:tcPr>
            <w:tcW w:w="1148" w:type="dxa"/>
          </w:tcPr>
          <w:p w14:paraId="034A3977">
            <w:pPr>
              <w:pStyle w:val="27"/>
            </w:pPr>
          </w:p>
        </w:tc>
        <w:tc>
          <w:tcPr>
            <w:tcW w:w="1150" w:type="dxa"/>
          </w:tcPr>
          <w:p w14:paraId="4119552F">
            <w:pPr>
              <w:pStyle w:val="27"/>
            </w:pPr>
          </w:p>
        </w:tc>
        <w:tc>
          <w:tcPr>
            <w:tcW w:w="1240" w:type="dxa"/>
          </w:tcPr>
          <w:p w14:paraId="2FA5B0F9">
            <w:pPr>
              <w:pStyle w:val="27"/>
            </w:pPr>
          </w:p>
        </w:tc>
      </w:tr>
      <w:tr w14:paraId="01FEA2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AB4EDCF">
            <w:pPr>
              <w:pStyle w:val="27"/>
            </w:pPr>
          </w:p>
        </w:tc>
        <w:tc>
          <w:tcPr>
            <w:tcW w:w="919" w:type="dxa"/>
          </w:tcPr>
          <w:p w14:paraId="25C92F61">
            <w:pPr>
              <w:pStyle w:val="27"/>
            </w:pPr>
          </w:p>
        </w:tc>
        <w:tc>
          <w:tcPr>
            <w:tcW w:w="2289" w:type="dxa"/>
          </w:tcPr>
          <w:p w14:paraId="2433EC8B">
            <w:pPr>
              <w:pStyle w:val="27"/>
            </w:pPr>
          </w:p>
        </w:tc>
        <w:tc>
          <w:tcPr>
            <w:tcW w:w="1148" w:type="dxa"/>
          </w:tcPr>
          <w:p w14:paraId="158F1205">
            <w:pPr>
              <w:pStyle w:val="27"/>
            </w:pPr>
          </w:p>
        </w:tc>
        <w:tc>
          <w:tcPr>
            <w:tcW w:w="1150" w:type="dxa"/>
          </w:tcPr>
          <w:p w14:paraId="725763D1">
            <w:pPr>
              <w:pStyle w:val="27"/>
            </w:pPr>
          </w:p>
        </w:tc>
        <w:tc>
          <w:tcPr>
            <w:tcW w:w="1240" w:type="dxa"/>
          </w:tcPr>
          <w:p w14:paraId="6121B40C">
            <w:pPr>
              <w:pStyle w:val="27"/>
            </w:pPr>
          </w:p>
        </w:tc>
      </w:tr>
      <w:tr w14:paraId="0AB0EB6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CA43EAE">
            <w:pPr>
              <w:pStyle w:val="27"/>
            </w:pPr>
          </w:p>
        </w:tc>
        <w:tc>
          <w:tcPr>
            <w:tcW w:w="919" w:type="dxa"/>
          </w:tcPr>
          <w:p w14:paraId="3B3A1C77">
            <w:pPr>
              <w:pStyle w:val="27"/>
            </w:pPr>
          </w:p>
        </w:tc>
        <w:tc>
          <w:tcPr>
            <w:tcW w:w="2289" w:type="dxa"/>
          </w:tcPr>
          <w:p w14:paraId="22CBBD0C">
            <w:pPr>
              <w:pStyle w:val="27"/>
            </w:pPr>
          </w:p>
        </w:tc>
        <w:tc>
          <w:tcPr>
            <w:tcW w:w="1148" w:type="dxa"/>
          </w:tcPr>
          <w:p w14:paraId="225AE422">
            <w:pPr>
              <w:pStyle w:val="27"/>
            </w:pPr>
          </w:p>
        </w:tc>
        <w:tc>
          <w:tcPr>
            <w:tcW w:w="1150" w:type="dxa"/>
          </w:tcPr>
          <w:p w14:paraId="36CE5D4E">
            <w:pPr>
              <w:pStyle w:val="27"/>
            </w:pPr>
          </w:p>
        </w:tc>
        <w:tc>
          <w:tcPr>
            <w:tcW w:w="1240" w:type="dxa"/>
          </w:tcPr>
          <w:p w14:paraId="2C9632EF">
            <w:pPr>
              <w:pStyle w:val="27"/>
            </w:pPr>
          </w:p>
        </w:tc>
      </w:tr>
    </w:tbl>
    <w:p w14:paraId="4902F764">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D04AC6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F148F63">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_Toc22162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_Toc22162 \h </w:instrText>
          </w:r>
          <w:r>
            <w:fldChar w:fldCharType="separate"/>
          </w:r>
          <w:r>
            <w:t>1</w:t>
          </w:r>
          <w:r>
            <w:fldChar w:fldCharType="end"/>
          </w:r>
          <w:r>
            <w:rPr>
              <w:rFonts w:hint="eastAsia" w:ascii="宋体" w:hAnsi="宋体" w:eastAsia="宋体" w:cs="宋体"/>
              <w:szCs w:val="24"/>
            </w:rPr>
            <w:fldChar w:fldCharType="end"/>
          </w:r>
        </w:p>
        <w:p w14:paraId="2401844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_Toc18950 </w:instrText>
          </w:r>
          <w:r>
            <w:rPr>
              <w:rFonts w:hint="eastAsia" w:ascii="宋体" w:hAnsi="宋体" w:eastAsia="宋体" w:cs="宋体"/>
              <w:szCs w:val="24"/>
            </w:rPr>
            <w:fldChar w:fldCharType="separate"/>
          </w:r>
          <w:r>
            <w:rPr>
              <w:rFonts w:hint="eastAsia"/>
              <w:lang w:val="en-US" w:eastAsia="zh-CN"/>
            </w:rPr>
            <w:t>内部审核报告</w:t>
          </w:r>
          <w:r>
            <w:tab/>
          </w:r>
          <w:r>
            <w:fldChar w:fldCharType="begin"/>
          </w:r>
          <w:r>
            <w:instrText xml:space="preserve"> PAGEREF _Toc18950 \h </w:instrText>
          </w:r>
          <w:r>
            <w:fldChar w:fldCharType="separate"/>
          </w:r>
          <w:r>
            <w:t>1</w:t>
          </w:r>
          <w:r>
            <w:fldChar w:fldCharType="end"/>
          </w:r>
          <w:r>
            <w:rPr>
              <w:rFonts w:hint="eastAsia" w:ascii="宋体" w:hAnsi="宋体" w:eastAsia="宋体" w:cs="宋体"/>
              <w:szCs w:val="24"/>
            </w:rPr>
            <w:fldChar w:fldCharType="end"/>
          </w:r>
        </w:p>
        <w:p w14:paraId="3EE4926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_Toc28305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_Toc28305 \h </w:instrText>
          </w:r>
          <w:r>
            <w:fldChar w:fldCharType="separate"/>
          </w:r>
          <w:r>
            <w:t>4</w:t>
          </w:r>
          <w:r>
            <w:fldChar w:fldCharType="end"/>
          </w:r>
          <w:r>
            <w:rPr>
              <w:rFonts w:hint="eastAsia" w:ascii="宋体" w:hAnsi="宋体" w:eastAsia="宋体" w:cs="宋体"/>
              <w:szCs w:val="24"/>
            </w:rPr>
            <w:fldChar w:fldCharType="end"/>
          </w:r>
        </w:p>
        <w:p w14:paraId="7A1EC83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_Toc21293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_Toc21293 \h </w:instrText>
          </w:r>
          <w:r>
            <w:fldChar w:fldCharType="separate"/>
          </w:r>
          <w:r>
            <w:t>4</w:t>
          </w:r>
          <w:r>
            <w:fldChar w:fldCharType="end"/>
          </w:r>
          <w:r>
            <w:rPr>
              <w:rFonts w:hint="eastAsia" w:ascii="宋体" w:hAnsi="宋体" w:eastAsia="宋体" w:cs="宋体"/>
              <w:szCs w:val="24"/>
            </w:rPr>
            <w:fldChar w:fldCharType="end"/>
          </w:r>
        </w:p>
        <w:p w14:paraId="30B69F7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_Toc471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_Toc471 \h </w:instrText>
          </w:r>
          <w:r>
            <w:fldChar w:fldCharType="separate"/>
          </w:r>
          <w:r>
            <w:t>4</w:t>
          </w:r>
          <w:r>
            <w:fldChar w:fldCharType="end"/>
          </w:r>
          <w:r>
            <w:rPr>
              <w:rFonts w:hint="eastAsia" w:ascii="宋体" w:hAnsi="宋体" w:eastAsia="宋体" w:cs="宋体"/>
              <w:szCs w:val="24"/>
            </w:rPr>
            <w:fldChar w:fldCharType="end"/>
          </w:r>
        </w:p>
        <w:p w14:paraId="0B4C1B2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_Toc9930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内部审核实施情况总结</w:t>
          </w:r>
          <w:r>
            <w:tab/>
          </w:r>
          <w:r>
            <w:fldChar w:fldCharType="begin"/>
          </w:r>
          <w:r>
            <w:instrText xml:space="preserve"> PAGEREF _Toc9930 \h </w:instrText>
          </w:r>
          <w:r>
            <w:fldChar w:fldCharType="separate"/>
          </w:r>
          <w:r>
            <w:t>4</w:t>
          </w:r>
          <w:r>
            <w:fldChar w:fldCharType="end"/>
          </w:r>
          <w:r>
            <w:rPr>
              <w:rFonts w:hint="eastAsia" w:ascii="宋体" w:hAnsi="宋体" w:eastAsia="宋体" w:cs="宋体"/>
              <w:szCs w:val="24"/>
            </w:rPr>
            <w:fldChar w:fldCharType="end"/>
          </w:r>
        </w:p>
        <w:p w14:paraId="2A44C62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_Toc4552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审核安排</w:t>
          </w:r>
          <w:r>
            <w:tab/>
          </w:r>
          <w:r>
            <w:fldChar w:fldCharType="begin"/>
          </w:r>
          <w:r>
            <w:instrText xml:space="preserve"> PAGEREF _Toc4552 \h </w:instrText>
          </w:r>
          <w:r>
            <w:fldChar w:fldCharType="separate"/>
          </w:r>
          <w:r>
            <w:t>4</w:t>
          </w:r>
          <w:r>
            <w:fldChar w:fldCharType="end"/>
          </w:r>
          <w:r>
            <w:rPr>
              <w:rFonts w:hint="eastAsia" w:ascii="宋体" w:hAnsi="宋体" w:eastAsia="宋体" w:cs="宋体"/>
              <w:szCs w:val="24"/>
            </w:rPr>
            <w:fldChar w:fldCharType="end"/>
          </w:r>
        </w:p>
        <w:p w14:paraId="5D31F57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_Toc15677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审核组成员</w:t>
          </w:r>
          <w:r>
            <w:tab/>
          </w:r>
          <w:r>
            <w:fldChar w:fldCharType="begin"/>
          </w:r>
          <w:r>
            <w:instrText xml:space="preserve"> PAGEREF _Toc15677 \h </w:instrText>
          </w:r>
          <w:r>
            <w:fldChar w:fldCharType="separate"/>
          </w:r>
          <w:r>
            <w:t>4</w:t>
          </w:r>
          <w:r>
            <w:fldChar w:fldCharType="end"/>
          </w:r>
          <w:r>
            <w:rPr>
              <w:rFonts w:hint="eastAsia" w:ascii="宋体" w:hAnsi="宋体" w:eastAsia="宋体" w:cs="宋体"/>
              <w:szCs w:val="24"/>
            </w:rPr>
            <w:fldChar w:fldCharType="end"/>
          </w:r>
        </w:p>
        <w:p w14:paraId="559B616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_Toc18369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结论</w:t>
          </w:r>
          <w:r>
            <w:tab/>
          </w:r>
          <w:r>
            <w:fldChar w:fldCharType="begin"/>
          </w:r>
          <w:r>
            <w:instrText xml:space="preserve"> PAGEREF _Toc18369 \h </w:instrText>
          </w:r>
          <w:r>
            <w:fldChar w:fldCharType="separate"/>
          </w:r>
          <w:r>
            <w:t>4</w:t>
          </w:r>
          <w:r>
            <w:fldChar w:fldCharType="end"/>
          </w:r>
          <w:r>
            <w:rPr>
              <w:rFonts w:hint="eastAsia" w:ascii="宋体" w:hAnsi="宋体" w:eastAsia="宋体" w:cs="宋体"/>
              <w:szCs w:val="24"/>
            </w:rPr>
            <w:fldChar w:fldCharType="end"/>
          </w:r>
        </w:p>
        <w:p w14:paraId="723ABDE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_Toc19195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eastAsia="宋体"/>
              <w:lang w:val="en-US" w:eastAsia="zh-CN"/>
            </w:rPr>
            <w:t>附则</w:t>
          </w:r>
          <w:r>
            <w:tab/>
          </w:r>
          <w:r>
            <w:fldChar w:fldCharType="begin"/>
          </w:r>
          <w:r>
            <w:instrText xml:space="preserve"> PAGEREF _Toc19195 \h </w:instrText>
          </w:r>
          <w:r>
            <w:fldChar w:fldCharType="separate"/>
          </w:r>
          <w:r>
            <w:t>5</w:t>
          </w:r>
          <w:r>
            <w:fldChar w:fldCharType="end"/>
          </w:r>
          <w:r>
            <w:rPr>
              <w:rFonts w:hint="eastAsia" w:ascii="宋体" w:hAnsi="宋体" w:eastAsia="宋体" w:cs="宋体"/>
              <w:szCs w:val="24"/>
            </w:rPr>
            <w:fldChar w:fldCharType="end"/>
          </w:r>
        </w:p>
        <w:p w14:paraId="66A922B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_Toc15533 </w:instrText>
          </w:r>
          <w:r>
            <w:rPr>
              <w:rFonts w:hint="eastAsia" w:ascii="宋体" w:hAnsi="宋体" w:eastAsia="宋体" w:cs="宋体"/>
              <w:szCs w:val="24"/>
            </w:rPr>
            <w:fldChar w:fldCharType="separate"/>
          </w:r>
          <w:r>
            <w:rPr>
              <w:rFonts w:hint="default"/>
              <w:lang w:val="en-US" w:eastAsia="zh-CN"/>
            </w:rPr>
            <w:t xml:space="preserve">6. </w:t>
          </w:r>
          <w:r>
            <w:rPr>
              <w:rFonts w:hint="eastAsia"/>
              <w:lang w:val="en-US" w:eastAsia="zh-CN"/>
            </w:rPr>
            <w:t>附件</w:t>
          </w:r>
          <w:r>
            <w:tab/>
          </w:r>
          <w:r>
            <w:fldChar w:fldCharType="begin"/>
          </w:r>
          <w:r>
            <w:instrText xml:space="preserve"> PAGEREF _Toc15533 \h </w:instrText>
          </w:r>
          <w:r>
            <w:fldChar w:fldCharType="separate"/>
          </w:r>
          <w:r>
            <w:t>5</w:t>
          </w:r>
          <w:r>
            <w:fldChar w:fldCharType="end"/>
          </w:r>
          <w:r>
            <w:rPr>
              <w:rFonts w:hint="eastAsia" w:ascii="宋体" w:hAnsi="宋体" w:eastAsia="宋体" w:cs="宋体"/>
              <w:szCs w:val="24"/>
            </w:rPr>
            <w:fldChar w:fldCharType="end"/>
          </w:r>
        </w:p>
        <w:p w14:paraId="171EE5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_Toc2661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记录</w:t>
          </w:r>
          <w:r>
            <w:tab/>
          </w:r>
          <w:r>
            <w:fldChar w:fldCharType="begin"/>
          </w:r>
          <w:r>
            <w:instrText xml:space="preserve"> PAGEREF _Toc2661 \h </w:instrText>
          </w:r>
          <w:r>
            <w:fldChar w:fldCharType="separate"/>
          </w:r>
          <w:r>
            <w:t>5</w:t>
          </w:r>
          <w:r>
            <w:fldChar w:fldCharType="end"/>
          </w:r>
          <w:r>
            <w:rPr>
              <w:rFonts w:hint="eastAsia" w:ascii="宋体" w:hAnsi="宋体" w:eastAsia="宋体" w:cs="宋体"/>
              <w:szCs w:val="24"/>
            </w:rPr>
            <w:fldChar w:fldCharType="end"/>
          </w:r>
        </w:p>
        <w:p w14:paraId="17F06E62">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09127CBC">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CF4D3CC">
      <w:pPr>
        <w:pStyle w:val="28"/>
        <w:bidi w:val="0"/>
      </w:pPr>
      <w:bookmarkStart w:id="2" w:name="_Toc28305"/>
      <w:r>
        <w:t>目的</w:t>
      </w:r>
      <w:bookmarkEnd w:id="2"/>
    </w:p>
    <w:p w14:paraId="76AD148C">
      <w:pPr>
        <w:pStyle w:val="39"/>
        <w:numPr>
          <w:ilvl w:val="0"/>
          <w:numId w:val="2"/>
        </w:numPr>
        <w:bidi w:val="0"/>
        <w:ind w:left="425" w:leftChars="0" w:hanging="425" w:firstLineChars="0"/>
      </w:pPr>
      <w:r>
        <w:t>为检查公司ITSS运维服务能力管理体系是否符合《信息技术服务  运行维护  第 1 部分：通用要求》标准并有效运行，不断自我完善。</w:t>
      </w:r>
    </w:p>
    <w:p w14:paraId="104348BD">
      <w:pPr>
        <w:pStyle w:val="39"/>
        <w:numPr>
          <w:ilvl w:val="0"/>
          <w:numId w:val="2"/>
        </w:numPr>
        <w:bidi w:val="0"/>
        <w:ind w:left="425" w:leftChars="0" w:hanging="425" w:firstLineChars="0"/>
      </w:pPr>
      <w:r>
        <w:t>验证运维服务管理是否符合本公司运维体系文件的规定，确保体系正常运行；</w:t>
      </w:r>
    </w:p>
    <w:p w14:paraId="1DA69AEC">
      <w:pPr>
        <w:pStyle w:val="39"/>
        <w:numPr>
          <w:ilvl w:val="0"/>
          <w:numId w:val="2"/>
        </w:numPr>
        <w:bidi w:val="0"/>
        <w:ind w:left="425" w:leftChars="0" w:hanging="425" w:firstLineChars="0"/>
      </w:pPr>
      <w:r>
        <w:t>检查本公司运维服务体系是否得到有效实施和保持。</w:t>
      </w:r>
    </w:p>
    <w:p w14:paraId="2E5995E7">
      <w:pPr>
        <w:pStyle w:val="28"/>
        <w:bidi w:val="0"/>
        <w:rPr>
          <w:rFonts w:hint="eastAsia"/>
          <w:lang w:val="en-US" w:eastAsia="zh-CN"/>
        </w:rPr>
      </w:pPr>
      <w:bookmarkStart w:id="3" w:name="_Toc21293"/>
      <w:r>
        <w:rPr>
          <w:rFonts w:hint="eastAsia"/>
          <w:lang w:val="en-US" w:eastAsia="zh-CN"/>
        </w:rPr>
        <w:t>原则</w:t>
      </w:r>
      <w:bookmarkEnd w:id="3"/>
    </w:p>
    <w:p w14:paraId="312849FC">
      <w:pPr>
        <w:pStyle w:val="39"/>
        <w:numPr>
          <w:ilvl w:val="0"/>
          <w:numId w:val="3"/>
        </w:numPr>
        <w:bidi w:val="0"/>
        <w:ind w:left="425" w:leftChars="0" w:hanging="425" w:firstLineChars="0"/>
        <w:rPr>
          <w:rFonts w:hint="eastAsia"/>
          <w:lang w:val="en-US" w:eastAsia="zh-CN"/>
        </w:rPr>
      </w:pPr>
      <w:r>
        <w:t>以事实为依据，以标准为准绳，避免主观臆断和个人偏见</w:t>
      </w:r>
    </w:p>
    <w:p w14:paraId="277F9F5D">
      <w:pPr>
        <w:pStyle w:val="28"/>
        <w:bidi w:val="0"/>
      </w:pPr>
      <w:bookmarkStart w:id="4" w:name="_Toc471"/>
      <w:r>
        <w:rPr>
          <w:rFonts w:hint="eastAsia"/>
          <w:lang w:val="en-US" w:eastAsia="zh-CN"/>
        </w:rPr>
        <w:t>适用</w:t>
      </w:r>
      <w:r>
        <w:t>范围</w:t>
      </w:r>
      <w:bookmarkEnd w:id="4"/>
    </w:p>
    <w:p w14:paraId="390DBFE4">
      <w:pPr>
        <w:pStyle w:val="29"/>
        <w:bidi w:val="0"/>
      </w:pPr>
      <w:r>
        <w:t>运维服务相关部门，包括：</w:t>
      </w:r>
      <w:bookmarkStart w:id="5" w:name="_bookmark2"/>
      <w:bookmarkEnd w:id="5"/>
      <w:bookmarkStart w:id="6" w:name="3审核依据"/>
      <w:bookmarkEnd w:id="6"/>
      <w:r>
        <w:rPr>
          <w:rFonts w:hint="eastAsia"/>
        </w:rPr>
        <w:t>管理层、人力部、</w:t>
      </w:r>
      <w:r>
        <w:rPr>
          <w:rFonts w:hint="eastAsia"/>
          <w:lang w:val="en-US" w:eastAsia="zh-CN"/>
        </w:rPr>
        <w:t>运维部</w:t>
      </w:r>
      <w:r>
        <w:rPr>
          <w:rFonts w:hint="eastAsia"/>
        </w:rPr>
        <w:t>、研发部、质量部、</w:t>
      </w:r>
      <w:r>
        <w:rPr>
          <w:rFonts w:hint="eastAsia"/>
          <w:lang w:eastAsia="zh-CN"/>
        </w:rPr>
        <w:t>采购部</w:t>
      </w:r>
      <w:r>
        <w:rPr>
          <w:rFonts w:hint="eastAsia"/>
        </w:rPr>
        <w:t>。</w:t>
      </w:r>
    </w:p>
    <w:p w14:paraId="61D2BE1E">
      <w:pPr>
        <w:pStyle w:val="28"/>
        <w:bidi w:val="0"/>
        <w:rPr>
          <w:rFonts w:hint="default"/>
          <w:lang w:val="en-US" w:eastAsia="zh-CN"/>
        </w:rPr>
      </w:pPr>
      <w:bookmarkStart w:id="7" w:name="_Toc9930"/>
      <w:r>
        <w:rPr>
          <w:rFonts w:hint="eastAsia"/>
          <w:lang w:val="en-US" w:eastAsia="zh-CN"/>
        </w:rPr>
        <w:t>内部审核实施情况总结</w:t>
      </w:r>
      <w:bookmarkEnd w:id="7"/>
    </w:p>
    <w:p w14:paraId="1B2551C0">
      <w:pPr>
        <w:pStyle w:val="30"/>
        <w:bidi w:val="0"/>
        <w:rPr>
          <w:rFonts w:hint="eastAsia"/>
          <w:lang w:val="en-US" w:eastAsia="zh-CN"/>
        </w:rPr>
      </w:pPr>
      <w:bookmarkStart w:id="8" w:name="_Toc16537"/>
      <w:bookmarkStart w:id="9" w:name="_Toc4552"/>
      <w:r>
        <w:rPr>
          <w:rFonts w:hint="eastAsia"/>
          <w:lang w:val="en-US" w:eastAsia="zh-CN"/>
        </w:rPr>
        <w:t>审核安排</w:t>
      </w:r>
      <w:bookmarkEnd w:id="8"/>
      <w:bookmarkEnd w:id="9"/>
    </w:p>
    <w:p w14:paraId="7A395E93">
      <w:pPr>
        <w:pStyle w:val="39"/>
        <w:numPr>
          <w:ilvl w:val="0"/>
          <w:numId w:val="4"/>
        </w:numPr>
        <w:bidi w:val="0"/>
        <w:ind w:left="425" w:leftChars="0" w:hanging="425" w:firstLineChars="0"/>
      </w:pPr>
      <w:bookmarkStart w:id="10" w:name="_Toc32298"/>
      <w:r>
        <w:t>时间安排：</w:t>
      </w:r>
      <w:bookmarkEnd w:id="10"/>
      <w:r>
        <w:t>202</w:t>
      </w:r>
      <w:r>
        <w:rPr>
          <w:rFonts w:hint="eastAsia"/>
          <w:lang w:val="en-US" w:eastAsia="zh-CN"/>
        </w:rPr>
        <w:t>5</w:t>
      </w:r>
      <w:r>
        <w:t>.</w:t>
      </w:r>
      <w:r>
        <w:rPr>
          <w:rFonts w:hint="eastAsia"/>
          <w:lang w:val="en-US" w:eastAsia="zh-CN"/>
        </w:rPr>
        <w:t>8</w:t>
      </w:r>
      <w:r>
        <w:t>.</w:t>
      </w:r>
      <w:r>
        <w:rPr>
          <w:rFonts w:hint="eastAsia"/>
          <w:lang w:val="en-US" w:eastAsia="zh-CN"/>
        </w:rPr>
        <w:t>15</w:t>
      </w:r>
      <w:r>
        <w:t>-202</w:t>
      </w:r>
      <w:r>
        <w:rPr>
          <w:rFonts w:hint="eastAsia"/>
          <w:lang w:val="en-US" w:eastAsia="zh-CN"/>
        </w:rPr>
        <w:t>5</w:t>
      </w:r>
      <w:r>
        <w:t>.</w:t>
      </w:r>
      <w:r>
        <w:rPr>
          <w:rFonts w:hint="eastAsia"/>
          <w:lang w:val="en-US" w:eastAsia="zh-CN"/>
        </w:rPr>
        <w:t>8</w:t>
      </w:r>
      <w:r>
        <w:t>.</w:t>
      </w:r>
      <w:bookmarkStart w:id="11" w:name="_Toc31166"/>
      <w:r>
        <w:rPr>
          <w:rFonts w:hint="eastAsia"/>
          <w:lang w:val="en-US" w:eastAsia="zh-CN"/>
        </w:rPr>
        <w:t>16</w:t>
      </w:r>
    </w:p>
    <w:p w14:paraId="2BAD655E">
      <w:pPr>
        <w:pStyle w:val="39"/>
        <w:numPr>
          <w:ilvl w:val="0"/>
          <w:numId w:val="4"/>
        </w:numPr>
        <w:bidi w:val="0"/>
        <w:ind w:left="425" w:leftChars="0" w:hanging="425" w:firstLineChars="0"/>
      </w:pPr>
      <w:r>
        <w:t>地点安排：公司会议室</w:t>
      </w:r>
      <w:bookmarkEnd w:id="11"/>
    </w:p>
    <w:p w14:paraId="19CC9611">
      <w:pPr>
        <w:pStyle w:val="39"/>
        <w:numPr>
          <w:ilvl w:val="0"/>
          <w:numId w:val="4"/>
        </w:numPr>
        <w:bidi w:val="0"/>
        <w:ind w:left="425" w:leftChars="0" w:hanging="425" w:firstLineChars="0"/>
      </w:pPr>
      <w:r>
        <w:rPr>
          <w:rFonts w:hint="eastAsia"/>
        </w:rPr>
        <w:t>首次会议：</w:t>
      </w:r>
      <w:r>
        <w:t>202</w:t>
      </w:r>
      <w:r>
        <w:rPr>
          <w:rFonts w:hint="eastAsia"/>
          <w:lang w:val="en-US" w:eastAsia="zh-CN"/>
        </w:rPr>
        <w:t>5</w:t>
      </w:r>
      <w:r>
        <w:t>.</w:t>
      </w:r>
      <w:r>
        <w:rPr>
          <w:rFonts w:hint="eastAsia"/>
          <w:lang w:val="en-US" w:eastAsia="zh-CN"/>
        </w:rPr>
        <w:t>8</w:t>
      </w:r>
      <w:r>
        <w:t>.</w:t>
      </w:r>
      <w:r>
        <w:rPr>
          <w:rFonts w:hint="eastAsia"/>
          <w:lang w:val="en-US" w:eastAsia="zh-CN"/>
        </w:rPr>
        <w:t>15</w:t>
      </w:r>
      <w:r>
        <w:t xml:space="preserve">   </w:t>
      </w:r>
      <w:r>
        <w:rPr>
          <w:rFonts w:hint="eastAsia"/>
        </w:rPr>
        <w:t>9:30</w:t>
      </w:r>
    </w:p>
    <w:p w14:paraId="16AC4ED4">
      <w:pPr>
        <w:pStyle w:val="39"/>
        <w:numPr>
          <w:ilvl w:val="0"/>
          <w:numId w:val="4"/>
        </w:numPr>
        <w:bidi w:val="0"/>
        <w:ind w:left="425" w:leftChars="0" w:hanging="425" w:firstLineChars="0"/>
      </w:pPr>
      <w:r>
        <w:rPr>
          <w:rFonts w:hint="eastAsia"/>
        </w:rPr>
        <w:t>末次会议：</w:t>
      </w:r>
      <w:r>
        <w:t>202</w:t>
      </w:r>
      <w:r>
        <w:rPr>
          <w:rFonts w:hint="eastAsia"/>
          <w:lang w:val="en-US" w:eastAsia="zh-CN"/>
        </w:rPr>
        <w:t>5</w:t>
      </w:r>
      <w:r>
        <w:t>.</w:t>
      </w:r>
      <w:r>
        <w:rPr>
          <w:rFonts w:hint="eastAsia"/>
          <w:lang w:val="en-US" w:eastAsia="zh-CN"/>
        </w:rPr>
        <w:t>8</w:t>
      </w:r>
      <w:r>
        <w:t>.</w:t>
      </w:r>
      <w:r>
        <w:rPr>
          <w:rFonts w:hint="eastAsia"/>
          <w:lang w:val="en-US" w:eastAsia="zh-CN"/>
        </w:rPr>
        <w:t>16</w:t>
      </w:r>
      <w:r>
        <w:rPr>
          <w:rFonts w:hint="eastAsia"/>
        </w:rPr>
        <w:t xml:space="preserve">   16:30-17:00</w:t>
      </w:r>
    </w:p>
    <w:p w14:paraId="1268517E">
      <w:pPr>
        <w:pStyle w:val="30"/>
        <w:bidi w:val="0"/>
        <w:rPr>
          <w:rFonts w:hint="eastAsia"/>
          <w:lang w:val="en-US" w:eastAsia="zh-CN"/>
        </w:rPr>
      </w:pPr>
      <w:bookmarkStart w:id="12" w:name="_Toc14732"/>
      <w:bookmarkStart w:id="13" w:name="_Toc15677"/>
      <w:r>
        <w:rPr>
          <w:rFonts w:hint="eastAsia"/>
          <w:lang w:val="en-US" w:eastAsia="zh-CN"/>
        </w:rPr>
        <w:t>审核组成员</w:t>
      </w:r>
      <w:bookmarkEnd w:id="12"/>
      <w:bookmarkEnd w:id="13"/>
    </w:p>
    <w:p w14:paraId="4D9BFF9E">
      <w:pPr>
        <w:pStyle w:val="39"/>
        <w:bidi w:val="0"/>
        <w:rPr>
          <w:rFonts w:hint="eastAsia"/>
          <w:lang w:val="en-US" w:eastAsia="zh-CN"/>
        </w:rPr>
      </w:pPr>
      <w:r>
        <w:rPr>
          <w:rFonts w:hint="eastAsia"/>
          <w:lang w:val="en-US" w:eastAsia="zh-CN"/>
        </w:rPr>
        <w:t>组长：陈姝羽</w:t>
      </w:r>
    </w:p>
    <w:p w14:paraId="2F981F79">
      <w:pPr>
        <w:pStyle w:val="39"/>
        <w:bidi w:val="0"/>
        <w:rPr>
          <w:rFonts w:hint="eastAsia"/>
          <w:lang w:val="en-US" w:eastAsia="zh-CN"/>
        </w:rPr>
      </w:pPr>
      <w:r>
        <w:rPr>
          <w:rFonts w:hint="eastAsia"/>
          <w:lang w:val="en-US" w:eastAsia="zh-CN"/>
        </w:rPr>
        <w:t>组员：</w:t>
      </w:r>
      <w:r>
        <w:t>毛彦超</w:t>
      </w:r>
      <w:r>
        <w:rPr>
          <w:rFonts w:hint="eastAsia"/>
          <w:lang w:eastAsia="zh-CN"/>
        </w:rPr>
        <w:t>、田力、</w:t>
      </w:r>
      <w:r>
        <w:t>王琼</w:t>
      </w:r>
      <w:r>
        <w:rPr>
          <w:rFonts w:hint="eastAsia"/>
          <w:lang w:eastAsia="zh-CN"/>
        </w:rPr>
        <w:t>、</w:t>
      </w:r>
      <w:r>
        <w:t>孙文</w:t>
      </w:r>
      <w:r>
        <w:rPr>
          <w:rFonts w:hint="eastAsia"/>
          <w:lang w:eastAsia="zh-CN"/>
        </w:rPr>
        <w:t>、王钰轩</w:t>
      </w:r>
    </w:p>
    <w:p w14:paraId="6C1C66A6">
      <w:pPr>
        <w:pStyle w:val="30"/>
        <w:bidi w:val="0"/>
        <w:rPr>
          <w:rFonts w:hint="default"/>
          <w:lang w:val="en-US" w:eastAsia="zh-CN"/>
        </w:rPr>
      </w:pPr>
      <w:bookmarkStart w:id="14" w:name="_Toc18369"/>
      <w:r>
        <w:rPr>
          <w:rFonts w:hint="eastAsia"/>
          <w:lang w:val="en-US" w:eastAsia="zh-CN"/>
        </w:rPr>
        <w:t>结论</w:t>
      </w:r>
      <w:bookmarkEnd w:id="14"/>
    </w:p>
    <w:p w14:paraId="3057D5A2">
      <w:pPr>
        <w:pStyle w:val="29"/>
        <w:bidi w:val="0"/>
      </w:pPr>
      <w:r>
        <w:t>审核组经过</w:t>
      </w:r>
      <w:r>
        <w:rPr>
          <w:rFonts w:hint="eastAsia"/>
          <w:lang w:val="en-US" w:eastAsia="zh-CN"/>
        </w:rPr>
        <w:t>2</w:t>
      </w:r>
      <w:r>
        <w:t>天的审核，对运维体系的运行的实际情况所涉及到的部门的职责进行了全面的审核，</w:t>
      </w:r>
      <w:r>
        <w:rPr>
          <w:rFonts w:hint="eastAsia"/>
          <w:lang w:val="en-US" w:eastAsia="zh-CN"/>
        </w:rPr>
        <w:t>在</w:t>
      </w:r>
      <w:r>
        <w:t>各部门的大力支持和配合</w:t>
      </w:r>
      <w:r>
        <w:rPr>
          <w:rFonts w:hint="eastAsia"/>
          <w:lang w:val="en-US" w:eastAsia="zh-CN"/>
        </w:rPr>
        <w:t>下</w:t>
      </w:r>
      <w:r>
        <w:t>，按计划完成了本次审核。</w:t>
      </w:r>
    </w:p>
    <w:p w14:paraId="34E327BC">
      <w:pPr>
        <w:pStyle w:val="29"/>
        <w:bidi w:val="0"/>
      </w:pPr>
      <w:r>
        <w:t>本次内审共发现1处不符合项，</w:t>
      </w:r>
      <w:r>
        <w:rPr>
          <w:rFonts w:hint="eastAsia"/>
          <w:lang w:val="en-US" w:eastAsia="zh-CN"/>
        </w:rPr>
        <w:t>发生</w:t>
      </w:r>
      <w:r>
        <w:t>在运维部，于2025年</w:t>
      </w:r>
      <w:r>
        <w:rPr>
          <w:rFonts w:hint="eastAsia"/>
          <w:lang w:val="en-US" w:eastAsia="zh-CN"/>
        </w:rPr>
        <w:t>8</w:t>
      </w:r>
      <w:r>
        <w:t>月</w:t>
      </w:r>
      <w:r>
        <w:rPr>
          <w:rFonts w:hint="eastAsia"/>
          <w:lang w:val="en-US" w:eastAsia="zh-CN"/>
        </w:rPr>
        <w:t>16</w:t>
      </w:r>
      <w:r>
        <w:t>日下午召开末次会议，向公司</w:t>
      </w:r>
      <w:r>
        <w:rPr>
          <w:rFonts w:hint="eastAsia"/>
          <w:lang w:val="en-US" w:eastAsia="zh-CN"/>
        </w:rPr>
        <w:t>管理者代表</w:t>
      </w:r>
      <w:r>
        <w:t>和受审部门陈述了审核过程及基本情况，宣读了《</w:t>
      </w:r>
      <w:r>
        <w:rPr>
          <w:rFonts w:hint="eastAsia"/>
          <w:lang w:val="en-US" w:eastAsia="zh-CN"/>
        </w:rPr>
        <w:t>内部审核</w:t>
      </w:r>
      <w:r>
        <w:t>不合格报告》，并提出了纠正措施制定、实施的完成时间。整个内审过程，得到了公司领导和各部门的高度重视和密切配合，使审核工作顺利开展，达到了预期的目的。</w:t>
      </w:r>
    </w:p>
    <w:p w14:paraId="51324274">
      <w:pPr>
        <w:pStyle w:val="29"/>
        <w:bidi w:val="0"/>
      </w:pPr>
      <w:r>
        <w:t>通过此次内部审核，我们有效地验证了公司依据ITSS标准建立的运维服务能力管理体系不仅在文件层面得到落实，更在实际运行中取得了基本有效的成果，这充分肯定了现行管理模式的正确性与执行力。审核过程同时反映出公司管理层在贯标工作中的积极投入和以身作则，成功引领了全体员工的广泛参与，为培育良好的质量文化奠定了基础。更重要的是，内审作为一种高效的“管理体检”，精准地揭示了我们在文件学习、过程细节控制及客户满意度管理等环节存在的提升空间，这些发现并非否定成绩，而是为我们指明了持续改进的清晰路径和具体方向，确保了管理体系能够不断优化、螺旋上升，真正发挥了内审作为组织自我完善核心驱动力的价值。</w:t>
      </w:r>
    </w:p>
    <w:p w14:paraId="63E00CDB">
      <w:pPr>
        <w:pStyle w:val="28"/>
        <w:bidi w:val="0"/>
        <w:rPr>
          <w:rStyle w:val="38"/>
          <w:rFonts w:hint="default" w:eastAsia="宋体"/>
          <w:lang w:val="en-US" w:eastAsia="zh-CN"/>
        </w:rPr>
      </w:pPr>
      <w:bookmarkStart w:id="15" w:name="bookmark3"/>
      <w:bookmarkEnd w:id="15"/>
      <w:bookmarkStart w:id="16" w:name="_Toc17424"/>
      <w:bookmarkStart w:id="17" w:name="_Toc19195"/>
      <w:r>
        <w:rPr>
          <w:rStyle w:val="38"/>
          <w:rFonts w:hint="eastAsia" w:eastAsia="宋体"/>
          <w:lang w:val="en-US" w:eastAsia="zh-CN"/>
        </w:rPr>
        <w:t>附则</w:t>
      </w:r>
      <w:bookmarkEnd w:id="16"/>
      <w:bookmarkEnd w:id="17"/>
    </w:p>
    <w:p w14:paraId="29D42C3C">
      <w:pPr>
        <w:pStyle w:val="39"/>
        <w:numPr>
          <w:ilvl w:val="0"/>
          <w:numId w:val="5"/>
        </w:numPr>
        <w:bidi w:val="0"/>
        <w:ind w:left="425" w:leftChars="0" w:hanging="425" w:firstLineChars="0"/>
      </w:pPr>
      <w:bookmarkStart w:id="18" w:name="bookmark14"/>
      <w:bookmarkEnd w:id="18"/>
      <w:r>
        <w:t>GB/T 28827.1-2022《信息技术服务  运行维护  第 1 部分：通用要求》；</w:t>
      </w:r>
    </w:p>
    <w:p w14:paraId="24A80A36">
      <w:pPr>
        <w:pStyle w:val="39"/>
        <w:numPr>
          <w:ilvl w:val="0"/>
          <w:numId w:val="5"/>
        </w:numPr>
        <w:bidi w:val="0"/>
        <w:ind w:left="425" w:leftChars="0" w:hanging="425" w:firstLineChars="0"/>
      </w:pPr>
      <w:r>
        <w:t>GB/T 28827.2-2012《信息技术服务 运行维护 第 2 部分:交付规范》；</w:t>
      </w:r>
    </w:p>
    <w:p w14:paraId="1E9A29D2">
      <w:pPr>
        <w:pStyle w:val="39"/>
        <w:numPr>
          <w:ilvl w:val="0"/>
          <w:numId w:val="5"/>
        </w:numPr>
        <w:bidi w:val="0"/>
        <w:ind w:left="425" w:leftChars="0" w:hanging="425" w:firstLineChars="0"/>
      </w:pPr>
      <w:r>
        <w:t>GB/T 28827.3-2012《信息技术服务 运行维护 第 3 部分:应急响应规范》；</w:t>
      </w:r>
    </w:p>
    <w:p w14:paraId="4AF57CBD">
      <w:pPr>
        <w:pStyle w:val="39"/>
        <w:numPr>
          <w:ilvl w:val="0"/>
          <w:numId w:val="5"/>
        </w:numPr>
        <w:bidi w:val="0"/>
        <w:ind w:left="425" w:leftChars="0" w:hanging="425" w:firstLineChars="0"/>
      </w:pPr>
      <w:r>
        <w:t>ITSS运维服务能力管理体系文件；</w:t>
      </w:r>
    </w:p>
    <w:p w14:paraId="5478E06C">
      <w:pPr>
        <w:pStyle w:val="39"/>
        <w:numPr>
          <w:ilvl w:val="0"/>
          <w:numId w:val="5"/>
        </w:numPr>
        <w:bidi w:val="0"/>
        <w:ind w:left="425" w:leftChars="0" w:hanging="425" w:firstLineChars="0"/>
      </w:pPr>
      <w:r>
        <w:t>T/CESA 1299—2023《信息技术服务 运行维护服务能力成熟度模型》；</w:t>
      </w:r>
    </w:p>
    <w:p w14:paraId="77467DA6">
      <w:pPr>
        <w:pStyle w:val="39"/>
        <w:numPr>
          <w:ilvl w:val="0"/>
          <w:numId w:val="5"/>
        </w:numPr>
        <w:bidi w:val="0"/>
        <w:ind w:left="425" w:leftChars="0" w:hanging="425" w:firstLineChars="0"/>
      </w:pPr>
      <w:r>
        <w:t>《服务级别协议》；</w:t>
      </w:r>
    </w:p>
    <w:p w14:paraId="742E2CB0">
      <w:pPr>
        <w:pStyle w:val="39"/>
        <w:numPr>
          <w:ilvl w:val="0"/>
          <w:numId w:val="5"/>
        </w:numPr>
        <w:bidi w:val="0"/>
        <w:ind w:left="425" w:leftChars="0" w:hanging="425" w:firstLineChars="0"/>
        <w:rPr>
          <w:rFonts w:hint="default"/>
          <w:lang w:val="en-US" w:eastAsia="zh-CN"/>
        </w:rPr>
      </w:pPr>
      <w:r>
        <w:t>相关的法律法规要求。</w:t>
      </w:r>
    </w:p>
    <w:p w14:paraId="2DDC9398">
      <w:pPr>
        <w:pStyle w:val="28"/>
        <w:bidi w:val="0"/>
        <w:rPr>
          <w:rFonts w:hint="default"/>
          <w:lang w:val="en-US" w:eastAsia="zh-CN"/>
        </w:rPr>
      </w:pPr>
      <w:bookmarkStart w:id="19" w:name="_Toc15533"/>
      <w:r>
        <w:rPr>
          <w:rFonts w:hint="eastAsia"/>
          <w:lang w:val="en-US" w:eastAsia="zh-CN"/>
        </w:rPr>
        <w:t>附件</w:t>
      </w:r>
      <w:bookmarkEnd w:id="19"/>
    </w:p>
    <w:p w14:paraId="092ADF86">
      <w:pPr>
        <w:pStyle w:val="39"/>
        <w:bidi w:val="0"/>
        <w:rPr>
          <w:rFonts w:hint="eastAsia"/>
          <w:lang w:val="en-US" w:eastAsia="zh-CN"/>
        </w:rPr>
      </w:pPr>
      <w:bookmarkStart w:id="21" w:name="_GoBack"/>
      <w:r>
        <w:rPr>
          <w:rFonts w:hint="eastAsia"/>
          <w:lang w:val="en-US" w:eastAsia="zh-CN"/>
        </w:rPr>
        <w:t>《内部审核不符合报告》</w:t>
      </w:r>
    </w:p>
    <w:p w14:paraId="3D74B891">
      <w:pPr>
        <w:pStyle w:val="39"/>
        <w:bidi w:val="0"/>
        <w:rPr>
          <w:rFonts w:hint="default"/>
          <w:lang w:val="en-US" w:eastAsia="zh-CN"/>
        </w:rPr>
      </w:pPr>
      <w:r>
        <w:rPr>
          <w:rFonts w:hint="eastAsia"/>
          <w:lang w:val="en-US" w:eastAsia="zh-CN"/>
        </w:rPr>
        <w:t>《2025年内部审核计划》</w:t>
      </w:r>
    </w:p>
    <w:bookmarkEnd w:id="21"/>
    <w:p w14:paraId="39F9E2E8">
      <w:pPr>
        <w:pStyle w:val="28"/>
        <w:bidi w:val="0"/>
        <w:rPr>
          <w:rFonts w:hint="eastAsia"/>
          <w:lang w:val="en-US" w:eastAsia="zh-CN"/>
        </w:rPr>
      </w:pPr>
      <w:bookmarkStart w:id="20" w:name="_Toc2661"/>
      <w:r>
        <w:rPr>
          <w:rFonts w:hint="eastAsia"/>
          <w:lang w:val="en-US" w:eastAsia="zh-CN"/>
        </w:rPr>
        <w:t>记录</w:t>
      </w:r>
      <w:bookmarkEnd w:id="20"/>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133F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82D01F2"/>
    <w:multiLevelType w:val="singleLevel"/>
    <w:tmpl w:val="A82D01F2"/>
    <w:lvl w:ilvl="0" w:tentative="0">
      <w:start w:val="1"/>
      <w:numFmt w:val="decimal"/>
      <w:lvlText w:val="%1."/>
      <w:lvlJc w:val="left"/>
      <w:pPr>
        <w:ind w:left="425" w:hanging="425"/>
      </w:pPr>
      <w:rPr>
        <w:rFonts w:hint="default"/>
      </w:rPr>
    </w:lvl>
  </w:abstractNum>
  <w:abstractNum w:abstractNumId="2">
    <w:nsid w:val="E2724DD1"/>
    <w:multiLevelType w:val="singleLevel"/>
    <w:tmpl w:val="E2724DD1"/>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7DF0DB6E"/>
    <w:multiLevelType w:val="singleLevel"/>
    <w:tmpl w:val="7DF0DB6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3E7FAD"/>
    <w:rsid w:val="2D867168"/>
    <w:rsid w:val="3097007C"/>
    <w:rsid w:val="389E2FF7"/>
    <w:rsid w:val="4F075432"/>
    <w:rsid w:val="69C268EC"/>
    <w:rsid w:val="7A927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paragraph" w:styleId="42">
    <w:name w:val="List Paragraph"/>
    <w:basedOn w:val="1"/>
    <w:qFormat/>
    <w:uiPriority w:val="1"/>
    <w:pPr>
      <w:autoSpaceDE w:val="0"/>
      <w:autoSpaceDN w:val="0"/>
      <w:spacing w:before="182"/>
      <w:ind w:left="1078" w:hanging="421"/>
      <w:jc w:val="left"/>
    </w:pPr>
    <w:rPr>
      <w:rFonts w:ascii="宋体" w:hAnsi="宋体" w:cs="宋体"/>
      <w:kern w:val="0"/>
      <w:sz w:val="22"/>
      <w:szCs w:val="22"/>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1133</Words>
  <Characters>1328</Characters>
  <Lines>0</Lines>
  <Paragraphs>0</Paragraphs>
  <TotalTime>0</TotalTime>
  <ScaleCrop>false</ScaleCrop>
  <LinksUpToDate>false</LinksUpToDate>
  <CharactersWithSpaces>1413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2025-09-15T08:52:14Z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