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DFB8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5</w:t>
      </w:r>
    </w:p>
    <w:p w14:paraId="636FA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224127B">
      <w:pPr>
        <w:pStyle w:val="24"/>
        <w:bidi w:val="0"/>
      </w:pPr>
      <w:bookmarkStart w:id="0" w:name="_Toc1866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5623886">
      <w:pPr>
        <w:pStyle w:val="25"/>
        <w:bidi w:val="0"/>
        <w:rPr>
          <w:rFonts w:hint="default"/>
          <w:lang w:val="en-US"/>
        </w:rPr>
      </w:pPr>
      <w:bookmarkStart w:id="1" w:name="_Toc3749"/>
      <w:r>
        <w:rPr>
          <w:rFonts w:hint="eastAsia"/>
          <w:lang w:val="en-US" w:eastAsia="zh-CN"/>
        </w:rPr>
        <w:t>管理评审计划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1DDE9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C43B00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664298F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  <w:tr w14:paraId="59389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7AF65A0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9358B50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  <w:tr w14:paraId="38A6D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545F50D6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D4AA25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2025.08.15</w:t>
            </w:r>
          </w:p>
        </w:tc>
      </w:tr>
    </w:tbl>
    <w:p w14:paraId="453F7DB7">
      <w:r>
        <w:br w:type="page"/>
      </w:r>
    </w:p>
    <w:p w14:paraId="44AEE7ED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7BE8DC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3DF6B01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0552A4AB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CD6128F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9BE7A1B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5D14ACB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7B6ABA6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FF239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0817743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919" w:type="dxa"/>
          </w:tcPr>
          <w:p w14:paraId="7F2EA080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594AA3E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2546A3F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850135039"/>
                <w:lang w:val="en-US" w:eastAsia="zh-CN"/>
              </w:rPr>
              <w:t>孙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850135039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4A5E4C2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6F9DA0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9C131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58E007A">
            <w:pPr>
              <w:pStyle w:val="27"/>
            </w:pPr>
          </w:p>
        </w:tc>
        <w:tc>
          <w:tcPr>
            <w:tcW w:w="919" w:type="dxa"/>
          </w:tcPr>
          <w:p w14:paraId="6D6F1233">
            <w:pPr>
              <w:pStyle w:val="27"/>
            </w:pPr>
          </w:p>
        </w:tc>
        <w:tc>
          <w:tcPr>
            <w:tcW w:w="2289" w:type="dxa"/>
          </w:tcPr>
          <w:p w14:paraId="773C5D50">
            <w:pPr>
              <w:pStyle w:val="27"/>
            </w:pPr>
          </w:p>
        </w:tc>
        <w:tc>
          <w:tcPr>
            <w:tcW w:w="1148" w:type="dxa"/>
          </w:tcPr>
          <w:p w14:paraId="26D17C49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4F3110E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BF2348C">
            <w:pPr>
              <w:pStyle w:val="27"/>
            </w:pPr>
          </w:p>
        </w:tc>
      </w:tr>
      <w:tr w14:paraId="2D87BC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290A49C">
            <w:pPr>
              <w:pStyle w:val="27"/>
            </w:pPr>
          </w:p>
        </w:tc>
        <w:tc>
          <w:tcPr>
            <w:tcW w:w="919" w:type="dxa"/>
          </w:tcPr>
          <w:p w14:paraId="71978DD2">
            <w:pPr>
              <w:pStyle w:val="27"/>
            </w:pPr>
          </w:p>
        </w:tc>
        <w:tc>
          <w:tcPr>
            <w:tcW w:w="2289" w:type="dxa"/>
          </w:tcPr>
          <w:p w14:paraId="00022C0F">
            <w:pPr>
              <w:pStyle w:val="27"/>
            </w:pPr>
          </w:p>
        </w:tc>
        <w:tc>
          <w:tcPr>
            <w:tcW w:w="1148" w:type="dxa"/>
          </w:tcPr>
          <w:p w14:paraId="3B271C5C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D94410B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2C84E35">
            <w:pPr>
              <w:pStyle w:val="27"/>
            </w:pPr>
          </w:p>
        </w:tc>
      </w:tr>
      <w:tr w14:paraId="2D34C9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FE5F69A">
            <w:pPr>
              <w:pStyle w:val="27"/>
            </w:pPr>
          </w:p>
        </w:tc>
        <w:tc>
          <w:tcPr>
            <w:tcW w:w="919" w:type="dxa"/>
          </w:tcPr>
          <w:p w14:paraId="09786EFC">
            <w:pPr>
              <w:pStyle w:val="27"/>
            </w:pPr>
          </w:p>
        </w:tc>
        <w:tc>
          <w:tcPr>
            <w:tcW w:w="2289" w:type="dxa"/>
          </w:tcPr>
          <w:p w14:paraId="310C01BB">
            <w:pPr>
              <w:pStyle w:val="27"/>
            </w:pPr>
          </w:p>
        </w:tc>
        <w:tc>
          <w:tcPr>
            <w:tcW w:w="1148" w:type="dxa"/>
          </w:tcPr>
          <w:p w14:paraId="2553BA13">
            <w:pPr>
              <w:pStyle w:val="27"/>
            </w:pPr>
          </w:p>
        </w:tc>
        <w:tc>
          <w:tcPr>
            <w:tcW w:w="1150" w:type="dxa"/>
          </w:tcPr>
          <w:p w14:paraId="7A5B9037">
            <w:pPr>
              <w:pStyle w:val="27"/>
            </w:pPr>
          </w:p>
        </w:tc>
        <w:tc>
          <w:tcPr>
            <w:tcW w:w="1240" w:type="dxa"/>
          </w:tcPr>
          <w:p w14:paraId="632960A8">
            <w:pPr>
              <w:pStyle w:val="27"/>
            </w:pPr>
          </w:p>
        </w:tc>
      </w:tr>
      <w:tr w14:paraId="45DBE8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A860C39">
            <w:pPr>
              <w:pStyle w:val="27"/>
            </w:pPr>
          </w:p>
        </w:tc>
        <w:tc>
          <w:tcPr>
            <w:tcW w:w="919" w:type="dxa"/>
          </w:tcPr>
          <w:p w14:paraId="02C5B61B">
            <w:pPr>
              <w:pStyle w:val="27"/>
            </w:pPr>
          </w:p>
        </w:tc>
        <w:tc>
          <w:tcPr>
            <w:tcW w:w="2289" w:type="dxa"/>
          </w:tcPr>
          <w:p w14:paraId="160EFE2E">
            <w:pPr>
              <w:pStyle w:val="27"/>
            </w:pPr>
          </w:p>
        </w:tc>
        <w:tc>
          <w:tcPr>
            <w:tcW w:w="1148" w:type="dxa"/>
          </w:tcPr>
          <w:p w14:paraId="47BF055E">
            <w:pPr>
              <w:pStyle w:val="27"/>
            </w:pPr>
          </w:p>
        </w:tc>
        <w:tc>
          <w:tcPr>
            <w:tcW w:w="1150" w:type="dxa"/>
          </w:tcPr>
          <w:p w14:paraId="40124FA1">
            <w:pPr>
              <w:pStyle w:val="27"/>
            </w:pPr>
          </w:p>
        </w:tc>
        <w:tc>
          <w:tcPr>
            <w:tcW w:w="1240" w:type="dxa"/>
          </w:tcPr>
          <w:p w14:paraId="63ABF3C7">
            <w:pPr>
              <w:pStyle w:val="27"/>
            </w:pPr>
          </w:p>
        </w:tc>
      </w:tr>
      <w:tr w14:paraId="50644A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F6BB1E2">
            <w:pPr>
              <w:pStyle w:val="27"/>
            </w:pPr>
          </w:p>
        </w:tc>
        <w:tc>
          <w:tcPr>
            <w:tcW w:w="919" w:type="dxa"/>
          </w:tcPr>
          <w:p w14:paraId="56BDDB08">
            <w:pPr>
              <w:pStyle w:val="27"/>
            </w:pPr>
          </w:p>
        </w:tc>
        <w:tc>
          <w:tcPr>
            <w:tcW w:w="2289" w:type="dxa"/>
          </w:tcPr>
          <w:p w14:paraId="695691A7">
            <w:pPr>
              <w:pStyle w:val="27"/>
            </w:pPr>
          </w:p>
        </w:tc>
        <w:tc>
          <w:tcPr>
            <w:tcW w:w="1148" w:type="dxa"/>
          </w:tcPr>
          <w:p w14:paraId="369BC644">
            <w:pPr>
              <w:pStyle w:val="27"/>
            </w:pPr>
          </w:p>
        </w:tc>
        <w:tc>
          <w:tcPr>
            <w:tcW w:w="1150" w:type="dxa"/>
          </w:tcPr>
          <w:p w14:paraId="49C7BEEC">
            <w:pPr>
              <w:pStyle w:val="27"/>
            </w:pPr>
          </w:p>
        </w:tc>
        <w:tc>
          <w:tcPr>
            <w:tcW w:w="1240" w:type="dxa"/>
          </w:tcPr>
          <w:p w14:paraId="6DAC3F05">
            <w:pPr>
              <w:pStyle w:val="27"/>
            </w:pPr>
          </w:p>
        </w:tc>
      </w:tr>
    </w:tbl>
    <w:p w14:paraId="4D57AA1F">
      <w:r>
        <w:br w:type="page"/>
      </w:r>
    </w:p>
    <w:p w14:paraId="69E367B2">
      <w:pPr>
        <w:bidi w:val="0"/>
        <w:jc w:val="center"/>
        <w:rPr>
          <w:rFonts w:ascii="宋体" w:hAnsi="宋体" w:eastAsia="宋体" w:cs="宋体"/>
          <w:sz w:val="32"/>
          <w:szCs w:val="32"/>
        </w:rPr>
      </w:pPr>
      <w:bookmarkStart w:id="2" w:name="_Toc25900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  <w:bookmarkEnd w:id="2"/>
    </w:p>
    <w:tbl>
      <w:tblPr>
        <w:tblStyle w:val="26"/>
        <w:tblW w:w="947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161DB76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931" w:type="dxa"/>
          </w:tcPr>
          <w:p w14:paraId="4191FDDC">
            <w:pPr>
              <w:pStyle w:val="27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</w:tcPr>
          <w:p w14:paraId="7861AA85">
            <w:pPr>
              <w:spacing w:before="143" w:line="286" w:lineRule="exact"/>
              <w:ind w:left="978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hint="eastAsia" w:eastAsia="宋体" w:cs="Arial"/>
                <w:spacing w:val="-1"/>
                <w:position w:val="1"/>
                <w:sz w:val="21"/>
                <w:szCs w:val="21"/>
                <w:lang w:val="en-US" w:eastAsia="zh-CN"/>
              </w:rPr>
              <w:t>8.20</w:t>
            </w:r>
          </w:p>
        </w:tc>
        <w:tc>
          <w:tcPr>
            <w:tcW w:w="1440" w:type="dxa"/>
          </w:tcPr>
          <w:p w14:paraId="2B89901F">
            <w:pPr>
              <w:pStyle w:val="27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</w:tcPr>
          <w:p w14:paraId="12514642">
            <w:pPr>
              <w:pStyle w:val="27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467FF4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  <w:jc w:val="center"/>
        </w:trPr>
        <w:tc>
          <w:tcPr>
            <w:tcW w:w="1931" w:type="dxa"/>
          </w:tcPr>
          <w:p w14:paraId="210DFA4A">
            <w:pPr>
              <w:pStyle w:val="27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</w:tcPr>
          <w:p w14:paraId="46616388">
            <w:pPr>
              <w:pStyle w:val="27"/>
              <w:spacing w:before="177" w:line="220" w:lineRule="auto"/>
              <w:ind w:left="120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孙文</w:t>
            </w:r>
          </w:p>
        </w:tc>
        <w:tc>
          <w:tcPr>
            <w:tcW w:w="1440" w:type="dxa"/>
          </w:tcPr>
          <w:p w14:paraId="323F7E29">
            <w:pPr>
              <w:pStyle w:val="27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</w:tcPr>
          <w:p w14:paraId="436A7A2A">
            <w:pPr>
              <w:pStyle w:val="27"/>
              <w:spacing w:before="176" w:line="220" w:lineRule="auto"/>
              <w:ind w:left="12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陈姝羽</w:t>
            </w:r>
          </w:p>
        </w:tc>
      </w:tr>
      <w:tr w14:paraId="6496724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  <w:jc w:val="center"/>
        </w:trPr>
        <w:tc>
          <w:tcPr>
            <w:tcW w:w="9479" w:type="dxa"/>
            <w:gridSpan w:val="4"/>
          </w:tcPr>
          <w:p w14:paraId="7460171E">
            <w:pPr>
              <w:pStyle w:val="27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3F2E17B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  <w:jc w:val="center"/>
        </w:trPr>
        <w:tc>
          <w:tcPr>
            <w:tcW w:w="9479" w:type="dxa"/>
            <w:gridSpan w:val="4"/>
          </w:tcPr>
          <w:p w14:paraId="2DB59D4F">
            <w:pPr>
              <w:pStyle w:val="27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t>毛彦超</w:t>
            </w:r>
            <w:r>
              <w:rPr>
                <w:rFonts w:hint="eastAsia"/>
                <w:lang w:eastAsia="zh-CN"/>
              </w:rPr>
              <w:t>、田力、</w:t>
            </w:r>
            <w:r>
              <w:t>王琼</w:t>
            </w:r>
            <w:r>
              <w:rPr>
                <w:rFonts w:hint="eastAsia"/>
                <w:lang w:eastAsia="zh-CN"/>
              </w:rPr>
              <w:t>、</w:t>
            </w:r>
            <w:r>
              <w:t>孙文</w:t>
            </w:r>
            <w:r>
              <w:rPr>
                <w:rFonts w:hint="eastAsia"/>
                <w:lang w:eastAsia="zh-CN"/>
              </w:rPr>
              <w:t>、王钰轩</w:t>
            </w:r>
          </w:p>
        </w:tc>
      </w:tr>
      <w:tr w14:paraId="4650BC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9479" w:type="dxa"/>
            <w:gridSpan w:val="4"/>
          </w:tcPr>
          <w:p w14:paraId="40F4FC67">
            <w:pPr>
              <w:pStyle w:val="27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3D24D176">
            <w:pPr>
              <w:pStyle w:val="27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00DECA5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  <w:jc w:val="center"/>
        </w:trPr>
        <w:tc>
          <w:tcPr>
            <w:tcW w:w="9479" w:type="dxa"/>
            <w:gridSpan w:val="4"/>
          </w:tcPr>
          <w:p w14:paraId="7A46D63D">
            <w:pPr>
              <w:pStyle w:val="27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43F5B668">
            <w:pPr>
              <w:pStyle w:val="27"/>
              <w:spacing w:before="24" w:line="286" w:lineRule="exact"/>
              <w:ind w:left="115"/>
              <w:rPr>
                <w:rFonts w:hint="default" w:eastAsia="宋体"/>
                <w:lang w:val="en-US" w:eastAsia="zh-CN"/>
              </w:rPr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bookmarkStart w:id="3" w:name="_GoBack"/>
            <w:bookmarkEnd w:id="3"/>
            <w:r>
              <w:rPr>
                <w:rFonts w:hint="eastAsia" w:ascii="Arial" w:hAnsi="Arial" w:cs="Arial"/>
                <w:spacing w:val="-2"/>
                <w:position w:val="1"/>
                <w:lang w:val="en-US" w:eastAsia="zh-CN"/>
              </w:rPr>
              <w:t>内部审核报告</w:t>
            </w:r>
          </w:p>
          <w:p w14:paraId="2A75962C">
            <w:pPr>
              <w:pStyle w:val="27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07FCA514">
            <w:pPr>
              <w:pStyle w:val="27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6C1D6AF7">
            <w:pPr>
              <w:pStyle w:val="27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4DF781BE">
            <w:pPr>
              <w:pStyle w:val="27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A1B4FF8">
            <w:pPr>
              <w:pStyle w:val="27"/>
              <w:spacing w:before="63" w:line="218" w:lineRule="auto"/>
              <w:ind w:left="102"/>
              <w:rPr>
                <w:spacing w:val="-1"/>
              </w:rPr>
            </w:pP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、</w:t>
            </w:r>
            <w:r>
              <w:rPr>
                <w:spacing w:val="-1"/>
              </w:rPr>
              <w:t>客户及员工对运维能力体系的合理化建议</w:t>
            </w:r>
          </w:p>
        </w:tc>
      </w:tr>
      <w:tr w14:paraId="0B932DE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9479" w:type="dxa"/>
            <w:gridSpan w:val="4"/>
          </w:tcPr>
          <w:p w14:paraId="2CA48233">
            <w:pPr>
              <w:pStyle w:val="27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7884E0A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1931" w:type="dxa"/>
          </w:tcPr>
          <w:p w14:paraId="660DA57B">
            <w:pPr>
              <w:pStyle w:val="27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</w:tcPr>
          <w:p w14:paraId="4D1FA840">
            <w:pPr>
              <w:pStyle w:val="27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信息</w:t>
            </w:r>
          </w:p>
        </w:tc>
      </w:tr>
      <w:tr w14:paraId="2067ADD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931" w:type="dxa"/>
          </w:tcPr>
          <w:p w14:paraId="1F9C1A4D">
            <w:pPr>
              <w:pStyle w:val="27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人力部</w:t>
            </w:r>
          </w:p>
        </w:tc>
        <w:tc>
          <w:tcPr>
            <w:tcW w:w="7548" w:type="dxa"/>
            <w:gridSpan w:val="3"/>
          </w:tcPr>
          <w:p w14:paraId="5FE92685">
            <w:pPr>
              <w:pStyle w:val="27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0EFB475D">
            <w:pPr>
              <w:pStyle w:val="27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5C64900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1867" w:hRule="atLeast"/>
          <w:jc w:val="center"/>
        </w:trPr>
        <w:tc>
          <w:tcPr>
            <w:tcW w:w="1931" w:type="dxa"/>
          </w:tcPr>
          <w:p w14:paraId="5BE371D8">
            <w:pPr>
              <w:spacing w:line="255" w:lineRule="auto"/>
              <w:rPr>
                <w:rFonts w:ascii="Arial"/>
                <w:sz w:val="21"/>
              </w:rPr>
            </w:pPr>
          </w:p>
          <w:p w14:paraId="611EB01E">
            <w:pPr>
              <w:spacing w:line="255" w:lineRule="auto"/>
              <w:rPr>
                <w:rFonts w:ascii="Arial"/>
                <w:sz w:val="21"/>
              </w:rPr>
            </w:pPr>
          </w:p>
          <w:p w14:paraId="7CF6597D">
            <w:pPr>
              <w:spacing w:line="255" w:lineRule="auto"/>
              <w:rPr>
                <w:rFonts w:hint="eastAsia" w:ascii="Arial" w:eastAsia="宋体"/>
                <w:sz w:val="21"/>
                <w:lang w:val="en-US" w:eastAsia="zh-CN"/>
              </w:rPr>
            </w:pPr>
          </w:p>
          <w:p w14:paraId="07360B7C">
            <w:pPr>
              <w:pStyle w:val="27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运维部</w:t>
            </w:r>
          </w:p>
        </w:tc>
        <w:tc>
          <w:tcPr>
            <w:tcW w:w="7548" w:type="dxa"/>
            <w:gridSpan w:val="3"/>
          </w:tcPr>
          <w:p w14:paraId="05E7D37D">
            <w:pPr>
              <w:pStyle w:val="27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</w:t>
            </w:r>
            <w:r>
              <w:rPr>
                <w:rFonts w:hint="eastAsia"/>
                <w:spacing w:val="-2"/>
                <w:lang w:eastAsia="zh-CN"/>
              </w:rPr>
              <w:t>、</w:t>
            </w:r>
            <w:r>
              <w:rPr>
                <w:rFonts w:hint="eastAsia"/>
                <w:spacing w:val="-2"/>
                <w:lang w:val="en-US" w:eastAsia="zh-CN"/>
              </w:rPr>
              <w:t>容量管理策略、容量管理计划、容量报告、服务可用性和业务连续性管理制度、过程框架设计管理制度、可用性计划、可用性分析报告、连续性计划、连续性测试报告、过程框架设计方案、过程框架设计需求分析报告</w:t>
            </w:r>
            <w:r>
              <w:rPr>
                <w:spacing w:val="-2"/>
              </w:rPr>
              <w:t>等</w:t>
            </w:r>
          </w:p>
        </w:tc>
      </w:tr>
      <w:tr w14:paraId="34CA3A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931" w:type="dxa"/>
          </w:tcPr>
          <w:p w14:paraId="43E82E6E">
            <w:pPr>
              <w:pStyle w:val="27"/>
              <w:spacing w:before="220" w:line="220" w:lineRule="auto"/>
              <w:ind w:left="534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-4"/>
              </w:rPr>
              <w:t>研发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部</w:t>
            </w:r>
          </w:p>
        </w:tc>
        <w:tc>
          <w:tcPr>
            <w:tcW w:w="7548" w:type="dxa"/>
            <w:gridSpan w:val="3"/>
            <w:vAlign w:val="center"/>
          </w:tcPr>
          <w:p w14:paraId="6C4B3F99">
            <w:pPr>
              <w:pStyle w:val="27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研发计划及研发成果</w:t>
            </w:r>
          </w:p>
        </w:tc>
      </w:tr>
      <w:tr w14:paraId="3B6F1B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1931" w:type="dxa"/>
          </w:tcPr>
          <w:p w14:paraId="49698699">
            <w:pPr>
              <w:pStyle w:val="27"/>
              <w:spacing w:before="222" w:line="220" w:lineRule="auto"/>
              <w:ind w:left="535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-4"/>
              </w:rPr>
              <w:t>质量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部</w:t>
            </w:r>
          </w:p>
        </w:tc>
        <w:tc>
          <w:tcPr>
            <w:tcW w:w="7548" w:type="dxa"/>
            <w:gridSpan w:val="3"/>
          </w:tcPr>
          <w:p w14:paraId="4BE19961">
            <w:pPr>
              <w:pStyle w:val="27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  <w:tr w14:paraId="189F61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1931" w:type="dxa"/>
          </w:tcPr>
          <w:p w14:paraId="75122FF6">
            <w:pPr>
              <w:pStyle w:val="27"/>
              <w:spacing w:before="222" w:line="220" w:lineRule="auto"/>
              <w:ind w:left="535"/>
              <w:rPr>
                <w:rFonts w:hint="eastAsia" w:eastAsia="宋体"/>
                <w:b/>
                <w:bCs/>
                <w:spacing w:val="-4"/>
                <w:lang w:val="en-US" w:eastAsia="zh-CN"/>
              </w:rPr>
            </w:pPr>
            <w:r>
              <w:rPr>
                <w:rFonts w:hint="eastAsia"/>
                <w:b/>
                <w:bCs/>
                <w:spacing w:val="-4"/>
                <w:lang w:val="en-US" w:eastAsia="zh-CN"/>
              </w:rPr>
              <w:t>采购部</w:t>
            </w:r>
          </w:p>
        </w:tc>
        <w:tc>
          <w:tcPr>
            <w:tcW w:w="7548" w:type="dxa"/>
            <w:gridSpan w:val="3"/>
          </w:tcPr>
          <w:p w14:paraId="150CC6CF">
            <w:pPr>
              <w:pStyle w:val="27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供应商管理制度</w:t>
            </w:r>
          </w:p>
          <w:p w14:paraId="782104DB">
            <w:pPr>
              <w:pStyle w:val="27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备品备件管理制度</w:t>
            </w:r>
          </w:p>
          <w:p w14:paraId="6E143E3F">
            <w:pPr>
              <w:pStyle w:val="27"/>
              <w:spacing w:before="65" w:line="220" w:lineRule="auto"/>
            </w:pPr>
            <w:r>
              <w:rPr>
                <w:rFonts w:hint="eastAsia"/>
                <w:spacing w:val="7"/>
              </w:rPr>
              <w:t>备品备件应用提升情况说明</w:t>
            </w:r>
          </w:p>
        </w:tc>
      </w:tr>
    </w:tbl>
    <w:p w14:paraId="29292F0E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36748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7E0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745</Words>
  <Characters>814</Characters>
  <Lines>0</Lines>
  <Paragraphs>0</Paragraphs>
  <TotalTime>0</TotalTime>
  <ScaleCrop>false</ScaleCrop>
  <LinksUpToDate>false</LinksUpToDate>
  <CharactersWithSpaces>816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2025-09-18T08:52:21Z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