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8</w:t>
      </w:r>
      <w:r>
        <w:rPr>
          <w:rFonts w:ascii="宋体" w:hAnsi="宋体" w:eastAsia="宋体" w:cs="宋体"/>
          <w:b/>
          <w:bCs/>
          <w:spacing w:val="-3"/>
          <w:sz w:val="24"/>
          <w:szCs w:val="24"/>
        </w:rPr>
        <w:t>-0</w:t>
      </w:r>
      <w:r>
        <w:rPr>
          <w:rFonts w:hint="eastAsia" w:ascii="宋体" w:hAnsi="宋体" w:cs="宋体"/>
          <w:b/>
          <w:bCs/>
          <w:spacing w:val="-3"/>
          <w:sz w:val="24"/>
          <w:szCs w:val="24"/>
          <w:lang w:val="en-US" w:eastAsia="zh-CN"/>
        </w:rPr>
        <w:t>2</w:t>
      </w:r>
      <w:r>
        <w:rPr>
          <w:rFonts w:hint="eastAsia" w:ascii="宋体" w:hAnsi="宋体" w:eastAsia="宋体" w:cs="宋体"/>
          <w:b/>
          <w:bCs/>
          <w:spacing w:val="-3"/>
          <w:sz w:val="24"/>
          <w:szCs w:val="24"/>
          <w:lang w:val="en-US" w:eastAsia="zh-CN"/>
        </w:rPr>
        <w:t>-0</w:t>
      </w:r>
      <w:r>
        <w:rPr>
          <w:rFonts w:hint="eastAsia" w:ascii="宋体" w:hAnsi="宋体" w:cs="宋体"/>
          <w:b/>
          <w:bCs/>
          <w:spacing w:val="-3"/>
          <w:sz w:val="24"/>
          <w:szCs w:val="24"/>
          <w:lang w:val="en-US" w:eastAsia="zh-CN"/>
        </w:rPr>
        <w:t>6</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5738"/>
      <w:r>
        <w:rPr>
          <w:rFonts w:hint="eastAsia"/>
          <w:lang w:val="en-US" w:eastAsia="zh-CN"/>
        </w:rPr>
        <w:t>万洲奇智（青岛）信息科技有限</w:t>
      </w:r>
      <w:r>
        <w:t>公司</w:t>
      </w:r>
      <w:bookmarkEnd w:id="0"/>
    </w:p>
    <w:p w14:paraId="3D74D20A">
      <w:pPr>
        <w:pStyle w:val="25"/>
        <w:bidi w:val="0"/>
        <w:rPr>
          <w:rFonts w:hint="default"/>
          <w:lang w:val="en-US"/>
        </w:rPr>
      </w:pPr>
      <w:r>
        <w:rPr>
          <w:rFonts w:hint="eastAsia"/>
          <w:lang w:val="en-US" w:eastAsia="zh-CN"/>
        </w:rPr>
        <w:t>管理评审报告</w:t>
      </w:r>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spacing w:val="105"/>
                <w:kern w:val="0"/>
                <w:u w:val="single"/>
                <w:fitText w:val="630" w:id="947802393"/>
                <w:vertAlign w:val="baseline"/>
                <w:lang w:val="en-US" w:eastAsia="zh-CN"/>
              </w:rPr>
              <w:t>孙</w:t>
            </w:r>
            <w:r>
              <w:rPr>
                <w:rFonts w:hint="eastAsia"/>
                <w:spacing w:val="0"/>
                <w:kern w:val="0"/>
                <w:u w:val="single"/>
                <w:fitText w:val="630" w:id="947802393"/>
                <w:vertAlign w:val="baseline"/>
                <w:lang w:val="en-US" w:eastAsia="zh-CN"/>
              </w:rPr>
              <w:t>文</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2025.08.20</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default"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2025.08.20</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2025.08.20</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hint="default" w:ascii="宋体" w:hAnsi="宋体" w:eastAsia="宋体" w:cs="宋体"/>
                <w:sz w:val="20"/>
                <w:szCs w:val="20"/>
                <w:lang w:val="en-US" w:eastAsia="zh-CN"/>
              </w:rPr>
            </w:pPr>
            <w:r>
              <w:rPr>
                <w:rFonts w:ascii="宋体" w:hAnsi="宋体" w:eastAsia="宋体" w:cs="宋体"/>
                <w:spacing w:val="3"/>
                <w:position w:val="1"/>
                <w:sz w:val="20"/>
                <w:szCs w:val="20"/>
              </w:rPr>
              <w:t>2025.0</w:t>
            </w:r>
            <w:r>
              <w:rPr>
                <w:rFonts w:hint="eastAsia" w:ascii="宋体" w:hAnsi="宋体" w:cs="宋体"/>
                <w:spacing w:val="3"/>
                <w:position w:val="1"/>
                <w:sz w:val="20"/>
                <w:szCs w:val="20"/>
                <w:lang w:val="en-US" w:eastAsia="zh-CN"/>
              </w:rPr>
              <w:t>8</w:t>
            </w:r>
            <w:r>
              <w:rPr>
                <w:rFonts w:ascii="宋体" w:hAnsi="宋体" w:eastAsia="宋体" w:cs="宋体"/>
                <w:spacing w:val="3"/>
                <w:position w:val="1"/>
                <w:sz w:val="20"/>
                <w:szCs w:val="20"/>
              </w:rPr>
              <w:t>.</w:t>
            </w:r>
            <w:r>
              <w:rPr>
                <w:rFonts w:hint="eastAsia" w:ascii="宋体" w:hAnsi="宋体" w:cs="宋体"/>
                <w:spacing w:val="3"/>
                <w:position w:val="1"/>
                <w:sz w:val="20"/>
                <w:szCs w:val="20"/>
                <w:lang w:val="en-US" w:eastAsia="zh-CN"/>
              </w:rPr>
              <w:t>20</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孙文</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r>
        <w:br w:type="page"/>
      </w:r>
    </w:p>
    <w:p w14:paraId="2587950E">
      <w:pPr>
        <w:bidi w:val="0"/>
        <w:jc w:val="center"/>
        <w:rPr>
          <w:rFonts w:hint="default" w:ascii="宋体" w:hAnsi="宋体" w:eastAsia="宋体" w:cs="宋体"/>
          <w:b/>
          <w:bCs/>
          <w:snapToGrid w:val="0"/>
          <w:color w:val="000000"/>
          <w:kern w:val="0"/>
          <w:sz w:val="24"/>
          <w:szCs w:val="24"/>
          <w:lang w:val="en-US" w:eastAsia="zh-CN" w:bidi="ar-SA"/>
        </w:rPr>
      </w:pPr>
      <w:r>
        <w:rPr>
          <w:rFonts w:hint="eastAsia" w:ascii="宋体" w:hAnsi="宋体" w:cs="宋体"/>
          <w:b/>
          <w:bCs/>
          <w:snapToGrid w:val="0"/>
          <w:color w:val="000000"/>
          <w:kern w:val="0"/>
          <w:sz w:val="24"/>
          <w:szCs w:val="24"/>
          <w:lang w:val="en-US" w:eastAsia="zh-CN" w:bidi="ar-SA"/>
        </w:rPr>
        <w:t>管理评审报告</w:t>
      </w:r>
    </w:p>
    <w:tbl>
      <w:tblPr>
        <w:tblStyle w:val="26"/>
        <w:tblW w:w="8764"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202"/>
        <w:gridCol w:w="2957"/>
        <w:gridCol w:w="1185"/>
        <w:gridCol w:w="3420"/>
      </w:tblGrid>
      <w:tr w14:paraId="4654DC4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95" w:hRule="atLeast"/>
        </w:trPr>
        <w:tc>
          <w:tcPr>
            <w:tcW w:w="1202" w:type="dxa"/>
            <w:vAlign w:val="top"/>
          </w:tcPr>
          <w:p w14:paraId="590FD43B">
            <w:r>
              <w:t>评审目的</w:t>
            </w:r>
          </w:p>
        </w:tc>
        <w:tc>
          <w:tcPr>
            <w:tcW w:w="7562" w:type="dxa"/>
            <w:gridSpan w:val="3"/>
            <w:vAlign w:val="top"/>
          </w:tcPr>
          <w:p w14:paraId="3789308B">
            <w:r>
              <w:t xml:space="preserve">对本公司建立的ITSS 运维服务能力管理体系进行评审，以确保其持续的适宜性、充分性和有效性，最终实现公司 </w:t>
            </w:r>
            <w:r>
              <w:t>ITSS 运维服务能力管理体系的持续改进。</w:t>
            </w:r>
          </w:p>
        </w:tc>
      </w:tr>
      <w:tr w14:paraId="10EB9E9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1202" w:type="dxa"/>
            <w:vAlign w:val="top"/>
          </w:tcPr>
          <w:p w14:paraId="5B7B61B2">
            <w:r>
              <w:t>主持人</w:t>
            </w:r>
          </w:p>
        </w:tc>
        <w:tc>
          <w:tcPr>
            <w:tcW w:w="2957" w:type="dxa"/>
            <w:vAlign w:val="top"/>
          </w:tcPr>
          <w:p w14:paraId="522A5FC3">
            <w:r>
              <w:rPr>
                <w:rFonts w:hint="eastAsia"/>
                <w:lang w:val="en-US" w:eastAsia="zh-CN"/>
              </w:rPr>
              <w:t>陈姝羽</w:t>
            </w:r>
          </w:p>
        </w:tc>
        <w:tc>
          <w:tcPr>
            <w:tcW w:w="1185" w:type="dxa"/>
            <w:vAlign w:val="top"/>
          </w:tcPr>
          <w:p w14:paraId="703C7A64">
            <w:r>
              <w:t>评审时间</w:t>
            </w:r>
          </w:p>
        </w:tc>
        <w:tc>
          <w:tcPr>
            <w:tcW w:w="3420" w:type="dxa"/>
            <w:vAlign w:val="top"/>
          </w:tcPr>
          <w:p w14:paraId="0B6C80F4">
            <w:r>
              <w:t>2025 年</w:t>
            </w:r>
            <w:r>
              <w:rPr>
                <w:rFonts w:hint="eastAsia"/>
                <w:lang w:val="en-US" w:eastAsia="zh-CN"/>
              </w:rPr>
              <w:t>8</w:t>
            </w:r>
            <w:r>
              <w:t>月</w:t>
            </w:r>
            <w:r>
              <w:rPr>
                <w:rFonts w:hint="eastAsia"/>
                <w:lang w:val="en-US" w:eastAsia="zh-CN"/>
              </w:rPr>
              <w:t>20</w:t>
            </w:r>
            <w:r>
              <w:t>日</w:t>
            </w:r>
          </w:p>
        </w:tc>
      </w:tr>
      <w:tr w14:paraId="537D688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82" w:hRule="atLeast"/>
        </w:trPr>
        <w:tc>
          <w:tcPr>
            <w:tcW w:w="1202" w:type="dxa"/>
            <w:vAlign w:val="top"/>
          </w:tcPr>
          <w:p w14:paraId="636E4C00">
            <w:r>
              <w:t>评审方式</w:t>
            </w:r>
          </w:p>
        </w:tc>
        <w:tc>
          <w:tcPr>
            <w:tcW w:w="2957" w:type="dxa"/>
            <w:vAlign w:val="top"/>
          </w:tcPr>
          <w:p w14:paraId="501C9D91">
            <w:r>
              <w:t>集中会议讨论</w:t>
            </w:r>
          </w:p>
        </w:tc>
        <w:tc>
          <w:tcPr>
            <w:tcW w:w="1185" w:type="dxa"/>
            <w:vAlign w:val="top"/>
          </w:tcPr>
          <w:p w14:paraId="41748E58">
            <w:r>
              <w:t>评审地点</w:t>
            </w:r>
          </w:p>
        </w:tc>
        <w:tc>
          <w:tcPr>
            <w:tcW w:w="3420" w:type="dxa"/>
            <w:vAlign w:val="top"/>
          </w:tcPr>
          <w:p w14:paraId="1AFAFD75">
            <w:r>
              <w:t>会议室</w:t>
            </w:r>
          </w:p>
        </w:tc>
      </w:tr>
      <w:tr w14:paraId="7B5DA24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25" w:hRule="atLeast"/>
        </w:trPr>
        <w:tc>
          <w:tcPr>
            <w:tcW w:w="1202" w:type="dxa"/>
            <w:vAlign w:val="top"/>
          </w:tcPr>
          <w:p w14:paraId="3684CCD0">
            <w:r>
              <w:t>参加评审人员</w:t>
            </w:r>
          </w:p>
        </w:tc>
        <w:tc>
          <w:tcPr>
            <w:tcW w:w="7562" w:type="dxa"/>
            <w:gridSpan w:val="3"/>
            <w:vAlign w:val="top"/>
          </w:tcPr>
          <w:p w14:paraId="4DF9D69B">
            <w:r>
              <w:t>罗荣辉、邢  云、曹明宵、安  贞、张龙超</w:t>
            </w:r>
          </w:p>
        </w:tc>
      </w:tr>
      <w:tr w14:paraId="08859F1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71" w:hRule="atLeast"/>
        </w:trPr>
        <w:tc>
          <w:tcPr>
            <w:tcW w:w="8764" w:type="dxa"/>
            <w:gridSpan w:val="4"/>
            <w:vAlign w:val="top"/>
          </w:tcPr>
          <w:p w14:paraId="187823F8">
            <w:r>
              <w:t>主要评审内容：</w:t>
            </w:r>
          </w:p>
          <w:p w14:paraId="2B84B8AB">
            <w:pPr>
              <w:numPr>
                <w:ilvl w:val="0"/>
                <w:numId w:val="2"/>
              </w:numPr>
              <w:ind w:left="425" w:leftChars="0" w:hanging="425" w:firstLineChars="0"/>
            </w:pPr>
            <w:r>
              <w:t>ITSS 运维服务能力管理体系运行情况</w:t>
            </w:r>
          </w:p>
          <w:p w14:paraId="53084194">
            <w:pPr>
              <w:numPr>
                <w:ilvl w:val="0"/>
                <w:numId w:val="2"/>
              </w:numPr>
              <w:ind w:left="425" w:leftChars="0" w:hanging="425" w:firstLineChars="0"/>
            </w:pPr>
            <w:r>
              <w:t>目标、指标的适用性和执行情况</w:t>
            </w:r>
          </w:p>
          <w:p w14:paraId="211FB05D">
            <w:pPr>
              <w:numPr>
                <w:ilvl w:val="0"/>
                <w:numId w:val="2"/>
              </w:numPr>
              <w:ind w:left="425" w:leftChars="0" w:hanging="425" w:firstLineChars="0"/>
            </w:pPr>
            <w:r>
              <w:t>服务过程的实施情况。</w:t>
            </w:r>
          </w:p>
          <w:p w14:paraId="6C95FE40">
            <w:pPr>
              <w:numPr>
                <w:ilvl w:val="0"/>
                <w:numId w:val="2"/>
              </w:numPr>
              <w:ind w:left="425" w:leftChars="0" w:hanging="425" w:firstLineChars="0"/>
            </w:pPr>
            <w:r>
              <w:t>内部审核的结果</w:t>
            </w:r>
          </w:p>
          <w:p w14:paraId="211D5FC3">
            <w:pPr>
              <w:numPr>
                <w:ilvl w:val="0"/>
                <w:numId w:val="2"/>
              </w:numPr>
              <w:ind w:left="425" w:leftChars="0" w:hanging="425" w:firstLineChars="0"/>
            </w:pPr>
            <w:r>
              <w:t>顾客反馈的信息，包括满意程度测量结果及顾客沟通的结果等</w:t>
            </w:r>
          </w:p>
          <w:p w14:paraId="23CC3B56">
            <w:pPr>
              <w:numPr>
                <w:ilvl w:val="0"/>
                <w:numId w:val="2"/>
              </w:numPr>
              <w:ind w:left="425" w:leftChars="0" w:hanging="425" w:firstLineChars="0"/>
            </w:pPr>
            <w:r>
              <w:t>业绩与符合性</w:t>
            </w:r>
          </w:p>
          <w:p w14:paraId="7E64FAE5">
            <w:pPr>
              <w:numPr>
                <w:ilvl w:val="0"/>
                <w:numId w:val="2"/>
              </w:numPr>
              <w:ind w:left="425" w:leftChars="0" w:hanging="425" w:firstLineChars="0"/>
            </w:pPr>
            <w:r>
              <w:t>预防和纠正措施的状况</w:t>
            </w:r>
          </w:p>
          <w:p w14:paraId="2EA0ED09">
            <w:pPr>
              <w:numPr>
                <w:ilvl w:val="0"/>
                <w:numId w:val="2"/>
              </w:numPr>
              <w:ind w:left="425" w:leftChars="0" w:hanging="425" w:firstLineChars="0"/>
            </w:pPr>
            <w:r>
              <w:t>以前评审所确定的措施的实施情况</w:t>
            </w:r>
          </w:p>
          <w:p w14:paraId="62D617B3">
            <w:pPr>
              <w:numPr>
                <w:ilvl w:val="0"/>
                <w:numId w:val="2"/>
              </w:numPr>
              <w:ind w:left="425" w:leftChars="0" w:hanging="425" w:firstLineChars="0"/>
            </w:pPr>
            <w:r>
              <w:t>任何可能影响体系变更的因素</w:t>
            </w:r>
          </w:p>
          <w:p w14:paraId="50D22BCC">
            <w:pPr>
              <w:numPr>
                <w:ilvl w:val="0"/>
                <w:numId w:val="2"/>
              </w:numPr>
              <w:ind w:left="425" w:leftChars="0" w:hanging="425" w:firstLineChars="0"/>
            </w:pPr>
            <w:r>
              <w:t>改进的建议</w:t>
            </w:r>
          </w:p>
        </w:tc>
      </w:tr>
      <w:tr w14:paraId="3A072FD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219" w:hRule="atLeast"/>
        </w:trPr>
        <w:tc>
          <w:tcPr>
            <w:tcW w:w="8764" w:type="dxa"/>
            <w:gridSpan w:val="4"/>
            <w:vAlign w:val="top"/>
          </w:tcPr>
          <w:p w14:paraId="476936F3">
            <w:r>
              <w:t>评审意见：</w:t>
            </w:r>
          </w:p>
          <w:p w14:paraId="783E24BF">
            <w:pPr>
              <w:numPr>
                <w:ilvl w:val="0"/>
                <w:numId w:val="3"/>
              </w:numPr>
              <w:ind w:left="425" w:leftChars="0" w:hanging="425" w:firstLineChars="0"/>
            </w:pPr>
            <w:r>
              <w:t xml:space="preserve">自建立 </w:t>
            </w:r>
            <w:r>
              <w:t xml:space="preserve">ITSS 运维服务能力管理体系运行以来，经过内审和管理评审及体系方面的完善，肯定了 </w:t>
            </w:r>
            <w:r>
              <w:t>ITSS 运维服务能力管理体系的正确性， 目标已经基本达成，各方面运作都有较好效果，总体运行情况良好。</w:t>
            </w:r>
          </w:p>
          <w:p w14:paraId="45DD9AD7">
            <w:pPr>
              <w:numPr>
                <w:ilvl w:val="0"/>
                <w:numId w:val="3"/>
              </w:numPr>
              <w:ind w:left="425" w:leftChars="0" w:hanging="425" w:firstLineChars="0"/>
            </w:pPr>
            <w:r>
              <w:t xml:space="preserve">公司制定的 </w:t>
            </w:r>
            <w:r>
              <w:t>ITSS 运维服务能力管理体系方针包含了本公司维护服务工作总方向、原则，同时涵盖了业务和法律法规的要求，以及合同中的安全义务等，经评审大家一致认为是适宜的。各部门均能达到公司制定的维护服务目标，见《2025 年 1-6 月运维服务</w:t>
            </w:r>
            <w:r>
              <w:t>KPI 指标体系跟踪表》。</w:t>
            </w:r>
          </w:p>
          <w:p w14:paraId="3C9BE281">
            <w:pPr>
              <w:numPr>
                <w:ilvl w:val="0"/>
                <w:numId w:val="3"/>
              </w:numPr>
              <w:ind w:left="425" w:leftChars="0" w:hanging="425" w:firstLineChars="0"/>
            </w:pPr>
            <w:r>
              <w:t>公司承接运维服务项目，公司领导对运维工作寄予厚望，并提出了认真完善服务水平的方针。在服务过程中严格按照这一要求，以保障公司的发展，对用户负责的精神，把“ 品质第一，服务至上 ”的原则贯穿于日常工作的各个环节之中。使本运维期过程中的客户满意度有了非常显著的提高，多次获得了用户的认可。</w:t>
            </w:r>
          </w:p>
          <w:p w14:paraId="18DDE132">
            <w:pPr>
              <w:numPr>
                <w:ilvl w:val="0"/>
                <w:numId w:val="3"/>
              </w:numPr>
              <w:ind w:left="425" w:leftChars="0" w:hanging="425" w:firstLineChars="0"/>
            </w:pPr>
            <w:r>
              <w:t>ITSS 运维服务能力管理体系运行以来，管理及监督人员开展了有效的工作，监督管理工作有明显成效。2025 年6 月 14-15 日由质量负责人组织成立的内审组在各部门人员配合下，按内部审核实施计划安排，采用面谈、现场观察、抽查运维体系文件及记录等方法，对人员、资源、技术、过程等进行了认真细致的检查。审核组审核了总经理、项目部、技术部、行政部、运维部的运维体系各个环节，覆盖了本公司所有管理活动和技术活动，审核中共发现有 1 项不符合项，均为实施性不符合。发现的不符合项已向有关部门指明，并由他们确认，这些问题均已得到了纠正，纠正措施执行情况良好。</w:t>
            </w:r>
          </w:p>
          <w:p w14:paraId="040D7A1E">
            <w:pPr>
              <w:numPr>
                <w:ilvl w:val="0"/>
                <w:numId w:val="3"/>
              </w:numPr>
              <w:ind w:left="425" w:leftChars="0" w:hanging="425" w:firstLineChars="0"/>
            </w:pPr>
            <w:r>
              <w:t>ITSS 运维服务能力管理体系实施到现在，无顾客投诉；顾客满意度调查统计结果97.3分，达到公司制定的目标值。</w:t>
            </w:r>
          </w:p>
          <w:p w14:paraId="4DD948A4">
            <w:pPr>
              <w:numPr>
                <w:ilvl w:val="0"/>
                <w:numId w:val="3"/>
              </w:numPr>
              <w:ind w:left="425" w:leftChars="0" w:hanging="425" w:firstLineChars="0"/>
            </w:pPr>
            <w:bookmarkStart w:id="1" w:name="_GoBack"/>
            <w:bookmarkEnd w:id="1"/>
            <w:r>
              <w:t xml:space="preserve">在交付上全部能及时按 </w:t>
            </w:r>
            <w:r>
              <w:t>SLA 规定的时间服务，确保能及时服务客户，没产生影响客户规定使用现象，全部满足客户的要求。致使公司的客户数量逐渐增大，服务的改进也有了新的突破，为提高服务不断升级公司运维工具产品。</w:t>
            </w:r>
          </w:p>
          <w:p w14:paraId="244D5254">
            <w:pPr>
              <w:numPr>
                <w:ilvl w:val="0"/>
                <w:numId w:val="3"/>
              </w:numPr>
              <w:ind w:left="425" w:leftChars="0" w:hanging="425" w:firstLineChars="0"/>
            </w:pPr>
            <w:r>
              <w:t xml:space="preserve">7建立 </w:t>
            </w:r>
            <w:r>
              <w:t>ITSS 运维服务能力管理体系以来，主要针对过程和服务的实现程度、内部审核结果由项目部和运维部进行纠正和预防措施的实施和监督。及时改进运行维护服务能力管理过程中的不足，持续提升运行维护服务能力。从目前的实施情况看，通过对不符合项的行为进行总结分析，对未达成的指标进行调查分析，根据分析结果确定改进措施，制定服务能力改进计划从而达到提升运行维护服务能力的目的。</w:t>
            </w:r>
          </w:p>
          <w:p w14:paraId="2C1490C4">
            <w:pPr>
              <w:numPr>
                <w:ilvl w:val="0"/>
                <w:numId w:val="3"/>
              </w:numPr>
              <w:ind w:left="425" w:leftChars="0" w:hanging="425" w:firstLineChars="0"/>
            </w:pPr>
            <w:r>
              <w:t>8各部门，特别是运维部应密切关注运维行业动态和政府政策、客户对服务要求等方面的综合信息，以适应不断扩张的运维市场，以高质量的服务赢得行业客户的认可，从而提升公司在运维市场的影响力。</w:t>
            </w:r>
          </w:p>
        </w:tc>
      </w:tr>
      <w:tr w14:paraId="20996E3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8764" w:type="dxa"/>
            <w:gridSpan w:val="4"/>
            <w:vAlign w:val="top"/>
          </w:tcPr>
          <w:p w14:paraId="42C832FC">
            <w:r>
              <w:t>会议做出以下决议：</w:t>
            </w:r>
          </w:p>
          <w:p w14:paraId="6CCB7F57">
            <w:r>
              <w:t xml:space="preserve">1、现行实施的 </w:t>
            </w:r>
            <w:r>
              <w:t>ITSS 运维服务能力管理体系文件是本公司运维体系运行的唯一的指导性文件。</w:t>
            </w:r>
          </w:p>
          <w:p w14:paraId="7DB652BE">
            <w:r>
              <w:t>2、各部门和全体员工都必须按照体系文件的规定，指导、约束自己的行为，履行自己的岗位职责；应注意利用质控、审核、能力验证等手段，不断确定持续改进的措施，实现本公司的运维方针和目标。</w:t>
            </w:r>
          </w:p>
          <w:p w14:paraId="2D77A304">
            <w:r>
              <w:t xml:space="preserve">3、总经理应带领全体员工积极营造创建良好办公环境和氛围，保证 </w:t>
            </w:r>
            <w:r>
              <w:t>ITSS 运维服务能力管理体系的有效运行。</w:t>
            </w:r>
          </w:p>
          <w:p w14:paraId="30C20525">
            <w:r>
              <w:t>4、项目部负责人负责组织编写本次管理评审报告。经最高管理者批准后监督执行，资料管理员负责整理本次管理评审记录并存档。</w:t>
            </w:r>
          </w:p>
          <w:p w14:paraId="053CE23C">
            <w:r>
              <w:t>5、管理评审报告分发范围：各部门负责人和本公司管理层。</w:t>
            </w:r>
          </w:p>
        </w:tc>
      </w:tr>
      <w:tr w14:paraId="68BAAC7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8764" w:type="dxa"/>
            <w:gridSpan w:val="4"/>
            <w:vAlign w:val="top"/>
          </w:tcPr>
          <w:p w14:paraId="5DAE8BD7">
            <w:r>
              <w:t>对今后工作的改进要求：</w:t>
            </w:r>
          </w:p>
          <w:p w14:paraId="5C8C9339">
            <w:r>
              <w:t xml:space="preserve">1、应不断提高公司全员的服务质量意识，保证 </w:t>
            </w:r>
            <w:r>
              <w:t>ITSS 运维服务能力管理体系的有效运行和持续改进，提高体系文件的运行效率。</w:t>
            </w:r>
          </w:p>
          <w:p w14:paraId="03550206">
            <w:r>
              <w:t xml:space="preserve">2、加强对 </w:t>
            </w:r>
            <w:r>
              <w:t>ITSS 运维服务能力管理体系文件的宣贯和学习，讲究方式，提高效率；加强对相关法律法规的学习，加大对新上岗人员的培训和监督，确保他们具有与其所承担任务相适应的工作能力。</w:t>
            </w:r>
          </w:p>
          <w:p w14:paraId="6A5A3D65">
            <w:r>
              <w:t>3、进一步加强公司内部管理，不断提高公司的管理水平。</w:t>
            </w:r>
          </w:p>
          <w:p w14:paraId="6256AC5F">
            <w:r>
              <w:t>4、加强对预防措施学习，重视投诉意见的收集，加强对投诉的分析、处理能力，增强重点项目、重点客户的关注程度。</w:t>
            </w:r>
          </w:p>
        </w:tc>
      </w:tr>
      <w:tr w14:paraId="265C7AD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8764" w:type="dxa"/>
            <w:gridSpan w:val="4"/>
            <w:vAlign w:val="top"/>
          </w:tcPr>
          <w:p w14:paraId="2B7C6551">
            <w:r>
              <w:t>评审结论：</w:t>
            </w:r>
          </w:p>
          <w:p w14:paraId="01CAF29B">
            <w:r>
              <w:t xml:space="preserve">通过各部门对 </w:t>
            </w:r>
            <w:r>
              <w:t xml:space="preserve">ITSS 运维服务能力管理体系运行情况的汇报， 以及对各个问题的具体讨论情况来看，认为公司的 </w:t>
            </w:r>
            <w:r>
              <w:t xml:space="preserve">ITSS 运维服务能力管理体系现状对变化的内、外部环境具备了一定的适宜性，在运行过程中起到了良好的效果和指导作用，证明体系运行是充分、有效的。希望公司全体员工继续努力，实现公司 </w:t>
            </w:r>
            <w:r>
              <w:t>ITSS 运维服务能力管理体系得到持续改进。</w:t>
            </w:r>
          </w:p>
          <w:p w14:paraId="020A345C">
            <w:r>
              <w:t xml:space="preserve">通过进行验证，我们认为公司运行的 </w:t>
            </w:r>
            <w:r>
              <w:t>ITSS 运维服务能力管理体系是适宜、充分、有效的，符合《信息技术服务 运行维护服务能力成熟度模型》三级要求。</w:t>
            </w:r>
          </w:p>
        </w:tc>
      </w:tr>
    </w:tbl>
    <w:p w14:paraId="3F4653B2">
      <w:pPr>
        <w:rPr>
          <w:rFonts w:hint="eastAsia" w:ascii="Arial" w:hAnsi="Arial" w:eastAsia="Arial" w:cs="Arial"/>
          <w:snapToGrid w:val="0"/>
          <w:color w:val="000000"/>
          <w:kern w:val="0"/>
          <w:sz w:val="21"/>
          <w:szCs w:val="21"/>
          <w:lang w:val="en-US" w:eastAsia="zh-CN" w:bidi="ar-SA"/>
        </w:rPr>
      </w:pP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D658F223"/>
    <w:multiLevelType w:val="singleLevel"/>
    <w:tmpl w:val="D658F223"/>
    <w:lvl w:ilvl="0" w:tentative="0">
      <w:start w:val="1"/>
      <w:numFmt w:val="decimal"/>
      <w:lvlText w:val="%1."/>
      <w:lvlJc w:val="left"/>
      <w:pPr>
        <w:ind w:left="425" w:hanging="425"/>
      </w:pPr>
      <w:rPr>
        <w:rFonts w:hint="default"/>
      </w:rPr>
    </w:lvl>
  </w:abstractNum>
  <w:abstractNum w:abstractNumId="2">
    <w:nsid w:val="3FE95103"/>
    <w:multiLevelType w:val="singleLevel"/>
    <w:tmpl w:val="3FE95103"/>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2105DD0"/>
    <w:rsid w:val="05573D16"/>
    <w:rsid w:val="05C8669A"/>
    <w:rsid w:val="08055CAB"/>
    <w:rsid w:val="09615163"/>
    <w:rsid w:val="0B13248D"/>
    <w:rsid w:val="0B930577"/>
    <w:rsid w:val="0C6B7F86"/>
    <w:rsid w:val="0CA84E57"/>
    <w:rsid w:val="0DC14423"/>
    <w:rsid w:val="0E4869E6"/>
    <w:rsid w:val="100912AD"/>
    <w:rsid w:val="104D4694"/>
    <w:rsid w:val="112A43FB"/>
    <w:rsid w:val="119775A7"/>
    <w:rsid w:val="12CF75E2"/>
    <w:rsid w:val="160F7CF5"/>
    <w:rsid w:val="167A1613"/>
    <w:rsid w:val="16C265E3"/>
    <w:rsid w:val="170C7BDF"/>
    <w:rsid w:val="19581AE6"/>
    <w:rsid w:val="1A264519"/>
    <w:rsid w:val="1AC27A2C"/>
    <w:rsid w:val="1B8D153C"/>
    <w:rsid w:val="1C3B520E"/>
    <w:rsid w:val="1CFA72C7"/>
    <w:rsid w:val="1D7B4B8F"/>
    <w:rsid w:val="1E360515"/>
    <w:rsid w:val="209179EB"/>
    <w:rsid w:val="21617F9F"/>
    <w:rsid w:val="24B44889"/>
    <w:rsid w:val="25626B9F"/>
    <w:rsid w:val="262C093B"/>
    <w:rsid w:val="26747E2C"/>
    <w:rsid w:val="27363334"/>
    <w:rsid w:val="279B1602"/>
    <w:rsid w:val="28862099"/>
    <w:rsid w:val="296511D8"/>
    <w:rsid w:val="2A0635A2"/>
    <w:rsid w:val="2B141C1D"/>
    <w:rsid w:val="2B9C4A12"/>
    <w:rsid w:val="2BC0763F"/>
    <w:rsid w:val="2D381E44"/>
    <w:rsid w:val="2E516CA5"/>
    <w:rsid w:val="2E9D013C"/>
    <w:rsid w:val="2F135073"/>
    <w:rsid w:val="2F4A02C4"/>
    <w:rsid w:val="2FF80E15"/>
    <w:rsid w:val="301D1535"/>
    <w:rsid w:val="32C13470"/>
    <w:rsid w:val="33896EE1"/>
    <w:rsid w:val="34034EE6"/>
    <w:rsid w:val="344D4A2E"/>
    <w:rsid w:val="366559E4"/>
    <w:rsid w:val="36785717"/>
    <w:rsid w:val="36F25E64"/>
    <w:rsid w:val="36FA4FFE"/>
    <w:rsid w:val="37BF1626"/>
    <w:rsid w:val="384A559C"/>
    <w:rsid w:val="39431617"/>
    <w:rsid w:val="3A3D6832"/>
    <w:rsid w:val="3B6E533A"/>
    <w:rsid w:val="3C28373B"/>
    <w:rsid w:val="3C634773"/>
    <w:rsid w:val="3CC01983"/>
    <w:rsid w:val="3D156FFD"/>
    <w:rsid w:val="3D695DB9"/>
    <w:rsid w:val="3E7C0C45"/>
    <w:rsid w:val="3EAB0654"/>
    <w:rsid w:val="3F5A203E"/>
    <w:rsid w:val="410A1661"/>
    <w:rsid w:val="41566655"/>
    <w:rsid w:val="426B25D4"/>
    <w:rsid w:val="429D0A4E"/>
    <w:rsid w:val="43A318F9"/>
    <w:rsid w:val="442D371B"/>
    <w:rsid w:val="4613720A"/>
    <w:rsid w:val="461865CE"/>
    <w:rsid w:val="46222FA9"/>
    <w:rsid w:val="4642189D"/>
    <w:rsid w:val="471A69C9"/>
    <w:rsid w:val="47432D89"/>
    <w:rsid w:val="47E81FD1"/>
    <w:rsid w:val="4893018E"/>
    <w:rsid w:val="49734B8E"/>
    <w:rsid w:val="4AA3483E"/>
    <w:rsid w:val="4AC42881"/>
    <w:rsid w:val="4AD909E8"/>
    <w:rsid w:val="4B644252"/>
    <w:rsid w:val="4C013661"/>
    <w:rsid w:val="4D343593"/>
    <w:rsid w:val="4ECA2430"/>
    <w:rsid w:val="4F540134"/>
    <w:rsid w:val="536376D3"/>
    <w:rsid w:val="54147025"/>
    <w:rsid w:val="54B725CE"/>
    <w:rsid w:val="54CD67D6"/>
    <w:rsid w:val="57AC16EE"/>
    <w:rsid w:val="5859544B"/>
    <w:rsid w:val="58956A46"/>
    <w:rsid w:val="58C8202C"/>
    <w:rsid w:val="5ADC59C5"/>
    <w:rsid w:val="5BBB7799"/>
    <w:rsid w:val="5BC619FD"/>
    <w:rsid w:val="5C717B35"/>
    <w:rsid w:val="5E133B7E"/>
    <w:rsid w:val="5E3B2A02"/>
    <w:rsid w:val="5E8425FB"/>
    <w:rsid w:val="608C7E04"/>
    <w:rsid w:val="60FF797D"/>
    <w:rsid w:val="62364D94"/>
    <w:rsid w:val="62853344"/>
    <w:rsid w:val="637B1AF3"/>
    <w:rsid w:val="6457120A"/>
    <w:rsid w:val="65F22540"/>
    <w:rsid w:val="66BE7CE7"/>
    <w:rsid w:val="67931B01"/>
    <w:rsid w:val="689A2A1B"/>
    <w:rsid w:val="69862A24"/>
    <w:rsid w:val="69B61AD7"/>
    <w:rsid w:val="69D9062E"/>
    <w:rsid w:val="6ADC556D"/>
    <w:rsid w:val="6B6421C7"/>
    <w:rsid w:val="6B947BF6"/>
    <w:rsid w:val="6BCE07B8"/>
    <w:rsid w:val="6C7C0DB6"/>
    <w:rsid w:val="705160B5"/>
    <w:rsid w:val="711710AD"/>
    <w:rsid w:val="7148395C"/>
    <w:rsid w:val="71D074AE"/>
    <w:rsid w:val="72842772"/>
    <w:rsid w:val="72895FDA"/>
    <w:rsid w:val="72DC0914"/>
    <w:rsid w:val="747E1443"/>
    <w:rsid w:val="75404541"/>
    <w:rsid w:val="7695113D"/>
    <w:rsid w:val="77020109"/>
    <w:rsid w:val="78CC6D3B"/>
    <w:rsid w:val="78DC469B"/>
    <w:rsid w:val="7A147095"/>
    <w:rsid w:val="7AF366E7"/>
    <w:rsid w:val="7B734B9C"/>
    <w:rsid w:val="7D1E37CD"/>
    <w:rsid w:val="7DD86C30"/>
    <w:rsid w:val="7E993157"/>
    <w:rsid w:val="7EC14D4E"/>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269</Words>
  <Characters>346</Characters>
  <Lines>0</Lines>
  <Paragraphs>0</Paragraphs>
  <TotalTime>60</TotalTime>
  <ScaleCrop>false</ScaleCrop>
  <LinksUpToDate>false</LinksUpToDate>
  <CharactersWithSpaces>372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2025-09-08T18:49:40Z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