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16B84B9">
      <w:pPr>
        <w:spacing w:before="78" w:line="219" w:lineRule="auto"/>
        <w:ind w:left="25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b/>
          <w:bCs/>
          <w:spacing w:val="-3"/>
          <w:sz w:val="24"/>
          <w:szCs w:val="24"/>
        </w:rPr>
        <w:t>文件编号：ITSS-0</w:t>
      </w:r>
      <w:r>
        <w:rPr>
          <w:rFonts w:hint="eastAsia" w:ascii="宋体" w:hAnsi="宋体" w:eastAsia="宋体" w:cs="宋体"/>
          <w:b/>
          <w:bCs/>
          <w:spacing w:val="-3"/>
          <w:sz w:val="24"/>
          <w:szCs w:val="24"/>
          <w:lang w:val="en-US" w:eastAsia="zh-CN"/>
        </w:rPr>
        <w:t>4</w:t>
      </w:r>
      <w:r>
        <w:rPr>
          <w:rFonts w:ascii="宋体" w:hAnsi="宋体" w:eastAsia="宋体" w:cs="宋体"/>
          <w:b/>
          <w:bCs/>
          <w:spacing w:val="-3"/>
          <w:sz w:val="24"/>
          <w:szCs w:val="24"/>
        </w:rPr>
        <w:t>-0</w:t>
      </w:r>
      <w:r>
        <w:rPr>
          <w:rFonts w:hint="eastAsia" w:ascii="宋体" w:hAnsi="宋体" w:eastAsia="宋体" w:cs="宋体"/>
          <w:b/>
          <w:bCs/>
          <w:spacing w:val="-3"/>
          <w:sz w:val="24"/>
          <w:szCs w:val="24"/>
          <w:lang w:val="en-US" w:eastAsia="zh-CN"/>
        </w:rPr>
        <w:t>2-09</w:t>
      </w:r>
    </w:p>
    <w:p w14:paraId="6437943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3120" w:afterLines="1000" w:line="219" w:lineRule="auto"/>
        <w:ind w:left="23"/>
        <w:textAlignment w:val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b/>
          <w:bCs/>
          <w:spacing w:val="240"/>
          <w:kern w:val="0"/>
          <w:sz w:val="24"/>
          <w:szCs w:val="24"/>
        </w:rPr>
        <w:t>版</w:t>
      </w:r>
      <w:r>
        <w:rPr>
          <w:rFonts w:ascii="宋体" w:hAnsi="宋体" w:eastAsia="宋体" w:cs="宋体"/>
          <w:b/>
          <w:bCs/>
          <w:spacing w:val="0"/>
          <w:kern w:val="0"/>
          <w:sz w:val="24"/>
          <w:szCs w:val="24"/>
        </w:rPr>
        <w:t>本</w:t>
      </w:r>
      <w:r>
        <w:rPr>
          <w:rFonts w:ascii="宋体" w:hAnsi="宋体" w:eastAsia="宋体" w:cs="宋体"/>
          <w:b/>
          <w:bCs/>
          <w:spacing w:val="-5"/>
          <w:sz w:val="24"/>
          <w:szCs w:val="24"/>
        </w:rPr>
        <w:t>：V1.0</w:t>
      </w:r>
    </w:p>
    <w:p w14:paraId="5D5D5830">
      <w:pPr>
        <w:pStyle w:val="24"/>
        <w:bidi w:val="0"/>
      </w:pPr>
      <w:bookmarkStart w:id="0" w:name="_Toc32096"/>
      <w:r>
        <w:rPr>
          <w:rFonts w:hint="eastAsia"/>
          <w:lang w:val="en-US" w:eastAsia="zh-CN"/>
        </w:rPr>
        <w:t>万洲奇智（青岛）信息科技有限</w:t>
      </w:r>
      <w:r>
        <w:t>公司</w:t>
      </w:r>
      <w:bookmarkEnd w:id="0"/>
    </w:p>
    <w:p w14:paraId="7B371EFD">
      <w:pPr>
        <w:pStyle w:val="25"/>
        <w:bidi w:val="0"/>
        <w:rPr>
          <w:rFonts w:hint="default"/>
          <w:lang w:val="en-US"/>
        </w:rPr>
      </w:pPr>
      <w:bookmarkStart w:id="1" w:name="_Toc24213"/>
      <w:r>
        <w:rPr>
          <w:rFonts w:hint="eastAsia"/>
          <w:lang w:val="en-US" w:eastAsia="zh-CN"/>
        </w:rPr>
        <w:t>运维服务质量管理计划</w:t>
      </w:r>
      <w:bookmarkEnd w:id="1"/>
    </w:p>
    <w:tbl>
      <w:tblPr>
        <w:tblStyle w:val="21"/>
        <w:tblW w:w="0" w:type="auto"/>
        <w:tblInd w:w="244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8"/>
        <w:gridCol w:w="4261"/>
      </w:tblGrid>
      <w:tr w14:paraId="7EF008F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</w:trPr>
        <w:tc>
          <w:tcPr>
            <w:tcW w:w="1818" w:type="dxa"/>
          </w:tcPr>
          <w:p w14:paraId="424C8154"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编制人</w:t>
            </w:r>
            <w:r>
              <w:rPr>
                <w:rFonts w:hint="default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spacing w:val="105"/>
                <w:kern w:val="0"/>
                <w:u w:val="single"/>
                <w:vertAlign w:val="baseline"/>
                <w:lang w:val="en-US" w:eastAsia="zh-CN"/>
              </w:rPr>
              <w:t>孙</w:t>
            </w:r>
            <w:r>
              <w:rPr>
                <w:rFonts w:hint="eastAsia"/>
                <w:spacing w:val="0"/>
                <w:kern w:val="0"/>
                <w:u w:val="single"/>
                <w:vertAlign w:val="baseline"/>
                <w:lang w:val="en-US" w:eastAsia="zh-CN"/>
              </w:rPr>
              <w:t>文</w:t>
            </w:r>
          </w:p>
        </w:tc>
        <w:tc>
          <w:tcPr>
            <w:tcW w:w="4261" w:type="dxa"/>
          </w:tcPr>
          <w:p w14:paraId="40D25860"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编制时间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2025.01.08</w:t>
            </w:r>
          </w:p>
        </w:tc>
      </w:tr>
      <w:tr w14:paraId="4B48AB4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</w:trPr>
        <w:tc>
          <w:tcPr>
            <w:tcW w:w="1818" w:type="dxa"/>
            <w:shd w:val="clear" w:color="auto" w:fill="auto"/>
          </w:tcPr>
          <w:p w14:paraId="233B3EBA">
            <w:pPr>
              <w:widowControl w:val="0"/>
              <w:rPr>
                <w:rFonts w:hint="eastAsia" w:ascii="Arial" w:hAnsi="Arial" w:eastAsia="Arial" w:cs="Arial"/>
                <w:snapToGrid w:val="0"/>
                <w:color w:val="000000"/>
                <w:kern w:val="0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审核人</w:t>
            </w:r>
            <w:r>
              <w:rPr>
                <w:rFonts w:hint="default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陈姝羽</w:t>
            </w:r>
          </w:p>
        </w:tc>
        <w:tc>
          <w:tcPr>
            <w:tcW w:w="4261" w:type="dxa"/>
            <w:shd w:val="clear" w:color="auto" w:fill="auto"/>
          </w:tcPr>
          <w:p w14:paraId="118FF3FB">
            <w:pPr>
              <w:widowControl w:val="0"/>
              <w:rPr>
                <w:rFonts w:hint="eastAsia" w:ascii="Arial" w:hAnsi="Arial" w:eastAsia="Arial" w:cs="Arial"/>
                <w:snapToGrid w:val="0"/>
                <w:color w:val="000000"/>
                <w:kern w:val="0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编制时间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2025.01.08</w:t>
            </w:r>
          </w:p>
        </w:tc>
      </w:tr>
      <w:tr w14:paraId="0F33D80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5" w:hRule="atLeast"/>
        </w:trPr>
        <w:tc>
          <w:tcPr>
            <w:tcW w:w="1818" w:type="dxa"/>
          </w:tcPr>
          <w:p w14:paraId="783AA565"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批准人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lang w:val="en-US" w:eastAsia="zh-CN"/>
              </w:rPr>
              <w:t>郭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万洲</w:t>
            </w:r>
          </w:p>
        </w:tc>
        <w:tc>
          <w:tcPr>
            <w:tcW w:w="4261" w:type="dxa"/>
          </w:tcPr>
          <w:p w14:paraId="4308DBCE"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审批时间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2025.01.08</w:t>
            </w:r>
          </w:p>
        </w:tc>
      </w:tr>
    </w:tbl>
    <w:p w14:paraId="34A134E0">
      <w:r>
        <w:br w:type="page"/>
      </w:r>
    </w:p>
    <w:p w14:paraId="496FD4E0">
      <w:pPr>
        <w:spacing w:before="153" w:line="225" w:lineRule="auto"/>
        <w:ind w:left="3634"/>
        <w:rPr>
          <w:rFonts w:ascii="宋体" w:hAnsi="宋体" w:eastAsia="宋体" w:cs="宋体"/>
          <w:sz w:val="31"/>
          <w:szCs w:val="31"/>
        </w:rPr>
      </w:pPr>
      <w:r>
        <w:rPr>
          <w:rFonts w:ascii="宋体" w:hAnsi="宋体" w:eastAsia="宋体" w:cs="宋体"/>
          <w:b/>
          <w:bCs/>
          <w:spacing w:val="4"/>
          <w:sz w:val="31"/>
          <w:szCs w:val="31"/>
        </w:rPr>
        <w:t>修订记录</w:t>
      </w:r>
    </w:p>
    <w:tbl>
      <w:tblPr>
        <w:tblStyle w:val="26"/>
        <w:tblW w:w="8301" w:type="dxa"/>
        <w:tblInd w:w="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55"/>
        <w:gridCol w:w="919"/>
        <w:gridCol w:w="2289"/>
        <w:gridCol w:w="1148"/>
        <w:gridCol w:w="1150"/>
        <w:gridCol w:w="1240"/>
      </w:tblGrid>
      <w:tr w14:paraId="6703D4B0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3" w:hRule="atLeast"/>
        </w:trPr>
        <w:tc>
          <w:tcPr>
            <w:tcW w:w="1555" w:type="dxa"/>
          </w:tcPr>
          <w:p w14:paraId="36A93328">
            <w:pPr>
              <w:spacing w:before="176" w:line="228" w:lineRule="auto"/>
              <w:ind w:left="607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14"/>
                <w:sz w:val="20"/>
                <w:szCs w:val="20"/>
              </w:rPr>
              <w:t>日期</w:t>
            </w:r>
          </w:p>
        </w:tc>
        <w:tc>
          <w:tcPr>
            <w:tcW w:w="919" w:type="dxa"/>
          </w:tcPr>
          <w:p w14:paraId="2363C8A6">
            <w:pPr>
              <w:spacing w:before="175" w:line="227" w:lineRule="auto"/>
              <w:ind w:left="253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4"/>
                <w:sz w:val="20"/>
                <w:szCs w:val="20"/>
              </w:rPr>
              <w:t>版本</w:t>
            </w:r>
          </w:p>
        </w:tc>
        <w:tc>
          <w:tcPr>
            <w:tcW w:w="2289" w:type="dxa"/>
          </w:tcPr>
          <w:p w14:paraId="1F78E6EB">
            <w:pPr>
              <w:spacing w:before="175" w:line="228" w:lineRule="auto"/>
              <w:ind w:left="73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变更说明</w:t>
            </w:r>
          </w:p>
        </w:tc>
        <w:tc>
          <w:tcPr>
            <w:tcW w:w="1148" w:type="dxa"/>
          </w:tcPr>
          <w:p w14:paraId="5B0AEA74">
            <w:pPr>
              <w:spacing w:before="175" w:line="228" w:lineRule="auto"/>
              <w:ind w:left="31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6"/>
                <w:sz w:val="20"/>
                <w:szCs w:val="20"/>
              </w:rPr>
              <w:t>编写人</w:t>
            </w:r>
          </w:p>
        </w:tc>
        <w:tc>
          <w:tcPr>
            <w:tcW w:w="1150" w:type="dxa"/>
          </w:tcPr>
          <w:p w14:paraId="18582A9F">
            <w:pPr>
              <w:spacing w:before="175" w:line="228" w:lineRule="auto"/>
              <w:ind w:left="310"/>
              <w:rPr>
                <w:rFonts w:hint="eastAsia" w:ascii="宋体" w:hAnsi="宋体" w:eastAsia="宋体" w:cs="宋体"/>
                <w:spacing w:val="6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6"/>
                <w:sz w:val="20"/>
                <w:szCs w:val="20"/>
                <w:lang w:val="en-US" w:eastAsia="zh-CN"/>
              </w:rPr>
              <w:t>审核人</w:t>
            </w:r>
          </w:p>
        </w:tc>
        <w:tc>
          <w:tcPr>
            <w:tcW w:w="1240" w:type="dxa"/>
          </w:tcPr>
          <w:p w14:paraId="63BC6C91">
            <w:pPr>
              <w:spacing w:before="176" w:line="229" w:lineRule="auto"/>
              <w:ind w:left="311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批准人</w:t>
            </w:r>
          </w:p>
        </w:tc>
      </w:tr>
      <w:tr w14:paraId="30FAC8D7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</w:tcPr>
          <w:p w14:paraId="591D6762">
            <w:pPr>
              <w:spacing w:before="173" w:line="267" w:lineRule="exact"/>
              <w:ind w:left="26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3"/>
                <w:position w:val="1"/>
                <w:sz w:val="20"/>
                <w:szCs w:val="20"/>
              </w:rPr>
              <w:t>2025.01.08</w:t>
            </w:r>
          </w:p>
        </w:tc>
        <w:tc>
          <w:tcPr>
            <w:tcW w:w="919" w:type="dxa"/>
          </w:tcPr>
          <w:p w14:paraId="7DEDE6D2">
            <w:pPr>
              <w:spacing w:before="173" w:line="267" w:lineRule="exact"/>
              <w:ind w:left="248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4"/>
                <w:position w:val="1"/>
                <w:sz w:val="20"/>
                <w:szCs w:val="20"/>
              </w:rPr>
              <w:t>V1.0</w:t>
            </w:r>
          </w:p>
        </w:tc>
        <w:tc>
          <w:tcPr>
            <w:tcW w:w="2289" w:type="dxa"/>
          </w:tcPr>
          <w:p w14:paraId="6C2A3D86">
            <w:pPr>
              <w:spacing w:before="172" w:line="228" w:lineRule="auto"/>
              <w:ind w:left="114"/>
              <w:jc w:val="center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新建文档</w:t>
            </w:r>
          </w:p>
        </w:tc>
        <w:tc>
          <w:tcPr>
            <w:tcW w:w="1148" w:type="dxa"/>
          </w:tcPr>
          <w:p w14:paraId="1915B2CA">
            <w:pPr>
              <w:spacing w:before="172" w:line="228" w:lineRule="auto"/>
              <w:ind w:left="313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pacing w:val="105"/>
                <w:kern w:val="0"/>
                <w:u w:val="none"/>
                <w:vertAlign w:val="baseline"/>
                <w:lang w:val="en-US" w:eastAsia="zh-CN"/>
              </w:rPr>
              <w:t>孙</w:t>
            </w:r>
            <w:r>
              <w:rPr>
                <w:rFonts w:hint="eastAsia"/>
                <w:spacing w:val="0"/>
                <w:kern w:val="0"/>
                <w:u w:val="none"/>
                <w:vertAlign w:val="baseline"/>
                <w:lang w:val="en-US" w:eastAsia="zh-CN"/>
              </w:rPr>
              <w:t>文</w:t>
            </w:r>
          </w:p>
        </w:tc>
        <w:tc>
          <w:tcPr>
            <w:tcW w:w="1150" w:type="dxa"/>
          </w:tcPr>
          <w:p w14:paraId="633A5439">
            <w:pPr>
              <w:spacing w:before="172" w:line="228" w:lineRule="auto"/>
              <w:ind w:left="313"/>
              <w:rPr>
                <w:rFonts w:hint="eastAsia" w:ascii="宋体" w:hAnsi="宋体" w:eastAsia="宋体" w:cs="宋体"/>
                <w:spacing w:val="5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pacing w:val="5"/>
                <w:sz w:val="20"/>
                <w:szCs w:val="20"/>
                <w:lang w:val="en-US" w:eastAsia="zh-CN"/>
              </w:rPr>
              <w:t>陈姝羽</w:t>
            </w:r>
          </w:p>
        </w:tc>
        <w:tc>
          <w:tcPr>
            <w:tcW w:w="1240" w:type="dxa"/>
          </w:tcPr>
          <w:p w14:paraId="30AA00DB">
            <w:pPr>
              <w:spacing w:before="173" w:line="229" w:lineRule="auto"/>
              <w:ind w:left="314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pacing w:val="6"/>
                <w:sz w:val="20"/>
                <w:szCs w:val="20"/>
                <w:lang w:val="en-US" w:eastAsia="zh-CN"/>
              </w:rPr>
              <w:t>郭万洲</w:t>
            </w:r>
          </w:p>
        </w:tc>
      </w:tr>
      <w:tr w14:paraId="7BB9C90E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</w:tcPr>
          <w:p w14:paraId="105745ED">
            <w:pPr>
              <w:pStyle w:val="27"/>
            </w:pPr>
          </w:p>
        </w:tc>
        <w:tc>
          <w:tcPr>
            <w:tcW w:w="919" w:type="dxa"/>
          </w:tcPr>
          <w:p w14:paraId="74779AD5">
            <w:pPr>
              <w:pStyle w:val="27"/>
            </w:pPr>
          </w:p>
        </w:tc>
        <w:tc>
          <w:tcPr>
            <w:tcW w:w="2289" w:type="dxa"/>
          </w:tcPr>
          <w:p w14:paraId="22AE4FEC">
            <w:pPr>
              <w:pStyle w:val="27"/>
            </w:pPr>
          </w:p>
        </w:tc>
        <w:tc>
          <w:tcPr>
            <w:tcW w:w="1148" w:type="dxa"/>
          </w:tcPr>
          <w:p w14:paraId="2B5AEA80">
            <w:pPr>
              <w:spacing w:before="172" w:line="228" w:lineRule="auto"/>
              <w:ind w:left="313"/>
            </w:pPr>
          </w:p>
        </w:tc>
        <w:tc>
          <w:tcPr>
            <w:tcW w:w="1150" w:type="dxa"/>
          </w:tcPr>
          <w:p w14:paraId="2875884E">
            <w:pPr>
              <w:spacing w:before="172" w:line="228" w:lineRule="auto"/>
              <w:ind w:left="313"/>
            </w:pPr>
          </w:p>
        </w:tc>
        <w:tc>
          <w:tcPr>
            <w:tcW w:w="1240" w:type="dxa"/>
          </w:tcPr>
          <w:p w14:paraId="2B3BF547">
            <w:pPr>
              <w:pStyle w:val="27"/>
            </w:pPr>
          </w:p>
        </w:tc>
      </w:tr>
      <w:tr w14:paraId="3F501314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</w:tcPr>
          <w:p w14:paraId="24768984">
            <w:pPr>
              <w:pStyle w:val="27"/>
            </w:pPr>
          </w:p>
        </w:tc>
        <w:tc>
          <w:tcPr>
            <w:tcW w:w="919" w:type="dxa"/>
          </w:tcPr>
          <w:p w14:paraId="75AD641D">
            <w:pPr>
              <w:pStyle w:val="27"/>
            </w:pPr>
          </w:p>
        </w:tc>
        <w:tc>
          <w:tcPr>
            <w:tcW w:w="2289" w:type="dxa"/>
          </w:tcPr>
          <w:p w14:paraId="75CD2E72">
            <w:pPr>
              <w:pStyle w:val="27"/>
            </w:pPr>
          </w:p>
        </w:tc>
        <w:tc>
          <w:tcPr>
            <w:tcW w:w="1148" w:type="dxa"/>
          </w:tcPr>
          <w:p w14:paraId="4E9C2C26">
            <w:pPr>
              <w:spacing w:before="173" w:line="229" w:lineRule="auto"/>
              <w:ind w:left="314"/>
            </w:pPr>
          </w:p>
        </w:tc>
        <w:tc>
          <w:tcPr>
            <w:tcW w:w="1150" w:type="dxa"/>
          </w:tcPr>
          <w:p w14:paraId="1FBFAD36">
            <w:pPr>
              <w:spacing w:before="173" w:line="229" w:lineRule="auto"/>
              <w:ind w:left="314"/>
            </w:pPr>
          </w:p>
        </w:tc>
        <w:tc>
          <w:tcPr>
            <w:tcW w:w="1240" w:type="dxa"/>
          </w:tcPr>
          <w:p w14:paraId="6A09BD1A">
            <w:pPr>
              <w:pStyle w:val="27"/>
            </w:pPr>
          </w:p>
        </w:tc>
      </w:tr>
      <w:tr w14:paraId="22F9AACC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7" w:hRule="atLeast"/>
        </w:trPr>
        <w:tc>
          <w:tcPr>
            <w:tcW w:w="1555" w:type="dxa"/>
          </w:tcPr>
          <w:p w14:paraId="7CE33142">
            <w:pPr>
              <w:pStyle w:val="27"/>
            </w:pPr>
          </w:p>
        </w:tc>
        <w:tc>
          <w:tcPr>
            <w:tcW w:w="919" w:type="dxa"/>
          </w:tcPr>
          <w:p w14:paraId="4487D548">
            <w:pPr>
              <w:pStyle w:val="27"/>
            </w:pPr>
          </w:p>
        </w:tc>
        <w:tc>
          <w:tcPr>
            <w:tcW w:w="2289" w:type="dxa"/>
          </w:tcPr>
          <w:p w14:paraId="12D05541">
            <w:pPr>
              <w:pStyle w:val="27"/>
            </w:pPr>
          </w:p>
        </w:tc>
        <w:tc>
          <w:tcPr>
            <w:tcW w:w="1148" w:type="dxa"/>
          </w:tcPr>
          <w:p w14:paraId="080BC4CA">
            <w:pPr>
              <w:pStyle w:val="27"/>
            </w:pPr>
          </w:p>
        </w:tc>
        <w:tc>
          <w:tcPr>
            <w:tcW w:w="1150" w:type="dxa"/>
          </w:tcPr>
          <w:p w14:paraId="1C4DBD06">
            <w:pPr>
              <w:pStyle w:val="27"/>
            </w:pPr>
          </w:p>
        </w:tc>
        <w:tc>
          <w:tcPr>
            <w:tcW w:w="1240" w:type="dxa"/>
          </w:tcPr>
          <w:p w14:paraId="040EF21F">
            <w:pPr>
              <w:pStyle w:val="27"/>
            </w:pPr>
          </w:p>
        </w:tc>
      </w:tr>
      <w:tr w14:paraId="052F6517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</w:tcPr>
          <w:p w14:paraId="38D95CF0">
            <w:pPr>
              <w:pStyle w:val="27"/>
            </w:pPr>
          </w:p>
        </w:tc>
        <w:tc>
          <w:tcPr>
            <w:tcW w:w="919" w:type="dxa"/>
          </w:tcPr>
          <w:p w14:paraId="0AE5165D">
            <w:pPr>
              <w:pStyle w:val="27"/>
            </w:pPr>
          </w:p>
        </w:tc>
        <w:tc>
          <w:tcPr>
            <w:tcW w:w="2289" w:type="dxa"/>
          </w:tcPr>
          <w:p w14:paraId="178D1A82">
            <w:pPr>
              <w:pStyle w:val="27"/>
            </w:pPr>
          </w:p>
        </w:tc>
        <w:tc>
          <w:tcPr>
            <w:tcW w:w="1148" w:type="dxa"/>
          </w:tcPr>
          <w:p w14:paraId="4F84896A">
            <w:pPr>
              <w:pStyle w:val="27"/>
            </w:pPr>
          </w:p>
        </w:tc>
        <w:tc>
          <w:tcPr>
            <w:tcW w:w="1150" w:type="dxa"/>
          </w:tcPr>
          <w:p w14:paraId="41C77F0D">
            <w:pPr>
              <w:pStyle w:val="27"/>
            </w:pPr>
          </w:p>
        </w:tc>
        <w:tc>
          <w:tcPr>
            <w:tcW w:w="1240" w:type="dxa"/>
          </w:tcPr>
          <w:p w14:paraId="5A0092F1">
            <w:pPr>
              <w:pStyle w:val="27"/>
            </w:pPr>
          </w:p>
        </w:tc>
      </w:tr>
      <w:tr w14:paraId="3D7D12F8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1" w:hRule="atLeast"/>
        </w:trPr>
        <w:tc>
          <w:tcPr>
            <w:tcW w:w="1555" w:type="dxa"/>
          </w:tcPr>
          <w:p w14:paraId="4CF39AA7">
            <w:pPr>
              <w:pStyle w:val="27"/>
            </w:pPr>
          </w:p>
        </w:tc>
        <w:tc>
          <w:tcPr>
            <w:tcW w:w="919" w:type="dxa"/>
          </w:tcPr>
          <w:p w14:paraId="1FD7FF40">
            <w:pPr>
              <w:pStyle w:val="27"/>
            </w:pPr>
          </w:p>
        </w:tc>
        <w:tc>
          <w:tcPr>
            <w:tcW w:w="2289" w:type="dxa"/>
          </w:tcPr>
          <w:p w14:paraId="7131D6DD">
            <w:pPr>
              <w:pStyle w:val="27"/>
            </w:pPr>
          </w:p>
        </w:tc>
        <w:tc>
          <w:tcPr>
            <w:tcW w:w="1148" w:type="dxa"/>
          </w:tcPr>
          <w:p w14:paraId="0D25283E">
            <w:pPr>
              <w:pStyle w:val="27"/>
            </w:pPr>
          </w:p>
        </w:tc>
        <w:tc>
          <w:tcPr>
            <w:tcW w:w="1150" w:type="dxa"/>
          </w:tcPr>
          <w:p w14:paraId="72D3D354">
            <w:pPr>
              <w:pStyle w:val="27"/>
            </w:pPr>
          </w:p>
        </w:tc>
        <w:tc>
          <w:tcPr>
            <w:tcW w:w="1240" w:type="dxa"/>
          </w:tcPr>
          <w:p w14:paraId="2B386E4C">
            <w:pPr>
              <w:pStyle w:val="27"/>
            </w:pPr>
          </w:p>
        </w:tc>
      </w:tr>
    </w:tbl>
    <w:p w14:paraId="2990BA7B">
      <w:r>
        <w:br w:type="page"/>
      </w:r>
    </w:p>
    <w:sdt>
      <w:sdtPr>
        <w:rPr>
          <w:rFonts w:ascii="宋体" w:hAnsi="宋体" w:eastAsia="宋体" w:cs="Arial"/>
          <w:snapToGrid w:val="0"/>
          <w:color w:val="000000"/>
          <w:kern w:val="0"/>
          <w:sz w:val="21"/>
          <w:szCs w:val="21"/>
          <w:lang w:val="en-US" w:eastAsia="en-US" w:bidi="ar-SA"/>
        </w:rPr>
        <w:id w:val="147468666"/>
        <w:docPartObj>
          <w:docPartGallery w:val="Table of Contents"/>
          <w:docPartUnique/>
        </w:docPartObj>
      </w:sdtPr>
      <w:sdtEndPr>
        <w:rPr>
          <w:rFonts w:hint="eastAsia" w:ascii="宋体" w:hAnsi="宋体" w:eastAsia="宋体" w:cs="宋体"/>
          <w:snapToGrid w:val="0"/>
          <w:color w:val="000000"/>
          <w:kern w:val="0"/>
          <w:sz w:val="24"/>
          <w:szCs w:val="24"/>
          <w:lang w:val="en-US" w:eastAsia="en-US" w:bidi="ar-SA"/>
        </w:rPr>
      </w:sdtEndPr>
      <w:sdtContent>
        <w:p w14:paraId="23ED070D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t>目录</w:t>
          </w:r>
        </w:p>
        <w:p w14:paraId="786B85D5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TOC \o "1-3" \h \u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_Toc32096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eastAsia"/>
              <w:lang w:val="en-US" w:eastAsia="zh-CN"/>
            </w:rPr>
            <w:t>万洲奇智（青岛）信息科技有限</w:t>
          </w:r>
          <w:r>
            <w:t>公司</w:t>
          </w:r>
          <w:r>
            <w:tab/>
          </w:r>
          <w:r>
            <w:fldChar w:fldCharType="begin"/>
          </w:r>
          <w:r>
            <w:instrText xml:space="preserve"> PAGEREF _Toc32096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40022B0D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_Toc24213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eastAsia"/>
              <w:lang w:val="en-US" w:eastAsia="zh-CN"/>
            </w:rPr>
            <w:t>运维服务质量管理计划</w:t>
          </w:r>
          <w:r>
            <w:tab/>
          </w:r>
          <w:r>
            <w:fldChar w:fldCharType="begin"/>
          </w:r>
          <w:r>
            <w:instrText xml:space="preserve"> PAGEREF _Toc24213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372343CB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_Toc8810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1. </w:t>
          </w:r>
          <w:r>
            <w:t>目的</w:t>
          </w:r>
          <w:r>
            <w:tab/>
          </w:r>
          <w:r>
            <w:fldChar w:fldCharType="begin"/>
          </w:r>
          <w:r>
            <w:instrText xml:space="preserve"> PAGEREF _Toc8810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331457EE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_Toc32186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原则</w:t>
          </w:r>
          <w:r>
            <w:tab/>
          </w:r>
          <w:r>
            <w:fldChar w:fldCharType="begin"/>
          </w:r>
          <w:r>
            <w:instrText xml:space="preserve"> PAGEREF _Toc32186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02C6B059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_Toc8142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3. </w:t>
          </w:r>
          <w:r>
            <w:rPr>
              <w:rFonts w:hint="eastAsia"/>
              <w:lang w:val="en-US" w:eastAsia="zh-CN"/>
            </w:rPr>
            <w:t>适用</w:t>
          </w:r>
          <w:r>
            <w:t>范围</w:t>
          </w:r>
          <w:r>
            <w:tab/>
          </w:r>
          <w:r>
            <w:fldChar w:fldCharType="begin"/>
          </w:r>
          <w:r>
            <w:instrText xml:space="preserve"> PAGEREF _Toc8142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61492D2A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_Toc25660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岗位职责</w:t>
          </w:r>
          <w:r>
            <w:tab/>
          </w:r>
          <w:r>
            <w:fldChar w:fldCharType="begin"/>
          </w:r>
          <w:r>
            <w:instrText xml:space="preserve"> PAGEREF _Toc25660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76800173">
          <w:pPr>
            <w:pStyle w:val="1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_Toc737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4.1. </w:t>
          </w:r>
          <w:r>
            <w:rPr>
              <w:rFonts w:hint="eastAsia"/>
              <w:lang w:val="en-US" w:eastAsia="zh-CN"/>
            </w:rPr>
            <w:t>运维部</w:t>
          </w:r>
          <w:r>
            <w:tab/>
          </w:r>
          <w:r>
            <w:fldChar w:fldCharType="begin"/>
          </w:r>
          <w:r>
            <w:instrText xml:space="preserve"> PAGEREF _Toc737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71EDDC24">
          <w:pPr>
            <w:pStyle w:val="1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_Toc24399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4.2. </w:t>
          </w:r>
          <w:r>
            <w:rPr>
              <w:rFonts w:hint="eastAsia"/>
              <w:lang w:val="en-US" w:eastAsia="zh-CN"/>
            </w:rPr>
            <w:t>质量部</w:t>
          </w:r>
          <w:r>
            <w:tab/>
          </w:r>
          <w:r>
            <w:fldChar w:fldCharType="begin"/>
          </w:r>
          <w:r>
            <w:instrText xml:space="preserve"> PAGEREF _Toc24399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2DD3733B">
          <w:pPr>
            <w:pStyle w:val="1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_Toc27746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4.3. </w:t>
          </w:r>
          <w:r>
            <w:rPr>
              <w:rFonts w:hint="eastAsia"/>
              <w:lang w:val="en-US" w:eastAsia="zh-CN"/>
            </w:rPr>
            <w:t>人力部</w:t>
          </w:r>
          <w:r>
            <w:tab/>
          </w:r>
          <w:r>
            <w:fldChar w:fldCharType="begin"/>
          </w:r>
          <w:r>
            <w:instrText xml:space="preserve"> PAGEREF _Toc27746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14D328B2">
          <w:pPr>
            <w:pStyle w:val="1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_Toc15303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4.4. </w:t>
          </w:r>
          <w:r>
            <w:rPr>
              <w:rFonts w:hint="eastAsia"/>
              <w:lang w:val="en-US" w:eastAsia="zh-CN"/>
            </w:rPr>
            <w:t>采购部</w:t>
          </w:r>
          <w:r>
            <w:tab/>
          </w:r>
          <w:r>
            <w:fldChar w:fldCharType="begin"/>
          </w:r>
          <w:r>
            <w:instrText xml:space="preserve"> PAGEREF _Toc15303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0827BD73">
          <w:pPr>
            <w:pStyle w:val="1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_Toc4273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4.5. </w:t>
          </w:r>
          <w:r>
            <w:rPr>
              <w:rFonts w:hint="eastAsia"/>
              <w:lang w:val="en-US" w:eastAsia="zh-CN"/>
            </w:rPr>
            <w:t>研发部</w:t>
          </w:r>
          <w:r>
            <w:tab/>
          </w:r>
          <w:r>
            <w:fldChar w:fldCharType="begin"/>
          </w:r>
          <w:r>
            <w:instrText xml:space="preserve"> PAGEREF _Toc4273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2B9812F4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_Toc5079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 </w:t>
          </w:r>
          <w:r>
            <w:rPr>
              <w:rFonts w:hint="eastAsia"/>
              <w:lang w:val="en-US" w:eastAsia="zh-CN"/>
            </w:rPr>
            <w:t>质量计划实施</w:t>
          </w:r>
          <w:r>
            <w:tab/>
          </w:r>
          <w:r>
            <w:fldChar w:fldCharType="begin"/>
          </w:r>
          <w:r>
            <w:instrText xml:space="preserve"> PAGEREF _Toc5079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549EE7CC">
          <w:pPr>
            <w:pStyle w:val="1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_Toc25381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5.1. </w:t>
          </w:r>
          <w:r>
            <w:rPr>
              <w:rFonts w:hint="eastAsia"/>
              <w:lang w:val="en-US" w:eastAsia="zh-CN"/>
            </w:rPr>
            <w:t>运维服务质量保障总体活动</w:t>
          </w:r>
          <w:r>
            <w:tab/>
          </w:r>
          <w:r>
            <w:fldChar w:fldCharType="begin"/>
          </w:r>
          <w:r>
            <w:instrText xml:space="preserve"> PAGEREF _Toc25381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265E724B">
          <w:pPr>
            <w:pStyle w:val="1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_Toc4007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>5.2. 运维服务能力体系内部审核</w:t>
          </w:r>
          <w:r>
            <w:tab/>
          </w:r>
          <w:r>
            <w:fldChar w:fldCharType="begin"/>
          </w:r>
          <w:r>
            <w:instrText xml:space="preserve"> PAGEREF _Toc4007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352862F8">
          <w:pPr>
            <w:pStyle w:val="1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_Toc3277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>5.3. 运维服务能力管理评审</w:t>
          </w:r>
          <w:r>
            <w:tab/>
          </w:r>
          <w:r>
            <w:fldChar w:fldCharType="begin"/>
          </w:r>
          <w:r>
            <w:instrText xml:space="preserve"> PAGEREF _Toc3277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233D68DB">
          <w:pPr>
            <w:pStyle w:val="1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_Toc22405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5.4. </w:t>
          </w:r>
          <w:r>
            <w:rPr>
              <w:rFonts w:hint="eastAsia"/>
              <w:lang w:val="en-US" w:eastAsia="zh-CN"/>
            </w:rPr>
            <w:t>客户满意度调查与分析</w:t>
          </w:r>
          <w:r>
            <w:tab/>
          </w:r>
          <w:r>
            <w:fldChar w:fldCharType="begin"/>
          </w:r>
          <w:r>
            <w:instrText xml:space="preserve"> PAGEREF _Toc22405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6896F4B4">
          <w:pPr>
            <w:pStyle w:val="1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_Toc4689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5.5. </w:t>
          </w:r>
          <w:r>
            <w:rPr>
              <w:rFonts w:hint="eastAsia"/>
              <w:lang w:val="en-US" w:eastAsia="zh-CN"/>
            </w:rPr>
            <w:t>服务质量改进</w:t>
          </w:r>
          <w:r>
            <w:tab/>
          </w:r>
          <w:r>
            <w:fldChar w:fldCharType="begin"/>
          </w:r>
          <w:r>
            <w:instrText xml:space="preserve"> PAGEREF _Toc4689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69E66C8B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_Toc11461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 w:eastAsia="宋体"/>
              <w:lang w:val="en-US" w:eastAsia="zh-CN"/>
            </w:rPr>
            <w:t xml:space="preserve">6. </w:t>
          </w:r>
          <w:r>
            <w:rPr>
              <w:rFonts w:hint="eastAsia" w:eastAsia="宋体"/>
              <w:lang w:val="en-US" w:eastAsia="zh-CN"/>
            </w:rPr>
            <w:t>附则</w:t>
          </w:r>
          <w:r>
            <w:tab/>
          </w:r>
          <w:r>
            <w:fldChar w:fldCharType="begin"/>
          </w:r>
          <w:r>
            <w:instrText xml:space="preserve"> PAGEREF _Toc11461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05B2CFEC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_Toc27093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 </w:t>
          </w:r>
          <w:r>
            <w:rPr>
              <w:rFonts w:hint="eastAsia"/>
              <w:lang w:val="en-US" w:eastAsia="zh-CN"/>
            </w:rPr>
            <w:t>附件</w:t>
          </w:r>
          <w:r>
            <w:tab/>
          </w:r>
          <w:r>
            <w:fldChar w:fldCharType="begin"/>
          </w:r>
          <w:r>
            <w:instrText xml:space="preserve"> PAGEREF _Toc27093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391291F2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_Toc1679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8. </w:t>
          </w:r>
          <w:r>
            <w:rPr>
              <w:rFonts w:hint="eastAsia"/>
              <w:lang w:val="en-US" w:eastAsia="zh-CN"/>
            </w:rPr>
            <w:t>记录</w:t>
          </w:r>
          <w:r>
            <w:tab/>
          </w:r>
          <w:r>
            <w:fldChar w:fldCharType="begin"/>
          </w:r>
          <w:r>
            <w:instrText xml:space="preserve"> PAGEREF _Toc1679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539D4B95">
          <w:pPr>
            <w:bidi w:val="0"/>
            <w:rPr>
              <w:rFonts w:hint="eastAsia" w:ascii="宋体" w:hAnsi="宋体" w:eastAsia="宋体" w:cs="宋体"/>
              <w:snapToGrid w:val="0"/>
              <w:color w:val="000000"/>
              <w:kern w:val="0"/>
              <w:sz w:val="24"/>
              <w:szCs w:val="24"/>
              <w:lang w:val="en-US" w:eastAsia="en-US" w:bidi="ar-SA"/>
            </w:rPr>
          </w:pP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</w:sdtContent>
    </w:sdt>
    <w:p w14:paraId="36882763">
      <w:pPr>
        <w:rPr>
          <w:rFonts w:ascii="Arial" w:hAnsi="Arial" w:eastAsia="Arial" w:cs="Arial"/>
          <w:snapToGrid w:val="0"/>
          <w:color w:val="000000"/>
          <w:kern w:val="0"/>
          <w:sz w:val="21"/>
          <w:szCs w:val="21"/>
          <w:lang w:val="en-US" w:eastAsia="en-US" w:bidi="ar-SA"/>
        </w:rPr>
      </w:pPr>
      <w:r>
        <w:rPr>
          <w:rFonts w:ascii="Arial" w:hAnsi="Arial" w:eastAsia="Arial" w:cs="Arial"/>
          <w:snapToGrid w:val="0"/>
          <w:color w:val="000000"/>
          <w:kern w:val="0"/>
          <w:sz w:val="21"/>
          <w:szCs w:val="21"/>
          <w:lang w:val="en-US" w:eastAsia="en-US" w:bidi="ar-SA"/>
        </w:rPr>
        <w:br w:type="page"/>
      </w:r>
    </w:p>
    <w:p w14:paraId="1A29C38D">
      <w:pPr>
        <w:pStyle w:val="28"/>
        <w:bidi w:val="0"/>
      </w:pPr>
      <w:bookmarkStart w:id="2" w:name="_Toc8810"/>
      <w:r>
        <w:t>目的</w:t>
      </w:r>
      <w:bookmarkEnd w:id="2"/>
    </w:p>
    <w:p w14:paraId="48B5C242">
      <w:pPr>
        <w:pStyle w:val="29"/>
        <w:bidi w:val="0"/>
      </w:pPr>
      <w:r>
        <w:rPr>
          <w:rFonts w:hint="default"/>
        </w:rPr>
        <w:t>建立一套系统化、可量化、持续改进的管理体系，以确保向客户（内部或外部）提供的运维服务是稳定、高效、可靠且符合既定标准与客户期望的</w:t>
      </w:r>
    </w:p>
    <w:p w14:paraId="7A2A8D39">
      <w:pPr>
        <w:pStyle w:val="28"/>
        <w:bidi w:val="0"/>
        <w:rPr>
          <w:rFonts w:hint="eastAsia"/>
          <w:lang w:val="en-US" w:eastAsia="zh-CN"/>
        </w:rPr>
      </w:pPr>
      <w:bookmarkStart w:id="3" w:name="_Toc32186"/>
      <w:r>
        <w:rPr>
          <w:rFonts w:hint="eastAsia"/>
          <w:lang w:val="en-US" w:eastAsia="zh-CN"/>
        </w:rPr>
        <w:t>原则</w:t>
      </w:r>
      <w:bookmarkEnd w:id="3"/>
    </w:p>
    <w:p w14:paraId="1620DDA5">
      <w:pPr>
        <w:pStyle w:val="29"/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以客户为中心：所有运维活动和质量衡量标准都应围绕客户需求和业务价值展开。</w:t>
      </w:r>
    </w:p>
    <w:p w14:paraId="79697807">
      <w:pPr>
        <w:pStyle w:val="29"/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预防为主：从事后救火转向事前预防，通过监控、巡检、容量规划等手段主动发现和消除潜在风险。</w:t>
      </w:r>
    </w:p>
    <w:p w14:paraId="6F804D55">
      <w:pPr>
        <w:pStyle w:val="29"/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数据驱动：决策基于客观数据和事实（如MTTR平均修复时间、MTBF平均无故障时间等），而非主观臆断。</w:t>
      </w:r>
    </w:p>
    <w:p w14:paraId="2C6D56F6">
      <w:pPr>
        <w:pStyle w:val="29"/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流程标准化：建立并遵循统一、规范的服务管理流程（如ITIL最佳实践），确保服务的一致性和可追溯性。</w:t>
      </w:r>
    </w:p>
    <w:p w14:paraId="09843E8E">
      <w:pPr>
        <w:pStyle w:val="29"/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全员参与：服务质量不仅是运维部的责任，而是需要所有相关部门（人力部、研发部、质量部、采购部、质量部</w:t>
      </w:r>
      <w:bookmarkStart w:id="23" w:name="_GoBack"/>
      <w:bookmarkEnd w:id="23"/>
      <w:r>
        <w:rPr>
          <w:rFonts w:hint="eastAsia"/>
          <w:lang w:val="en-US" w:eastAsia="zh-CN"/>
        </w:rPr>
        <w:t>）协同保障。</w:t>
      </w:r>
    </w:p>
    <w:p w14:paraId="5712D7FE">
      <w:pPr>
        <w:pStyle w:val="29"/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持续改进：将改进融入日常工作中，定期评审流程和指标，寻求一切优化机会。</w:t>
      </w:r>
    </w:p>
    <w:p w14:paraId="04514FEC">
      <w:pPr>
        <w:pStyle w:val="28"/>
        <w:bidi w:val="0"/>
      </w:pPr>
      <w:bookmarkStart w:id="4" w:name="_Toc8142"/>
      <w:r>
        <w:rPr>
          <w:rFonts w:hint="eastAsia"/>
          <w:lang w:val="en-US" w:eastAsia="zh-CN"/>
        </w:rPr>
        <w:t>适用</w:t>
      </w:r>
      <w:r>
        <w:t>范围</w:t>
      </w:r>
      <w:bookmarkEnd w:id="4"/>
    </w:p>
    <w:p w14:paraId="2FA483DF">
      <w:pPr>
        <w:pStyle w:val="29"/>
        <w:bidi w:val="0"/>
        <w:rPr>
          <w:rFonts w:hint="eastAsia" w:eastAsia="宋体"/>
          <w:lang w:eastAsia="zh-CN"/>
        </w:rPr>
      </w:pPr>
      <w:r>
        <w:t>本质量管理计划适用于</w:t>
      </w:r>
      <w:r>
        <w:rPr>
          <w:rFonts w:hint="default"/>
        </w:rPr>
        <w:t>公司所有IT运维服务及相关支持活动</w:t>
      </w:r>
      <w:r>
        <w:rPr>
          <w:rFonts w:hint="eastAsia"/>
          <w:lang w:eastAsia="zh-CN"/>
        </w:rPr>
        <w:t>。</w:t>
      </w:r>
    </w:p>
    <w:p w14:paraId="5A51EE4F">
      <w:pPr>
        <w:pStyle w:val="28"/>
        <w:bidi w:val="0"/>
        <w:rPr>
          <w:rFonts w:hint="eastAsia"/>
          <w:lang w:val="en-US" w:eastAsia="zh-CN"/>
        </w:rPr>
      </w:pPr>
      <w:bookmarkStart w:id="5" w:name="_Toc25660"/>
      <w:r>
        <w:rPr>
          <w:rFonts w:hint="eastAsia"/>
          <w:lang w:val="en-US" w:eastAsia="zh-CN"/>
        </w:rPr>
        <w:t>岗位职责</w:t>
      </w:r>
      <w:bookmarkEnd w:id="5"/>
    </w:p>
    <w:p w14:paraId="6E8EB4C5">
      <w:pPr>
        <w:pStyle w:val="30"/>
        <w:bidi w:val="0"/>
        <w:rPr>
          <w:rFonts w:hint="eastAsia"/>
          <w:lang w:val="en-US" w:eastAsia="zh-CN"/>
        </w:rPr>
      </w:pPr>
      <w:bookmarkStart w:id="6" w:name="_Toc737"/>
      <w:r>
        <w:rPr>
          <w:rFonts w:hint="eastAsia"/>
          <w:lang w:val="en-US" w:eastAsia="zh-CN"/>
        </w:rPr>
        <w:t>运维部</w:t>
      </w:r>
      <w:bookmarkEnd w:id="6"/>
    </w:p>
    <w:p w14:paraId="57DB4315">
      <w:pPr>
        <w:pStyle w:val="29"/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执行与交付： 严格按照既定的流程和标准操作规范（SOP）执行日常运维任务，确保服务交付符合SLA。</w:t>
      </w:r>
    </w:p>
    <w:p w14:paraId="27E67D12">
      <w:pPr>
        <w:pStyle w:val="29"/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记录与报告： 准确、及时地记录事件、变更、问题等所有服务工单，并定期生成服务报告。</w:t>
      </w:r>
    </w:p>
    <w:p w14:paraId="0AF86126">
      <w:pPr>
        <w:pStyle w:val="29"/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主动监控与预防： 负责7x24小时监控系统状态，执行预防性巡检，主动发现并处理隐患。</w:t>
      </w:r>
    </w:p>
    <w:p w14:paraId="69A6AEE2">
      <w:pPr>
        <w:pStyle w:val="29"/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应急响应：在发生服务故障时，立即启动应急预案，快速恢复服务，并参与事后复盘。</w:t>
      </w:r>
    </w:p>
    <w:p w14:paraId="1436E4FF">
      <w:pPr>
        <w:pStyle w:val="29"/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提出改进建议：基于一线工作经验，向质量部和团队负责人反馈流程优化和技术改进建议。</w:t>
      </w:r>
    </w:p>
    <w:p w14:paraId="6A4AB4B1">
      <w:pPr>
        <w:pStyle w:val="30"/>
        <w:bidi w:val="0"/>
        <w:rPr>
          <w:rFonts w:hint="eastAsia"/>
          <w:lang w:val="en-US" w:eastAsia="zh-CN"/>
        </w:rPr>
      </w:pPr>
      <w:bookmarkStart w:id="7" w:name="_Toc24399"/>
      <w:r>
        <w:rPr>
          <w:rFonts w:hint="eastAsia"/>
          <w:lang w:val="en-US" w:eastAsia="zh-CN"/>
        </w:rPr>
        <w:t>质量部</w:t>
      </w:r>
      <w:bookmarkEnd w:id="7"/>
    </w:p>
    <w:p w14:paraId="3F451B31">
      <w:pPr>
        <w:pStyle w:val="29"/>
        <w:numPr>
          <w:ilvl w:val="0"/>
          <w:numId w:val="4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体系构建：负责制定、维护和推广运维服务质量管理体系、流程和模板。</w:t>
      </w:r>
    </w:p>
    <w:p w14:paraId="66FE52BE">
      <w:pPr>
        <w:pStyle w:val="29"/>
        <w:numPr>
          <w:ilvl w:val="0"/>
          <w:numId w:val="4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审计与检查： 定期对运维流程的执行情况、记录完整性、SLA符合度进行审计和符合性检查。</w:t>
      </w:r>
    </w:p>
    <w:p w14:paraId="1256E1D5">
      <w:pPr>
        <w:pStyle w:val="29"/>
        <w:numPr>
          <w:ilvl w:val="0"/>
          <w:numId w:val="4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度量与分析：定义关键绩效指标（KPI），收集和分析服务质量数据，编制质量分析报告。</w:t>
      </w:r>
    </w:p>
    <w:p w14:paraId="47684631">
      <w:pPr>
        <w:pStyle w:val="29"/>
        <w:numPr>
          <w:ilvl w:val="0"/>
          <w:numId w:val="4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推动改进： 组织质量评审会议，识别改进点，跟踪改进措施的实施情况和效果验证。</w:t>
      </w:r>
    </w:p>
    <w:p w14:paraId="7898588F">
      <w:pPr>
        <w:pStyle w:val="29"/>
        <w:numPr>
          <w:ilvl w:val="0"/>
          <w:numId w:val="4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客户满意度调查：定期组织客户满意度调研，并分析反馈以驱动服务提升。</w:t>
      </w:r>
    </w:p>
    <w:p w14:paraId="30306511">
      <w:pPr>
        <w:pStyle w:val="30"/>
        <w:bidi w:val="0"/>
        <w:rPr>
          <w:rFonts w:hint="eastAsia"/>
          <w:lang w:val="en-US" w:eastAsia="zh-CN"/>
        </w:rPr>
      </w:pPr>
      <w:bookmarkStart w:id="8" w:name="_Toc27746"/>
      <w:r>
        <w:rPr>
          <w:rFonts w:hint="eastAsia"/>
          <w:lang w:val="en-US" w:eastAsia="zh-CN"/>
        </w:rPr>
        <w:t>人力部</w:t>
      </w:r>
      <w:bookmarkEnd w:id="8"/>
    </w:p>
    <w:p w14:paraId="74194652">
      <w:pPr>
        <w:pStyle w:val="29"/>
        <w:numPr>
          <w:ilvl w:val="0"/>
          <w:numId w:val="5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人员招聘与配置：根据运维部的能力需求，招聘和配置具备相应技能的人才。</w:t>
      </w:r>
    </w:p>
    <w:p w14:paraId="629B4CD1">
      <w:pPr>
        <w:pStyle w:val="29"/>
        <w:numPr>
          <w:ilvl w:val="0"/>
          <w:numId w:val="5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培训与发展：与运维部共同规划并组织实施专业技能、服务流程、质量管理等方面的培训。</w:t>
      </w:r>
    </w:p>
    <w:p w14:paraId="2D2A74B6">
      <w:pPr>
        <w:pStyle w:val="29"/>
        <w:numPr>
          <w:ilvl w:val="0"/>
          <w:numId w:val="5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绩效管理：将服务质量KPI（如客户满意度、SLA达成率）纳入运维团队的绩效考核体系。</w:t>
      </w:r>
    </w:p>
    <w:p w14:paraId="1ED98C37">
      <w:pPr>
        <w:pStyle w:val="29"/>
        <w:numPr>
          <w:ilvl w:val="0"/>
          <w:numId w:val="5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企业文化倡导：在公司内部倡导质量文化和客户服务文化。</w:t>
      </w:r>
    </w:p>
    <w:p w14:paraId="4FE70D84">
      <w:pPr>
        <w:pStyle w:val="30"/>
        <w:bidi w:val="0"/>
        <w:rPr>
          <w:rFonts w:hint="eastAsia"/>
          <w:lang w:val="en-US" w:eastAsia="zh-CN"/>
        </w:rPr>
      </w:pPr>
      <w:bookmarkStart w:id="9" w:name="_Toc15303"/>
      <w:r>
        <w:rPr>
          <w:rFonts w:hint="eastAsia"/>
          <w:lang w:val="en-US" w:eastAsia="zh-CN"/>
        </w:rPr>
        <w:t>采购部</w:t>
      </w:r>
      <w:bookmarkEnd w:id="9"/>
    </w:p>
    <w:p w14:paraId="6B5E50D5">
      <w:pPr>
        <w:pStyle w:val="29"/>
        <w:numPr>
          <w:ilvl w:val="0"/>
          <w:numId w:val="6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供应商选择：在选择外部运维服务供应商（如硬件维保、云服务、外包服务）时，将服务质量承诺（SLA）作为核心评审条款。</w:t>
      </w:r>
    </w:p>
    <w:p w14:paraId="019BFD48">
      <w:pPr>
        <w:pStyle w:val="29"/>
        <w:numPr>
          <w:ilvl w:val="0"/>
          <w:numId w:val="6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合同管理：在合同中明确质量要求、惩罚条款和退出机制，并管理合同履行。</w:t>
      </w:r>
    </w:p>
    <w:p w14:paraId="104F831E">
      <w:pPr>
        <w:pStyle w:val="29"/>
        <w:numPr>
          <w:ilvl w:val="0"/>
          <w:numId w:val="6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供应商绩效管理： 定期协同运维部和质量部对供应商的服务质量进行评估和考核。</w:t>
      </w:r>
    </w:p>
    <w:p w14:paraId="484C98FB">
      <w:pPr>
        <w:pStyle w:val="29"/>
        <w:numPr>
          <w:ilvl w:val="0"/>
          <w:numId w:val="6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采购效率：保障运维所需硬件、软件采购的及时性，避免因物资不到位影响服务交付。</w:t>
      </w:r>
    </w:p>
    <w:p w14:paraId="72AC7CB2">
      <w:pPr>
        <w:pStyle w:val="30"/>
        <w:bidi w:val="0"/>
        <w:rPr>
          <w:rFonts w:hint="default"/>
          <w:lang w:val="en-US" w:eastAsia="zh-CN"/>
        </w:rPr>
      </w:pPr>
      <w:bookmarkStart w:id="10" w:name="_Toc4273"/>
      <w:r>
        <w:rPr>
          <w:rFonts w:hint="eastAsia"/>
          <w:lang w:val="en-US" w:eastAsia="zh-CN"/>
        </w:rPr>
        <w:t>研发部</w:t>
      </w:r>
      <w:bookmarkEnd w:id="10"/>
    </w:p>
    <w:p w14:paraId="34C6C4F5">
      <w:pPr>
        <w:pStyle w:val="29"/>
        <w:numPr>
          <w:ilvl w:val="0"/>
          <w:numId w:val="7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设计可运维系统：在系统架构与设计阶段，纳入可监控性、可维护性、高可用性等运维需求，避免单点故障，并与运维团队共同完成设计评审。</w:t>
      </w:r>
    </w:p>
    <w:p w14:paraId="4B668F76">
      <w:pPr>
        <w:pStyle w:val="29"/>
        <w:numPr>
          <w:ilvl w:val="0"/>
          <w:numId w:val="7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保障交付物质量：建立并遵守代码规范、单元测试与代码审查流程，确保提交代码的质量，减少因代码缺陷引发的线上故障，并提供详尽的技术文档。</w:t>
      </w:r>
    </w:p>
    <w:p w14:paraId="2C386EA9">
      <w:pPr>
        <w:pStyle w:val="29"/>
        <w:numPr>
          <w:ilvl w:val="0"/>
          <w:numId w:val="7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协同变更与发布：遵循变更管理流程，协助运维团队编写和调试自动化部署脚本，提供明确的发布方案和回滚计划，确保发布可靠性。</w:t>
      </w:r>
    </w:p>
    <w:p w14:paraId="6B689975">
      <w:pPr>
        <w:pStyle w:val="29"/>
        <w:numPr>
          <w:ilvl w:val="0"/>
          <w:numId w:val="7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支持故障排查：在生产环境出现疑难故障时，提供必要的代码层面和技术层面的深入分析，积极配合运维团队快速定位并解决问题。</w:t>
      </w:r>
    </w:p>
    <w:p w14:paraId="503C28D4">
      <w:pPr>
        <w:pStyle w:val="29"/>
        <w:numPr>
          <w:ilvl w:val="0"/>
          <w:numId w:val="7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构建监控能力： 在应用中集成监控探针，提供关键的性能指标和健康状态检查，与运维部共同定义有效的监控告警策略。</w:t>
      </w:r>
    </w:p>
    <w:p w14:paraId="018ACA04">
      <w:pPr>
        <w:pStyle w:val="28"/>
        <w:bidi w:val="0"/>
        <w:rPr>
          <w:rFonts w:hint="default"/>
          <w:lang w:val="en-US" w:eastAsia="zh-CN"/>
        </w:rPr>
      </w:pPr>
      <w:bookmarkStart w:id="11" w:name="_Toc5079"/>
      <w:r>
        <w:rPr>
          <w:rFonts w:hint="eastAsia"/>
          <w:lang w:val="en-US" w:eastAsia="zh-CN"/>
        </w:rPr>
        <w:t>质量计划实施</w:t>
      </w:r>
      <w:bookmarkEnd w:id="11"/>
    </w:p>
    <w:p w14:paraId="3FAD85BC">
      <w:pPr>
        <w:pStyle w:val="30"/>
        <w:bidi w:val="0"/>
        <w:rPr>
          <w:rFonts w:hint="eastAsia"/>
          <w:lang w:val="en-US" w:eastAsia="zh-CN"/>
        </w:rPr>
      </w:pPr>
      <w:bookmarkStart w:id="12" w:name="_Toc25381"/>
      <w:r>
        <w:rPr>
          <w:rFonts w:hint="eastAsia"/>
          <w:lang w:val="en-US" w:eastAsia="zh-CN"/>
        </w:rPr>
        <w:t>运维服务质量保障总体活动</w:t>
      </w:r>
      <w:bookmarkEnd w:id="12"/>
    </w:p>
    <w:p w14:paraId="54181625">
      <w:pPr>
        <w:pStyle w:val="29"/>
        <w:ind w:left="0" w:leftChars="0" w:right="0" w:rightChars="0" w:firstLine="0" w:firstLineChars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表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STYLEREF "柴_标题1" \n \* Charformat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5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-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SEQ 表 \* ARABIC  \s 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运维服务质量保障表</w:t>
      </w:r>
    </w:p>
    <w:tbl>
      <w:tblPr>
        <w:tblStyle w:val="26"/>
        <w:tblW w:w="8452" w:type="dxa"/>
        <w:tblInd w:w="73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81"/>
        <w:gridCol w:w="3929"/>
        <w:gridCol w:w="2842"/>
      </w:tblGrid>
      <w:tr w14:paraId="2CFE4352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9" w:hRule="atLeast"/>
        </w:trPr>
        <w:tc>
          <w:tcPr>
            <w:tcW w:w="1681" w:type="dxa"/>
          </w:tcPr>
          <w:p w14:paraId="3EB82CC9">
            <w:pPr>
              <w:spacing w:before="273" w:line="220" w:lineRule="auto"/>
              <w:ind w:left="37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活动序号</w:t>
            </w:r>
          </w:p>
        </w:tc>
        <w:tc>
          <w:tcPr>
            <w:tcW w:w="3929" w:type="dxa"/>
          </w:tcPr>
          <w:p w14:paraId="3A7412C7">
            <w:pPr>
              <w:spacing w:before="273" w:line="220" w:lineRule="auto"/>
              <w:ind w:left="1735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7"/>
                <w:sz w:val="24"/>
                <w:szCs w:val="24"/>
              </w:rPr>
              <w:t>活动</w:t>
            </w:r>
          </w:p>
        </w:tc>
        <w:tc>
          <w:tcPr>
            <w:tcW w:w="2842" w:type="dxa"/>
          </w:tcPr>
          <w:p w14:paraId="16041EEA">
            <w:pPr>
              <w:spacing w:before="274" w:line="221" w:lineRule="auto"/>
              <w:ind w:left="119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11"/>
                <w:sz w:val="24"/>
                <w:szCs w:val="24"/>
              </w:rPr>
              <w:t>时间</w:t>
            </w:r>
          </w:p>
        </w:tc>
      </w:tr>
      <w:tr w14:paraId="4BF69FC2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4" w:hRule="atLeast"/>
        </w:trPr>
        <w:tc>
          <w:tcPr>
            <w:tcW w:w="1681" w:type="dxa"/>
          </w:tcPr>
          <w:p w14:paraId="23832AA0">
            <w:pPr>
              <w:numPr>
                <w:ilvl w:val="0"/>
                <w:numId w:val="8"/>
              </w:numPr>
              <w:spacing w:before="269" w:line="241" w:lineRule="auto"/>
              <w:ind w:left="425" w:leftChars="0" w:hanging="425" w:firstLineChars="0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3929" w:type="dxa"/>
          </w:tcPr>
          <w:p w14:paraId="0C603D93">
            <w:pPr>
              <w:spacing w:before="269" w:line="219" w:lineRule="auto"/>
              <w:ind w:left="113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pacing w:val="-1"/>
                <w:sz w:val="24"/>
                <w:szCs w:val="24"/>
              </w:rPr>
              <w:t>运维服务能力体系</w:t>
            </w:r>
            <w:r>
              <w:rPr>
                <w:rFonts w:hint="eastAsia" w:ascii="宋体" w:hAnsi="宋体" w:cs="宋体"/>
                <w:spacing w:val="-1"/>
                <w:sz w:val="24"/>
                <w:szCs w:val="24"/>
                <w:lang w:val="en-US" w:eastAsia="zh-CN"/>
              </w:rPr>
              <w:t>内部审核</w:t>
            </w:r>
          </w:p>
        </w:tc>
        <w:tc>
          <w:tcPr>
            <w:tcW w:w="2842" w:type="dxa"/>
          </w:tcPr>
          <w:p w14:paraId="67D41DDD">
            <w:pPr>
              <w:spacing w:before="269" w:line="219" w:lineRule="auto"/>
              <w:ind w:left="118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2025年</w:t>
            </w:r>
            <w:r>
              <w:rPr>
                <w:rFonts w:ascii="宋体" w:hAnsi="宋体" w:eastAsia="宋体" w:cs="宋体"/>
                <w:spacing w:val="-49"/>
                <w:sz w:val="24"/>
                <w:szCs w:val="24"/>
              </w:rPr>
              <w:t xml:space="preserve"> </w:t>
            </w:r>
            <w:r>
              <w:rPr>
                <w:rFonts w:hint="eastAsia" w:ascii="宋体" w:hAnsi="宋体" w:eastAsia="宋体" w:cs="宋体"/>
                <w:spacing w:val="-49"/>
                <w:sz w:val="24"/>
                <w:szCs w:val="24"/>
                <w:lang w:val="en-US" w:eastAsia="zh-CN"/>
              </w:rPr>
              <w:t>8</w:t>
            </w: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月</w:t>
            </w:r>
          </w:p>
        </w:tc>
      </w:tr>
      <w:tr w14:paraId="67DE6BBB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4" w:hRule="atLeast"/>
        </w:trPr>
        <w:tc>
          <w:tcPr>
            <w:tcW w:w="1681" w:type="dxa"/>
          </w:tcPr>
          <w:p w14:paraId="7FCD24AE">
            <w:pPr>
              <w:numPr>
                <w:ilvl w:val="0"/>
                <w:numId w:val="8"/>
              </w:numPr>
              <w:spacing w:before="269" w:line="241" w:lineRule="auto"/>
              <w:ind w:left="425" w:leftChars="0" w:hanging="425" w:firstLineChars="0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3929" w:type="dxa"/>
          </w:tcPr>
          <w:p w14:paraId="429F238B">
            <w:pPr>
              <w:spacing w:before="270" w:line="219" w:lineRule="auto"/>
              <w:ind w:left="113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1"/>
                <w:sz w:val="24"/>
                <w:szCs w:val="24"/>
              </w:rPr>
              <w:t>运维服务能力体系管理评审</w:t>
            </w:r>
          </w:p>
        </w:tc>
        <w:tc>
          <w:tcPr>
            <w:tcW w:w="2842" w:type="dxa"/>
          </w:tcPr>
          <w:p w14:paraId="3D94DBC5">
            <w:pPr>
              <w:spacing w:before="270" w:line="219" w:lineRule="auto"/>
              <w:ind w:left="118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202</w:t>
            </w:r>
            <w:r>
              <w:rPr>
                <w:rFonts w:hint="eastAsia" w:ascii="宋体" w:hAnsi="宋体" w:eastAsia="宋体" w:cs="宋体"/>
                <w:spacing w:val="-5"/>
                <w:sz w:val="24"/>
                <w:szCs w:val="24"/>
                <w:lang w:val="en-US" w:eastAsia="zh-CN"/>
              </w:rPr>
              <w:t>5</w:t>
            </w: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年</w:t>
            </w:r>
            <w:r>
              <w:rPr>
                <w:rFonts w:ascii="宋体" w:hAnsi="宋体" w:eastAsia="宋体" w:cs="宋体"/>
                <w:spacing w:val="-49"/>
                <w:sz w:val="24"/>
                <w:szCs w:val="24"/>
              </w:rPr>
              <w:t xml:space="preserve"> </w:t>
            </w:r>
            <w:r>
              <w:rPr>
                <w:rFonts w:hint="eastAsia" w:ascii="宋体" w:hAnsi="宋体" w:eastAsia="宋体" w:cs="宋体"/>
                <w:spacing w:val="-49"/>
                <w:sz w:val="24"/>
                <w:szCs w:val="24"/>
                <w:lang w:val="en-US" w:eastAsia="zh-CN"/>
              </w:rPr>
              <w:t>8</w:t>
            </w: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月</w:t>
            </w:r>
          </w:p>
        </w:tc>
      </w:tr>
      <w:tr w14:paraId="0E60E11F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4" w:hRule="atLeast"/>
        </w:trPr>
        <w:tc>
          <w:tcPr>
            <w:tcW w:w="1681" w:type="dxa"/>
          </w:tcPr>
          <w:p w14:paraId="5BD50F1E">
            <w:pPr>
              <w:numPr>
                <w:ilvl w:val="0"/>
                <w:numId w:val="8"/>
              </w:numPr>
              <w:spacing w:before="269"/>
              <w:ind w:left="425" w:leftChars="0" w:hanging="425" w:firstLineChars="0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3929" w:type="dxa"/>
          </w:tcPr>
          <w:p w14:paraId="64FF0913">
            <w:pPr>
              <w:spacing w:before="270" w:line="219" w:lineRule="auto"/>
              <w:ind w:left="113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客户满意度调查与分析</w:t>
            </w:r>
          </w:p>
        </w:tc>
        <w:tc>
          <w:tcPr>
            <w:tcW w:w="2842" w:type="dxa"/>
          </w:tcPr>
          <w:p w14:paraId="72B507B5">
            <w:pPr>
              <w:spacing w:before="270" w:line="219" w:lineRule="auto"/>
              <w:ind w:left="115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202</w:t>
            </w:r>
            <w:r>
              <w:rPr>
                <w:rFonts w:hint="eastAsia" w:ascii="宋体" w:hAnsi="宋体" w:eastAsia="宋体" w:cs="宋体"/>
                <w:spacing w:val="-5"/>
                <w:sz w:val="24"/>
                <w:szCs w:val="24"/>
                <w:lang w:val="en-US" w:eastAsia="zh-CN"/>
              </w:rPr>
              <w:t>5</w:t>
            </w: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年</w:t>
            </w:r>
            <w:r>
              <w:rPr>
                <w:rFonts w:ascii="宋体" w:hAnsi="宋体" w:eastAsia="宋体" w:cs="宋体"/>
                <w:spacing w:val="-49"/>
                <w:sz w:val="24"/>
                <w:szCs w:val="24"/>
              </w:rPr>
              <w:t xml:space="preserve"> </w:t>
            </w:r>
            <w:r>
              <w:rPr>
                <w:rFonts w:hint="eastAsia" w:ascii="宋体" w:hAnsi="宋体" w:eastAsia="宋体" w:cs="宋体"/>
                <w:spacing w:val="-49"/>
                <w:sz w:val="24"/>
                <w:szCs w:val="24"/>
                <w:lang w:val="en-US" w:eastAsia="zh-CN"/>
              </w:rPr>
              <w:t>8</w:t>
            </w: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月</w:t>
            </w:r>
          </w:p>
        </w:tc>
      </w:tr>
      <w:tr w14:paraId="0013803E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4" w:hRule="atLeast"/>
        </w:trPr>
        <w:tc>
          <w:tcPr>
            <w:tcW w:w="1681" w:type="dxa"/>
          </w:tcPr>
          <w:p w14:paraId="391A5385">
            <w:pPr>
              <w:numPr>
                <w:ilvl w:val="0"/>
                <w:numId w:val="8"/>
              </w:numPr>
              <w:spacing w:before="270" w:line="241" w:lineRule="auto"/>
              <w:ind w:left="425" w:leftChars="0" w:hanging="425" w:firstLineChars="0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3929" w:type="dxa"/>
          </w:tcPr>
          <w:p w14:paraId="3C00E178">
            <w:pPr>
              <w:spacing w:before="271" w:line="219" w:lineRule="auto"/>
              <w:ind w:left="115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服务质量改进</w:t>
            </w:r>
          </w:p>
        </w:tc>
        <w:tc>
          <w:tcPr>
            <w:tcW w:w="2842" w:type="dxa"/>
          </w:tcPr>
          <w:p w14:paraId="31C418B6">
            <w:pPr>
              <w:spacing w:before="271" w:line="219" w:lineRule="auto"/>
              <w:ind w:left="11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202</w:t>
            </w:r>
            <w:r>
              <w:rPr>
                <w:rFonts w:hint="eastAsia" w:ascii="宋体" w:hAnsi="宋体" w:eastAsia="宋体" w:cs="宋体"/>
                <w:spacing w:val="-5"/>
                <w:sz w:val="24"/>
                <w:szCs w:val="24"/>
                <w:lang w:val="en-US" w:eastAsia="zh-CN"/>
              </w:rPr>
              <w:t>5</w:t>
            </w: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年</w:t>
            </w:r>
            <w:r>
              <w:rPr>
                <w:rFonts w:ascii="宋体" w:hAnsi="宋体" w:eastAsia="宋体" w:cs="宋体"/>
                <w:spacing w:val="-49"/>
                <w:sz w:val="24"/>
                <w:szCs w:val="24"/>
              </w:rPr>
              <w:t xml:space="preserve"> </w:t>
            </w:r>
            <w:r>
              <w:rPr>
                <w:rFonts w:hint="eastAsia" w:ascii="宋体" w:hAnsi="宋体" w:eastAsia="宋体" w:cs="宋体"/>
                <w:spacing w:val="-49"/>
                <w:sz w:val="24"/>
                <w:szCs w:val="24"/>
                <w:lang w:val="en-US" w:eastAsia="zh-CN"/>
              </w:rPr>
              <w:t>8</w:t>
            </w: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月</w:t>
            </w:r>
          </w:p>
        </w:tc>
      </w:tr>
    </w:tbl>
    <w:p w14:paraId="067C1CCA">
      <w:pPr>
        <w:pStyle w:val="30"/>
        <w:bidi w:val="0"/>
        <w:rPr>
          <w:rFonts w:hint="default"/>
          <w:lang w:val="en-US" w:eastAsia="zh-CN"/>
        </w:rPr>
      </w:pPr>
      <w:bookmarkStart w:id="13" w:name="_Toc4007"/>
      <w:r>
        <w:rPr>
          <w:rFonts w:hint="default"/>
          <w:lang w:val="en-US" w:eastAsia="zh-CN"/>
        </w:rPr>
        <w:t>运维服务能力体系内部审核</w:t>
      </w:r>
      <w:bookmarkEnd w:id="13"/>
    </w:p>
    <w:p w14:paraId="6CE21F55">
      <w:pPr>
        <w:pStyle w:val="2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为系统评估公司ITSS运维服务能力管理体系的运行效能，本年度计划于2025年</w:t>
      </w:r>
      <w:r>
        <w:rPr>
          <w:rFonts w:hint="eastAsia"/>
          <w:lang w:val="en-US" w:eastAsia="zh-CN"/>
        </w:rPr>
        <w:t>8</w:t>
      </w:r>
      <w:r>
        <w:rPr>
          <w:rFonts w:hint="default"/>
          <w:lang w:val="en-US" w:eastAsia="zh-CN"/>
        </w:rPr>
        <w:t>月由</w:t>
      </w:r>
      <w:r>
        <w:rPr>
          <w:rFonts w:hint="eastAsia"/>
          <w:lang w:val="en-US" w:eastAsia="zh-CN"/>
        </w:rPr>
        <w:t>质量部</w:t>
      </w:r>
      <w:r>
        <w:rPr>
          <w:rFonts w:hint="default"/>
          <w:lang w:val="en-US" w:eastAsia="zh-CN"/>
        </w:rPr>
        <w:t>牵头组织开展运维管理体系内部审核工作。参与部门包括运维部、</w:t>
      </w:r>
      <w:r>
        <w:rPr>
          <w:rFonts w:hint="eastAsia"/>
          <w:lang w:val="en-US" w:eastAsia="zh-CN"/>
        </w:rPr>
        <w:t>人力</w:t>
      </w:r>
      <w:r>
        <w:rPr>
          <w:rFonts w:hint="default"/>
          <w:lang w:val="en-US" w:eastAsia="zh-CN"/>
        </w:rPr>
        <w:t>部、</w:t>
      </w:r>
      <w:r>
        <w:rPr>
          <w:rFonts w:hint="eastAsia"/>
          <w:lang w:val="en-US" w:eastAsia="zh-CN"/>
        </w:rPr>
        <w:t>研发</w:t>
      </w:r>
      <w:r>
        <w:rPr>
          <w:rFonts w:hint="default"/>
          <w:lang w:val="en-US" w:eastAsia="zh-CN"/>
        </w:rPr>
        <w:t>部</w:t>
      </w:r>
      <w:r>
        <w:rPr>
          <w:rFonts w:hint="eastAsia"/>
          <w:lang w:val="en-US" w:eastAsia="zh-CN"/>
        </w:rPr>
        <w:t>和采购部</w:t>
      </w:r>
      <w:r>
        <w:rPr>
          <w:rFonts w:hint="default"/>
          <w:lang w:val="en-US" w:eastAsia="zh-CN"/>
        </w:rPr>
        <w:t>等核心职能</w:t>
      </w:r>
      <w:r>
        <w:rPr>
          <w:rFonts w:hint="eastAsia"/>
          <w:lang w:val="en-US" w:eastAsia="zh-CN"/>
        </w:rPr>
        <w:t>部门</w:t>
      </w:r>
      <w:r>
        <w:rPr>
          <w:rFonts w:hint="default"/>
          <w:lang w:val="en-US" w:eastAsia="zh-CN"/>
        </w:rPr>
        <w:t>。本次内审将基于体系文件要求，通过抽样审查过程记录、与相关人员访谈等方式，全面检验运维服务活动的符合性与有效性，旨在确认现有管理体系是否与公司实际运营需求相适应，并为后续体系优化提供依据。</w:t>
      </w:r>
    </w:p>
    <w:p w14:paraId="4C341433">
      <w:pPr>
        <w:pStyle w:val="30"/>
        <w:bidi w:val="0"/>
        <w:rPr>
          <w:rFonts w:hint="default"/>
          <w:lang w:val="en-US" w:eastAsia="zh-CN"/>
        </w:rPr>
      </w:pPr>
      <w:bookmarkStart w:id="14" w:name="_Toc3277"/>
      <w:r>
        <w:rPr>
          <w:rFonts w:hint="default"/>
          <w:lang w:val="en-US" w:eastAsia="zh-CN"/>
        </w:rPr>
        <w:t>运维服务能力管理评审</w:t>
      </w:r>
      <w:bookmarkEnd w:id="14"/>
    </w:p>
    <w:p w14:paraId="630E455E">
      <w:pPr>
        <w:pStyle w:val="2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公司定于2025年</w:t>
      </w:r>
      <w:r>
        <w:rPr>
          <w:rFonts w:hint="eastAsia"/>
          <w:lang w:val="en-US" w:eastAsia="zh-CN"/>
        </w:rPr>
        <w:t>8</w:t>
      </w:r>
      <w:r>
        <w:rPr>
          <w:rFonts w:hint="default"/>
          <w:lang w:val="en-US" w:eastAsia="zh-CN"/>
        </w:rPr>
        <w:t>月在同一月度内完成内部审核后，组织运维服务能力管理评审会议。该评审由</w:t>
      </w:r>
      <w:r>
        <w:rPr>
          <w:rFonts w:hint="eastAsia"/>
          <w:lang w:val="en-US" w:eastAsia="zh-CN"/>
        </w:rPr>
        <w:t>质量部</w:t>
      </w:r>
      <w:r>
        <w:rPr>
          <w:rFonts w:hint="default"/>
          <w:lang w:val="en-US" w:eastAsia="zh-CN"/>
        </w:rPr>
        <w:t>统筹组织，与会人员包括</w:t>
      </w:r>
      <w:r>
        <w:rPr>
          <w:rFonts w:hint="eastAsia"/>
          <w:lang w:val="en-US" w:eastAsia="zh-CN"/>
        </w:rPr>
        <w:t>质量部</w:t>
      </w:r>
      <w:r>
        <w:rPr>
          <w:rFonts w:hint="default"/>
          <w:lang w:val="en-US" w:eastAsia="zh-CN"/>
        </w:rPr>
        <w:t>及各下属部门核心成员、运维部及其下属各团队负责人。评审将围绕人员能力、资源配备、过程实施、技术应用、应急响应与交付质量等关键维度，结合内审结果及各部门所提交的体系改进建议，对运维服务管理体系的适宜性、充分性和有效性进行综合评价，最终形成体系调整与改进决策。</w:t>
      </w:r>
    </w:p>
    <w:p w14:paraId="48AFEC88">
      <w:pPr>
        <w:pStyle w:val="30"/>
        <w:bidi w:val="0"/>
        <w:rPr>
          <w:rFonts w:hint="eastAsia"/>
          <w:lang w:val="en-US" w:eastAsia="zh-CN"/>
        </w:rPr>
      </w:pPr>
      <w:bookmarkStart w:id="15" w:name="_Toc22405"/>
      <w:r>
        <w:rPr>
          <w:rFonts w:hint="eastAsia"/>
          <w:lang w:val="en-US" w:eastAsia="zh-CN"/>
        </w:rPr>
        <w:t>客户满意度调查与分析</w:t>
      </w:r>
      <w:bookmarkEnd w:id="15"/>
    </w:p>
    <w:p w14:paraId="507C6694">
      <w:pPr>
        <w:pStyle w:val="2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为持续提升运维服务质量，公司计划建立年度客户满意度调查机制，由</w:t>
      </w:r>
      <w:r>
        <w:rPr>
          <w:rFonts w:hint="eastAsia"/>
          <w:lang w:val="en-US" w:eastAsia="zh-CN"/>
        </w:rPr>
        <w:t>质量部</w:t>
      </w:r>
      <w:r>
        <w:rPr>
          <w:rFonts w:hint="default"/>
          <w:lang w:val="en-US" w:eastAsia="zh-CN"/>
        </w:rPr>
        <w:t>牵头组织各相关部门共同实施。</w:t>
      </w:r>
      <w:r>
        <w:rPr>
          <w:rFonts w:hint="eastAsia"/>
          <w:lang w:val="en-US" w:eastAsia="zh-CN"/>
        </w:rPr>
        <w:t>质量部</w:t>
      </w:r>
      <w:r>
        <w:rPr>
          <w:rFonts w:hint="default"/>
          <w:lang w:val="en-US" w:eastAsia="zh-CN"/>
        </w:rPr>
        <w:t>将负责制定详细的满意度调查工作方案及配套调查表，从多个维度系统收集用户对公司运维服务工作的意见与建议。调查范围将全面覆盖公司当前所有运维项目，并以电话回访为主要方式，重点面向基层用户开展。</w:t>
      </w:r>
    </w:p>
    <w:p w14:paraId="6E76281B">
      <w:pPr>
        <w:pStyle w:val="2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根据调查所获得的反馈结果，将采用量化打分方式评估各项目在各维度的客户满意度表现，并从横向（不同维度、与既定指标对比等）对调查数据进行分析，识别存在的问题与短板，进而提出有针对性的改进建议，为服务优化提供依据。</w:t>
      </w:r>
    </w:p>
    <w:p w14:paraId="066948B9">
      <w:pPr>
        <w:pStyle w:val="30"/>
        <w:bidi w:val="0"/>
        <w:rPr>
          <w:rFonts w:hint="default"/>
          <w:lang w:val="en-US" w:eastAsia="zh-CN"/>
        </w:rPr>
      </w:pPr>
      <w:bookmarkStart w:id="16" w:name="_Toc4689"/>
      <w:r>
        <w:rPr>
          <w:rFonts w:hint="eastAsia"/>
          <w:lang w:val="en-US" w:eastAsia="zh-CN"/>
        </w:rPr>
        <w:t>服务质量改进</w:t>
      </w:r>
      <w:bookmarkEnd w:id="16"/>
    </w:p>
    <w:p w14:paraId="2D18A51B">
      <w:pPr>
        <w:pStyle w:val="29"/>
        <w:bidi w:val="0"/>
        <w:rPr>
          <w:rFonts w:hint="default"/>
          <w:lang w:val="en-US" w:eastAsia="zh-CN"/>
        </w:rPr>
      </w:pPr>
      <w:r>
        <w:t>由质量部与运维部协同负责，并协同各相关部门，通过数据驱动、流程优化和持续跟踪的闭环管理机制，旨在系统性提升服务水准、预防问题复发并确保改进成效得以固化的持续过程。</w:t>
      </w:r>
    </w:p>
    <w:p w14:paraId="019B133A">
      <w:pPr>
        <w:pStyle w:val="28"/>
        <w:bidi w:val="0"/>
        <w:rPr>
          <w:rStyle w:val="38"/>
          <w:rFonts w:hint="default" w:eastAsia="宋体"/>
          <w:lang w:val="en-US" w:eastAsia="zh-CN"/>
        </w:rPr>
      </w:pPr>
      <w:bookmarkStart w:id="17" w:name="bookmark3"/>
      <w:bookmarkEnd w:id="17"/>
      <w:bookmarkStart w:id="18" w:name="_Toc17424"/>
      <w:bookmarkStart w:id="19" w:name="_Toc11461"/>
      <w:r>
        <w:rPr>
          <w:rStyle w:val="38"/>
          <w:rFonts w:hint="eastAsia" w:eastAsia="宋体"/>
          <w:lang w:val="en-US" w:eastAsia="zh-CN"/>
        </w:rPr>
        <w:t>附则</w:t>
      </w:r>
      <w:bookmarkEnd w:id="18"/>
      <w:bookmarkEnd w:id="19"/>
    </w:p>
    <w:p w14:paraId="37DCE283">
      <w:pPr>
        <w:keepNext w:val="0"/>
        <w:keepLines w:val="0"/>
        <w:pageBreakBefore w:val="0"/>
        <w:widowControl/>
        <w:numPr>
          <w:ilvl w:val="0"/>
          <w:numId w:val="9"/>
        </w:numPr>
        <w:kinsoku w:val="0"/>
        <w:wordWrap/>
        <w:overflowPunct/>
        <w:topLinePunct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本制度最终解释权和修订权归</w:t>
      </w:r>
      <w:r>
        <w:rPr>
          <w:rFonts w:hint="eastAsia" w:ascii="宋体" w:hAnsi="宋体" w:eastAsia="宋体" w:cs="宋体"/>
          <w:spacing w:val="-1"/>
          <w:sz w:val="24"/>
          <w:szCs w:val="24"/>
          <w:lang w:val="en-US" w:eastAsia="zh-CN"/>
        </w:rPr>
        <w:t>质量</w:t>
      </w:r>
      <w:r>
        <w:rPr>
          <w:rFonts w:hint="eastAsia" w:ascii="宋体" w:hAnsi="宋体" w:eastAsia="宋体" w:cs="宋体"/>
          <w:spacing w:val="-1"/>
          <w:sz w:val="24"/>
          <w:szCs w:val="24"/>
          <w:lang w:eastAsia="zh-CN"/>
        </w:rPr>
        <w:t>部</w:t>
      </w:r>
      <w:r>
        <w:rPr>
          <w:rFonts w:ascii="宋体" w:hAnsi="宋体" w:eastAsia="宋体" w:cs="宋体"/>
          <w:spacing w:val="-1"/>
          <w:sz w:val="24"/>
          <w:szCs w:val="24"/>
        </w:rPr>
        <w:t>。</w:t>
      </w:r>
    </w:p>
    <w:p w14:paraId="76C27E74">
      <w:pPr>
        <w:keepNext w:val="0"/>
        <w:keepLines w:val="0"/>
        <w:pageBreakBefore w:val="0"/>
        <w:widowControl/>
        <w:numPr>
          <w:ilvl w:val="0"/>
          <w:numId w:val="9"/>
        </w:numPr>
        <w:kinsoku w:val="0"/>
        <w:wordWrap/>
        <w:overflowPunct/>
        <w:topLinePunct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hint="default"/>
          <w:lang w:val="en-US" w:eastAsia="zh-CN"/>
        </w:rPr>
      </w:pPr>
      <w:r>
        <w:rPr>
          <w:rFonts w:ascii="宋体" w:hAnsi="宋体" w:eastAsia="宋体" w:cs="宋体"/>
          <w:spacing w:val="-2"/>
          <w:sz w:val="24"/>
          <w:szCs w:val="24"/>
        </w:rPr>
        <w:t>本制度自颁布之日起施行。</w:t>
      </w:r>
    </w:p>
    <w:p w14:paraId="5A7BE814">
      <w:pPr>
        <w:pStyle w:val="28"/>
        <w:bidi w:val="0"/>
        <w:rPr>
          <w:rFonts w:hint="default"/>
          <w:lang w:val="en-US" w:eastAsia="zh-CN"/>
        </w:rPr>
      </w:pPr>
      <w:bookmarkStart w:id="20" w:name="bookmark14"/>
      <w:bookmarkEnd w:id="20"/>
      <w:bookmarkStart w:id="21" w:name="_Toc27093"/>
      <w:r>
        <w:rPr>
          <w:rFonts w:hint="eastAsia"/>
          <w:lang w:val="en-US" w:eastAsia="zh-CN"/>
        </w:rPr>
        <w:t>附件</w:t>
      </w:r>
      <w:bookmarkEnd w:id="21"/>
    </w:p>
    <w:p w14:paraId="0EA261EC">
      <w:pPr>
        <w:pStyle w:val="2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 w14:paraId="5EF934A5">
      <w:pPr>
        <w:pStyle w:val="28"/>
        <w:bidi w:val="0"/>
        <w:rPr>
          <w:rFonts w:hint="eastAsia"/>
          <w:lang w:val="en-US" w:eastAsia="zh-CN"/>
        </w:rPr>
      </w:pPr>
      <w:bookmarkStart w:id="22" w:name="_Toc1679"/>
      <w:r>
        <w:rPr>
          <w:rFonts w:hint="eastAsia"/>
          <w:lang w:val="en-US" w:eastAsia="zh-CN"/>
        </w:rPr>
        <w:t>记录</w:t>
      </w:r>
      <w:bookmarkEnd w:id="22"/>
    </w:p>
    <w:p w14:paraId="1C1DED43">
      <w:pPr>
        <w:pStyle w:val="3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《满意度调查报告》</w:t>
      </w:r>
    </w:p>
    <w:p w14:paraId="03459159">
      <w:pPr>
        <w:pStyle w:val="3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《内部审核报告》</w:t>
      </w:r>
    </w:p>
    <w:p w14:paraId="138953D8">
      <w:pPr>
        <w:pStyle w:val="3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《管理评审报告》</w:t>
      </w:r>
    </w:p>
    <w:sectPr>
      <w:headerReference r:id="rId5" w:type="default"/>
      <w:pgSz w:w="11906" w:h="16838"/>
      <w:pgMar w:top="1417" w:right="1800" w:bottom="1440" w:left="1800" w:header="1140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50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F773818">
    <w:pPr>
      <w:pStyle w:val="15"/>
      <w:pBdr>
        <w:bottom w:val="single" w:color="auto" w:sz="4" w:space="1"/>
      </w:pBdr>
      <w:jc w:val="right"/>
      <w:rPr>
        <w:rFonts w:hint="eastAsia" w:eastAsiaTheme="minorEastAsia"/>
        <w:lang w:eastAsia="zh-CN"/>
      </w:rPr>
    </w:pPr>
    <w:r>
      <w:rPr>
        <w:rFonts w:hint="eastAsia" w:eastAsiaTheme="minorEastAsia"/>
        <w:lang w:eastAsia="zh-CN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40640</wp:posOffset>
          </wp:positionH>
          <wp:positionV relativeFrom="paragraph">
            <wp:posOffset>-237490</wp:posOffset>
          </wp:positionV>
          <wp:extent cx="1355090" cy="432435"/>
          <wp:effectExtent l="0" t="0" r="0" b="10160"/>
          <wp:wrapNone/>
          <wp:docPr id="2" name="图片 2" descr="图片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图片2"/>
                  <pic:cNvPicPr>
                    <a:picLocks noChangeAspect="1"/>
                  </pic:cNvPicPr>
                </pic:nvPicPr>
                <pic:blipFill>
                  <a:blip r:embed="rId1">
                    <a:clrChange>
                      <a:clrFrom>
                        <a:srgbClr val="FFFFFF">
                          <a:alpha val="100000"/>
                        </a:srgbClr>
                      </a:clrFrom>
                      <a:clrTo>
                        <a:srgbClr val="FFFFFF">
                          <a:alpha val="100000"/>
                          <a:alpha val="0"/>
                        </a:srgbClr>
                      </a:clrTo>
                    </a:clrChange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55090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hint="eastAsia" w:eastAsiaTheme="minorEastAsia"/>
        <w:lang w:eastAsia="zh-CN"/>
      </w:rPr>
      <w:t>万洲奇智（青岛）信息科技有限公司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E964DCE"/>
    <w:multiLevelType w:val="multilevel"/>
    <w:tmpl w:val="8E964DCE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8FAC864A"/>
    <w:multiLevelType w:val="singleLevel"/>
    <w:tmpl w:val="8FAC864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A4D33CBA"/>
    <w:multiLevelType w:val="singleLevel"/>
    <w:tmpl w:val="A4D33CB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C2C2E3BA"/>
    <w:multiLevelType w:val="singleLevel"/>
    <w:tmpl w:val="C2C2E3B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F9539CF3"/>
    <w:multiLevelType w:val="singleLevel"/>
    <w:tmpl w:val="F9539CF3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>
    <w:nsid w:val="0627E5D4"/>
    <w:multiLevelType w:val="singleLevel"/>
    <w:tmpl w:val="0627E5D4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6">
    <w:nsid w:val="4DB530BB"/>
    <w:multiLevelType w:val="singleLevel"/>
    <w:tmpl w:val="4DB530BB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7">
    <w:nsid w:val="67B1FA20"/>
    <w:multiLevelType w:val="singleLevel"/>
    <w:tmpl w:val="67B1FA20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8">
    <w:nsid w:val="74A190C4"/>
    <w:multiLevelType w:val="singleLevel"/>
    <w:tmpl w:val="74A190C4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7"/>
  </w:num>
  <w:num w:numId="3">
    <w:abstractNumId w:val="8"/>
  </w:num>
  <w:num w:numId="4">
    <w:abstractNumId w:val="6"/>
  </w:num>
  <w:num w:numId="5">
    <w:abstractNumId w:val="5"/>
  </w:num>
  <w:num w:numId="6">
    <w:abstractNumId w:val="3"/>
  </w:num>
  <w:num w:numId="7">
    <w:abstractNumId w:val="1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3"/>
  <w:embedSystemFonts/>
  <w:doNotTrackMoves/>
  <w:documentProtection w:enforcement="0"/>
  <w:defaultTabStop w:val="420"/>
  <w:drawingGridVerticalSpacing w:val="156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08B5413D"/>
    <w:rsid w:val="182F15E1"/>
    <w:rsid w:val="28EA16EA"/>
    <w:rsid w:val="302333E4"/>
    <w:rsid w:val="460F771A"/>
    <w:rsid w:val="47D06CCE"/>
    <w:rsid w:val="5119769F"/>
    <w:rsid w:val="5288688A"/>
    <w:rsid w:val="6AC02C0D"/>
    <w:rsid w:val="72311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iPriority="99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insoku w:val="0"/>
      <w:autoSpaceDE w:val="0"/>
      <w:autoSpaceDN w:val="0"/>
      <w:adjustRightInd w:val="0"/>
      <w:snapToGrid w:val="0"/>
      <w:spacing w:line="360" w:lineRule="auto"/>
      <w:jc w:val="left"/>
      <w:textAlignment w:val="baseline"/>
    </w:pPr>
    <w:rPr>
      <w:rFonts w:ascii="Arial" w:hAnsi="Arial" w:eastAsia="宋体" w:cs="Arial"/>
      <w:snapToGrid w:val="0"/>
      <w:color w:val="000000"/>
      <w:kern w:val="0"/>
      <w:sz w:val="21"/>
      <w:szCs w:val="21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22">
    <w:name w:val="Default Paragraph Font"/>
    <w:semiHidden/>
    <w:qFormat/>
    <w:uiPriority w:val="0"/>
  </w:style>
  <w:style w:type="table" w:default="1" w:styleId="2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text"/>
    <w:basedOn w:val="1"/>
    <w:qFormat/>
    <w:uiPriority w:val="0"/>
    <w:pPr>
      <w:jc w:val="left"/>
    </w:pPr>
  </w:style>
  <w:style w:type="paragraph" w:styleId="12">
    <w:name w:val="Body Text"/>
    <w:basedOn w:val="1"/>
    <w:semiHidden/>
    <w:qFormat/>
    <w:uiPriority w:val="0"/>
    <w:rPr>
      <w:rFonts w:ascii="Arial" w:hAnsi="Arial" w:eastAsia="Arial" w:cs="Arial"/>
      <w:sz w:val="21"/>
      <w:szCs w:val="21"/>
      <w:lang w:val="en-US" w:eastAsia="en-US" w:bidi="ar-SA"/>
    </w:rPr>
  </w:style>
  <w:style w:type="paragraph" w:styleId="13">
    <w:name w:val="toc 3"/>
    <w:basedOn w:val="1"/>
    <w:next w:val="1"/>
    <w:qFormat/>
    <w:uiPriority w:val="0"/>
    <w:pPr>
      <w:ind w:left="840" w:leftChars="400"/>
    </w:pPr>
  </w:style>
  <w:style w:type="paragraph" w:styleId="1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5">
    <w:name w:val="header"/>
    <w:basedOn w:val="1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6">
    <w:name w:val="toc 1"/>
    <w:basedOn w:val="1"/>
    <w:next w:val="1"/>
    <w:qFormat/>
    <w:uiPriority w:val="0"/>
    <w:rPr>
      <w:rFonts w:ascii="Arial" w:hAnsi="Arial" w:eastAsia="Microsoft JhengHei"/>
      <w:sz w:val="24"/>
    </w:rPr>
  </w:style>
  <w:style w:type="paragraph" w:styleId="17">
    <w:name w:val="toc 2"/>
    <w:basedOn w:val="1"/>
    <w:next w:val="1"/>
    <w:qFormat/>
    <w:uiPriority w:val="0"/>
    <w:pPr>
      <w:ind w:left="420" w:leftChars="200"/>
    </w:pPr>
  </w:style>
  <w:style w:type="paragraph" w:styleId="18">
    <w:name w:val="Normal (Web)"/>
    <w:basedOn w:val="1"/>
    <w:qFormat/>
    <w:uiPriority w:val="0"/>
    <w:rPr>
      <w:sz w:val="24"/>
    </w:rPr>
  </w:style>
  <w:style w:type="paragraph" w:styleId="19">
    <w:name w:val="Title"/>
    <w:basedOn w:val="1"/>
    <w:qFormat/>
    <w:uiPriority w:val="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  <w:style w:type="table" w:styleId="21">
    <w:name w:val="Table Grid"/>
    <w:basedOn w:val="2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3">
    <w:name w:val="Strong"/>
    <w:basedOn w:val="22"/>
    <w:qFormat/>
    <w:uiPriority w:val="0"/>
    <w:rPr>
      <w:b/>
    </w:rPr>
  </w:style>
  <w:style w:type="paragraph" w:customStyle="1" w:styleId="24">
    <w:name w:val="柴_公司名"/>
    <w:basedOn w:val="19"/>
    <w:qFormat/>
    <w:uiPriority w:val="0"/>
    <w:pPr>
      <w:spacing w:after="600" w:afterLines="600"/>
    </w:pPr>
    <w:rPr>
      <w:rFonts w:hint="eastAsia" w:ascii="宋体" w:hAnsi="宋体" w:eastAsia="宋体" w:cs="宋体"/>
      <w:bCs/>
      <w:spacing w:val="-6"/>
      <w:sz w:val="52"/>
      <w:szCs w:val="52"/>
    </w:rPr>
  </w:style>
  <w:style w:type="paragraph" w:customStyle="1" w:styleId="25">
    <w:name w:val="柴_文档名"/>
    <w:basedOn w:val="19"/>
    <w:qFormat/>
    <w:uiPriority w:val="0"/>
    <w:pPr>
      <w:spacing w:after="900" w:afterLines="900"/>
    </w:pPr>
    <w:rPr>
      <w:rFonts w:ascii="黑体" w:hAnsi="黑体" w:eastAsia="黑体" w:cs="黑体"/>
      <w:bCs/>
      <w:spacing w:val="-7"/>
      <w:sz w:val="52"/>
      <w:szCs w:val="52"/>
    </w:rPr>
  </w:style>
  <w:style w:type="table" w:customStyle="1" w:styleId="26">
    <w:name w:val="Table Normal_0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27">
    <w:name w:val="Table Text"/>
    <w:basedOn w:val="1"/>
    <w:semiHidden/>
    <w:qFormat/>
    <w:uiPriority w:val="0"/>
    <w:rPr>
      <w:rFonts w:ascii="宋体" w:hAnsi="宋体" w:eastAsia="宋体" w:cs="宋体"/>
      <w:sz w:val="21"/>
      <w:szCs w:val="21"/>
      <w:lang w:val="en-US" w:eastAsia="en-US" w:bidi="ar-SA"/>
    </w:rPr>
  </w:style>
  <w:style w:type="paragraph" w:customStyle="1" w:styleId="28">
    <w:name w:val="柴_标题1"/>
    <w:basedOn w:val="2"/>
    <w:next w:val="29"/>
    <w:link w:val="38"/>
    <w:qFormat/>
    <w:uiPriority w:val="0"/>
    <w:pPr>
      <w:spacing w:before="100" w:after="90" w:line="360" w:lineRule="auto"/>
    </w:pPr>
    <w:rPr>
      <w:rFonts w:ascii="Arial" w:hAnsi="Arial" w:eastAsia="宋体"/>
      <w:sz w:val="32"/>
    </w:rPr>
  </w:style>
  <w:style w:type="paragraph" w:customStyle="1" w:styleId="29">
    <w:name w:val="柴_正文"/>
    <w:basedOn w:val="12"/>
    <w:link w:val="41"/>
    <w:qFormat/>
    <w:uiPriority w:val="0"/>
    <w:pPr>
      <w:spacing w:line="360" w:lineRule="auto"/>
      <w:ind w:firstLine="470" w:firstLineChars="200"/>
    </w:pPr>
    <w:rPr>
      <w:rFonts w:ascii="Arial" w:hAnsi="Arial" w:eastAsia="宋体"/>
      <w:sz w:val="24"/>
      <w:lang w:eastAsia="zh-CN"/>
    </w:rPr>
  </w:style>
  <w:style w:type="paragraph" w:customStyle="1" w:styleId="30">
    <w:name w:val="柴_标题2"/>
    <w:basedOn w:val="3"/>
    <w:next w:val="29"/>
    <w:qFormat/>
    <w:uiPriority w:val="0"/>
    <w:pPr>
      <w:spacing w:line="360" w:lineRule="auto"/>
    </w:pPr>
    <w:rPr>
      <w:rFonts w:ascii="Arial" w:hAnsi="Arial" w:eastAsia="宋体"/>
      <w:sz w:val="28"/>
    </w:rPr>
  </w:style>
  <w:style w:type="paragraph" w:customStyle="1" w:styleId="31">
    <w:name w:val="柴_标题3"/>
    <w:basedOn w:val="4"/>
    <w:next w:val="29"/>
    <w:qFormat/>
    <w:uiPriority w:val="0"/>
    <w:pPr>
      <w:spacing w:line="360" w:lineRule="auto"/>
      <w:ind w:left="0" w:firstLine="472" w:firstLineChars="200"/>
    </w:pPr>
    <w:rPr>
      <w:rFonts w:ascii="宋体" w:hAnsi="宋体" w:eastAsia="宋体" w:cs="宋体"/>
      <w:spacing w:val="-2"/>
      <w:sz w:val="24"/>
      <w:szCs w:val="24"/>
    </w:rPr>
  </w:style>
  <w:style w:type="paragraph" w:customStyle="1" w:styleId="32">
    <w:name w:val="柴_目录"/>
    <w:basedOn w:val="1"/>
    <w:next w:val="12"/>
    <w:qFormat/>
    <w:uiPriority w:val="0"/>
    <w:pPr>
      <w:tabs>
        <w:tab w:val="right" w:leader="dot" w:pos="8442"/>
      </w:tabs>
      <w:ind w:left="0" w:leftChars="0"/>
    </w:pPr>
    <w:rPr>
      <w:rFonts w:ascii="Arial" w:hAnsi="Arial" w:eastAsia="Microsoft JhengHei"/>
      <w:sz w:val="24"/>
    </w:rPr>
  </w:style>
  <w:style w:type="paragraph" w:customStyle="1" w:styleId="33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34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35">
    <w:name w:val="WPSOffice手动目录 3"/>
    <w:qFormat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36">
    <w:name w:val="Compact"/>
    <w:basedOn w:val="12"/>
    <w:qFormat/>
    <w:uiPriority w:val="0"/>
    <w:pPr>
      <w:spacing w:before="36" w:after="36"/>
    </w:pPr>
  </w:style>
  <w:style w:type="table" w:customStyle="1" w:styleId="37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cPr>
        <w:tcBorders>
          <w:bottom w:val="single" w:color="auto" w:sz="0" w:space="0"/>
        </w:tcBorders>
        <w:vAlign w:val="bottom"/>
      </w:tcPr>
    </w:tblStylePr>
  </w:style>
  <w:style w:type="character" w:customStyle="1" w:styleId="38">
    <w:name w:val="柴_标题1 Char"/>
    <w:link w:val="28"/>
    <w:qFormat/>
    <w:uiPriority w:val="0"/>
    <w:rPr>
      <w:rFonts w:ascii="Arial" w:hAnsi="Arial" w:eastAsia="宋体"/>
      <w:sz w:val="32"/>
    </w:rPr>
  </w:style>
  <w:style w:type="paragraph" w:customStyle="1" w:styleId="39">
    <w:name w:val="柴_正文_无缩进"/>
    <w:basedOn w:val="1"/>
    <w:qFormat/>
    <w:uiPriority w:val="0"/>
    <w:pPr>
      <w:ind w:firstLine="0" w:firstLineChars="0"/>
    </w:pPr>
    <w:rPr>
      <w:rFonts w:ascii="Arial" w:hAnsi="Arial"/>
      <w:sz w:val="24"/>
      <w:lang w:eastAsia="zh-CN"/>
    </w:rPr>
  </w:style>
  <w:style w:type="paragraph" w:customStyle="1" w:styleId="40">
    <w:name w:val="柴_标题4"/>
    <w:basedOn w:val="5"/>
    <w:next w:val="1"/>
    <w:qFormat/>
    <w:uiPriority w:val="0"/>
    <w:pPr>
      <w:widowControl w:val="0"/>
      <w:spacing w:before="160" w:line="360" w:lineRule="auto"/>
      <w:ind w:left="981" w:leftChars="300" w:hanging="862"/>
    </w:pPr>
    <w:rPr>
      <w:rFonts w:hint="eastAsia" w:ascii="Calibri" w:hAnsi="Calibri" w:eastAsia="宋体" w:cs="宋体"/>
      <w:sz w:val="24"/>
      <w:szCs w:val="24"/>
      <w:lang w:eastAsia="zh-CN" w:bidi="zh-CN"/>
    </w:rPr>
  </w:style>
  <w:style w:type="character" w:customStyle="1" w:styleId="41">
    <w:name w:val="柴_正文 Char"/>
    <w:link w:val="29"/>
    <w:qFormat/>
    <w:uiPriority w:val="0"/>
    <w:rPr>
      <w:rFonts w:ascii="Arial" w:hAnsi="Arial" w:eastAsia="宋体"/>
      <w:sz w:val="24"/>
      <w:lang w:eastAsia="zh-CN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2505</Words>
  <Characters>2648</Characters>
  <Lines>0</Lines>
  <Paragraphs>0</Paragraphs>
  <TotalTime>4</TotalTime>
  <ScaleCrop>false</ScaleCrop>
  <LinksUpToDate>false</LinksUpToDate>
  <CharactersWithSpaces>2741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2025-09-03T14:43:00Z</dcterms:created>
  <dc:creator>郝宇</dc:creator>
  <cp:lastModifiedBy>郝宇</cp:lastModifiedBy>
  <dcterms:modified xsi:type="dcterms:W3CDTF">2025-09-18T09:31:22Z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41A67243DC5B46309601F3EDD32C00CA_13</vt:lpwstr>
  </property>
  <property fmtid="{D5CDD505-2E9C-101B-9397-08002B2CF9AE}" pid="3" name="KSOProductBuildVer">
    <vt:lpwstr>2052-12.1.0.21915</vt:lpwstr>
  </property>
  <property fmtid="{D5CDD505-2E9C-101B-9397-08002B2CF9AE}" pid="4" name="KSOTemplateDocerSaveRecord">
    <vt:lpwstr>eyJoZGlkIjoiMDY5NmFjMmM4ZTljMGJiZDAxN2JmYTc0NGI0NmFiNDgiLCJ1c2VySWQiOiIxMDc1MzgyOSJ9</vt:lpwstr>
  </property>
</Properties>
</file>