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C757D2">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4</w:t>
      </w:r>
      <w:r>
        <w:rPr>
          <w:rFonts w:ascii="宋体" w:hAnsi="宋体" w:eastAsia="宋体" w:cs="宋体"/>
          <w:b/>
          <w:bCs/>
          <w:spacing w:val="-3"/>
          <w:sz w:val="24"/>
          <w:szCs w:val="24"/>
        </w:rPr>
        <w:t>-0</w:t>
      </w:r>
      <w:r>
        <w:rPr>
          <w:rFonts w:hint="eastAsia" w:ascii="宋体" w:hAnsi="宋体" w:eastAsia="宋体" w:cs="宋体"/>
          <w:b/>
          <w:bCs/>
          <w:spacing w:val="-3"/>
          <w:sz w:val="24"/>
          <w:szCs w:val="24"/>
          <w:lang w:val="en-US" w:eastAsia="zh-CN"/>
        </w:rPr>
        <w:t>2-0-09</w:t>
      </w:r>
    </w:p>
    <w:p w14:paraId="0A31C74A">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0B3A5458">
      <w:pPr>
        <w:pStyle w:val="24"/>
        <w:bidi w:val="0"/>
      </w:pPr>
      <w:bookmarkStart w:id="0" w:name="_Toc5738"/>
      <w:bookmarkStart w:id="1" w:name="_Toc25363"/>
      <w:r>
        <w:rPr>
          <w:rFonts w:hint="eastAsia"/>
          <w:lang w:val="en-US" w:eastAsia="zh-CN"/>
        </w:rPr>
        <w:t>万洲奇智（青岛）信息科技有限</w:t>
      </w:r>
      <w:r>
        <w:t>公司</w:t>
      </w:r>
      <w:bookmarkEnd w:id="0"/>
      <w:bookmarkEnd w:id="1"/>
    </w:p>
    <w:p w14:paraId="50D15A02">
      <w:pPr>
        <w:pStyle w:val="25"/>
        <w:bidi w:val="0"/>
        <w:rPr>
          <w:rFonts w:hint="default"/>
          <w:lang w:val="en-US"/>
        </w:rPr>
      </w:pPr>
      <w:bookmarkStart w:id="2" w:name="_Toc27593"/>
      <w:bookmarkStart w:id="3" w:name="_Toc3070"/>
      <w:r>
        <w:rPr>
          <w:rFonts w:hint="eastAsia"/>
          <w:lang w:val="en-US" w:eastAsia="zh-CN"/>
        </w:rPr>
        <w:t>运维服务质量管理</w:t>
      </w:r>
      <w:bookmarkEnd w:id="2"/>
      <w:r>
        <w:rPr>
          <w:rFonts w:hint="eastAsia"/>
          <w:lang w:val="en-US" w:eastAsia="zh-CN"/>
        </w:rPr>
        <w:t>报告</w:t>
      </w:r>
      <w:bookmarkEnd w:id="3"/>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147660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72F1BD83">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57EB8E67">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2025.08.25</w:t>
            </w:r>
          </w:p>
        </w:tc>
      </w:tr>
      <w:tr w14:paraId="7D045F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3058C947">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01C99809">
            <w:pPr>
              <w:widowControl w:val="0"/>
              <w:rPr>
                <w:rFonts w:hint="default"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2025.08.25</w:t>
            </w:r>
          </w:p>
        </w:tc>
      </w:tr>
      <w:tr w14:paraId="5D37A1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D6D7ABF">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73CD8308">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2025.08.25</w:t>
            </w:r>
          </w:p>
        </w:tc>
      </w:tr>
    </w:tbl>
    <w:p w14:paraId="01366207">
      <w:r>
        <w:br w:type="page"/>
      </w:r>
    </w:p>
    <w:p w14:paraId="058936DC">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7DB8196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4158C1BE">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59FFB37D">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13E423E8">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34602215">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7ED929EF">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31D2435D">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325E2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2DFFF3A">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2025.0</w:t>
            </w:r>
            <w:r>
              <w:rPr>
                <w:rFonts w:hint="eastAsia" w:ascii="宋体" w:hAnsi="宋体" w:cs="宋体"/>
                <w:spacing w:val="3"/>
                <w:position w:val="1"/>
                <w:sz w:val="20"/>
                <w:szCs w:val="20"/>
                <w:lang w:val="en-US" w:eastAsia="zh-CN"/>
              </w:rPr>
              <w:t>8</w:t>
            </w:r>
            <w:r>
              <w:rPr>
                <w:rFonts w:ascii="宋体" w:hAnsi="宋体" w:eastAsia="宋体" w:cs="宋体"/>
                <w:spacing w:val="3"/>
                <w:position w:val="1"/>
                <w:sz w:val="20"/>
                <w:szCs w:val="20"/>
              </w:rPr>
              <w:t>.</w:t>
            </w:r>
            <w:r>
              <w:rPr>
                <w:rFonts w:hint="eastAsia" w:ascii="宋体" w:hAnsi="宋体" w:cs="宋体"/>
                <w:spacing w:val="3"/>
                <w:position w:val="1"/>
                <w:sz w:val="20"/>
                <w:szCs w:val="20"/>
                <w:lang w:val="en-US" w:eastAsia="zh-CN"/>
              </w:rPr>
              <w:t>25</w:t>
            </w:r>
          </w:p>
        </w:tc>
        <w:tc>
          <w:tcPr>
            <w:tcW w:w="919" w:type="dxa"/>
          </w:tcPr>
          <w:p w14:paraId="3043480D">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67752FA3">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2B58BC9E">
            <w:pPr>
              <w:spacing w:before="172" w:line="228" w:lineRule="auto"/>
              <w:ind w:left="313"/>
              <w:rPr>
                <w:rFonts w:hint="eastAsia" w:ascii="宋体" w:hAnsi="宋体" w:eastAsia="宋体" w:cs="宋体"/>
                <w:sz w:val="20"/>
                <w:szCs w:val="20"/>
                <w:lang w:val="en-US" w:eastAsia="zh-CN"/>
              </w:rPr>
            </w:pPr>
            <w:r>
              <w:rPr>
                <w:rFonts w:hint="eastAsia"/>
                <w:spacing w:val="105"/>
                <w:kern w:val="0"/>
                <w:u w:val="none"/>
                <w:vertAlign w:val="baseline"/>
                <w:lang w:val="en-US" w:eastAsia="zh-CN"/>
              </w:rPr>
              <w:t>孙</w:t>
            </w:r>
            <w:r>
              <w:rPr>
                <w:rFonts w:hint="eastAsia"/>
                <w:spacing w:val="0"/>
                <w:kern w:val="0"/>
                <w:u w:val="none"/>
                <w:vertAlign w:val="baseline"/>
                <w:lang w:val="en-US" w:eastAsia="zh-CN"/>
              </w:rPr>
              <w:t>文</w:t>
            </w:r>
          </w:p>
        </w:tc>
        <w:tc>
          <w:tcPr>
            <w:tcW w:w="1150" w:type="dxa"/>
          </w:tcPr>
          <w:p w14:paraId="276042E2">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199927E1">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22E7032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DBC20A7">
            <w:pPr>
              <w:pStyle w:val="27"/>
            </w:pPr>
          </w:p>
        </w:tc>
        <w:tc>
          <w:tcPr>
            <w:tcW w:w="919" w:type="dxa"/>
          </w:tcPr>
          <w:p w14:paraId="4923B7D2">
            <w:pPr>
              <w:pStyle w:val="27"/>
            </w:pPr>
          </w:p>
        </w:tc>
        <w:tc>
          <w:tcPr>
            <w:tcW w:w="2289" w:type="dxa"/>
          </w:tcPr>
          <w:p w14:paraId="0B2311E0">
            <w:pPr>
              <w:pStyle w:val="27"/>
            </w:pPr>
          </w:p>
        </w:tc>
        <w:tc>
          <w:tcPr>
            <w:tcW w:w="1148" w:type="dxa"/>
          </w:tcPr>
          <w:p w14:paraId="7D91A347">
            <w:pPr>
              <w:spacing w:before="172" w:line="228" w:lineRule="auto"/>
              <w:ind w:left="313"/>
            </w:pPr>
          </w:p>
        </w:tc>
        <w:tc>
          <w:tcPr>
            <w:tcW w:w="1150" w:type="dxa"/>
          </w:tcPr>
          <w:p w14:paraId="42CCCBF7">
            <w:pPr>
              <w:spacing w:before="172" w:line="228" w:lineRule="auto"/>
              <w:ind w:left="313"/>
            </w:pPr>
          </w:p>
        </w:tc>
        <w:tc>
          <w:tcPr>
            <w:tcW w:w="1240" w:type="dxa"/>
          </w:tcPr>
          <w:p w14:paraId="7B0EC365">
            <w:pPr>
              <w:pStyle w:val="27"/>
            </w:pPr>
          </w:p>
        </w:tc>
      </w:tr>
      <w:tr w14:paraId="7EA6B33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0DC76C8">
            <w:pPr>
              <w:pStyle w:val="27"/>
            </w:pPr>
          </w:p>
        </w:tc>
        <w:tc>
          <w:tcPr>
            <w:tcW w:w="919" w:type="dxa"/>
          </w:tcPr>
          <w:p w14:paraId="5D896976">
            <w:pPr>
              <w:pStyle w:val="27"/>
            </w:pPr>
          </w:p>
        </w:tc>
        <w:tc>
          <w:tcPr>
            <w:tcW w:w="2289" w:type="dxa"/>
          </w:tcPr>
          <w:p w14:paraId="4414B789">
            <w:pPr>
              <w:pStyle w:val="27"/>
            </w:pPr>
          </w:p>
        </w:tc>
        <w:tc>
          <w:tcPr>
            <w:tcW w:w="1148" w:type="dxa"/>
          </w:tcPr>
          <w:p w14:paraId="4FEF61D0">
            <w:pPr>
              <w:spacing w:before="173" w:line="229" w:lineRule="auto"/>
              <w:ind w:left="314"/>
            </w:pPr>
          </w:p>
        </w:tc>
        <w:tc>
          <w:tcPr>
            <w:tcW w:w="1150" w:type="dxa"/>
          </w:tcPr>
          <w:p w14:paraId="300AB876">
            <w:pPr>
              <w:spacing w:before="173" w:line="229" w:lineRule="auto"/>
              <w:ind w:left="314"/>
            </w:pPr>
          </w:p>
        </w:tc>
        <w:tc>
          <w:tcPr>
            <w:tcW w:w="1240" w:type="dxa"/>
          </w:tcPr>
          <w:p w14:paraId="02F29C03">
            <w:pPr>
              <w:pStyle w:val="27"/>
            </w:pPr>
          </w:p>
        </w:tc>
      </w:tr>
      <w:tr w14:paraId="404B1B8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6F22AA45">
            <w:pPr>
              <w:pStyle w:val="27"/>
            </w:pPr>
          </w:p>
        </w:tc>
        <w:tc>
          <w:tcPr>
            <w:tcW w:w="919" w:type="dxa"/>
          </w:tcPr>
          <w:p w14:paraId="581B51F6">
            <w:pPr>
              <w:pStyle w:val="27"/>
            </w:pPr>
          </w:p>
        </w:tc>
        <w:tc>
          <w:tcPr>
            <w:tcW w:w="2289" w:type="dxa"/>
          </w:tcPr>
          <w:p w14:paraId="34534D88">
            <w:pPr>
              <w:pStyle w:val="27"/>
            </w:pPr>
          </w:p>
        </w:tc>
        <w:tc>
          <w:tcPr>
            <w:tcW w:w="1148" w:type="dxa"/>
          </w:tcPr>
          <w:p w14:paraId="388EF551">
            <w:pPr>
              <w:pStyle w:val="27"/>
            </w:pPr>
          </w:p>
        </w:tc>
        <w:tc>
          <w:tcPr>
            <w:tcW w:w="1150" w:type="dxa"/>
          </w:tcPr>
          <w:p w14:paraId="53F3F76E">
            <w:pPr>
              <w:pStyle w:val="27"/>
            </w:pPr>
          </w:p>
        </w:tc>
        <w:tc>
          <w:tcPr>
            <w:tcW w:w="1240" w:type="dxa"/>
          </w:tcPr>
          <w:p w14:paraId="6E8DD6AA">
            <w:pPr>
              <w:pStyle w:val="27"/>
            </w:pPr>
          </w:p>
        </w:tc>
      </w:tr>
      <w:tr w14:paraId="2567525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7E7C80D">
            <w:pPr>
              <w:pStyle w:val="27"/>
            </w:pPr>
          </w:p>
        </w:tc>
        <w:tc>
          <w:tcPr>
            <w:tcW w:w="919" w:type="dxa"/>
          </w:tcPr>
          <w:p w14:paraId="3787F8EA">
            <w:pPr>
              <w:pStyle w:val="27"/>
            </w:pPr>
          </w:p>
        </w:tc>
        <w:tc>
          <w:tcPr>
            <w:tcW w:w="2289" w:type="dxa"/>
          </w:tcPr>
          <w:p w14:paraId="056650BD">
            <w:pPr>
              <w:pStyle w:val="27"/>
            </w:pPr>
          </w:p>
        </w:tc>
        <w:tc>
          <w:tcPr>
            <w:tcW w:w="1148" w:type="dxa"/>
          </w:tcPr>
          <w:p w14:paraId="3A566E06">
            <w:pPr>
              <w:pStyle w:val="27"/>
            </w:pPr>
          </w:p>
        </w:tc>
        <w:tc>
          <w:tcPr>
            <w:tcW w:w="1150" w:type="dxa"/>
          </w:tcPr>
          <w:p w14:paraId="5AD10035">
            <w:pPr>
              <w:pStyle w:val="27"/>
            </w:pPr>
          </w:p>
        </w:tc>
        <w:tc>
          <w:tcPr>
            <w:tcW w:w="1240" w:type="dxa"/>
          </w:tcPr>
          <w:p w14:paraId="442891F3">
            <w:pPr>
              <w:pStyle w:val="27"/>
            </w:pPr>
          </w:p>
        </w:tc>
      </w:tr>
      <w:tr w14:paraId="584CAD3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7BF54ED4">
            <w:pPr>
              <w:pStyle w:val="27"/>
            </w:pPr>
          </w:p>
        </w:tc>
        <w:tc>
          <w:tcPr>
            <w:tcW w:w="919" w:type="dxa"/>
          </w:tcPr>
          <w:p w14:paraId="348C7ED7">
            <w:pPr>
              <w:pStyle w:val="27"/>
            </w:pPr>
          </w:p>
        </w:tc>
        <w:tc>
          <w:tcPr>
            <w:tcW w:w="2289" w:type="dxa"/>
          </w:tcPr>
          <w:p w14:paraId="7C8B4B79">
            <w:pPr>
              <w:pStyle w:val="27"/>
            </w:pPr>
          </w:p>
        </w:tc>
        <w:tc>
          <w:tcPr>
            <w:tcW w:w="1148" w:type="dxa"/>
          </w:tcPr>
          <w:p w14:paraId="37E02A2E">
            <w:pPr>
              <w:pStyle w:val="27"/>
            </w:pPr>
          </w:p>
        </w:tc>
        <w:tc>
          <w:tcPr>
            <w:tcW w:w="1150" w:type="dxa"/>
          </w:tcPr>
          <w:p w14:paraId="637A56CA">
            <w:pPr>
              <w:pStyle w:val="27"/>
            </w:pPr>
          </w:p>
        </w:tc>
        <w:tc>
          <w:tcPr>
            <w:tcW w:w="1240" w:type="dxa"/>
          </w:tcPr>
          <w:p w14:paraId="7D2E6517">
            <w:pPr>
              <w:pStyle w:val="27"/>
            </w:pPr>
          </w:p>
        </w:tc>
      </w:tr>
    </w:tbl>
    <w:p w14:paraId="121C3C3A">
      <w:r>
        <w:br w:type="page"/>
      </w:r>
    </w:p>
    <w:sdt>
      <w:sdtPr>
        <w:rPr>
          <w:rFonts w:ascii="宋体" w:hAnsi="宋体" w:eastAsia="宋体" w:cs="Arial"/>
          <w:snapToGrid w:val="0"/>
          <w:color w:val="000000"/>
          <w:kern w:val="0"/>
          <w:sz w:val="21"/>
          <w:szCs w:val="21"/>
          <w:lang w:val="en-US" w:eastAsia="en-US" w:bidi="ar-SA"/>
        </w:rPr>
        <w:id w:val="147464621"/>
        <w:docPartObj>
          <w:docPartGallery w:val="Table of Contents"/>
          <w:docPartUnique/>
        </w:docPartObj>
      </w:sdtPr>
      <w:sdtEndPr>
        <w:rPr>
          <w:rFonts w:ascii="宋体" w:hAnsi="宋体" w:eastAsia="宋体" w:cs="Arial"/>
          <w:snapToGrid w:val="0"/>
          <w:color w:val="000000"/>
          <w:kern w:val="0"/>
          <w:sz w:val="21"/>
          <w:szCs w:val="21"/>
          <w:lang w:val="en-US" w:eastAsia="en-US" w:bidi="ar-SA"/>
        </w:rPr>
      </w:sdtEndPr>
      <w:sdtContent>
        <w:p w14:paraId="1C52F932">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828E732">
          <w:pPr>
            <w:pStyle w:val="16"/>
            <w:tabs>
              <w:tab w:val="right" w:leader="dot" w:pos="8306"/>
            </w:tabs>
          </w:pPr>
          <w:r>
            <w:fldChar w:fldCharType="begin"/>
          </w:r>
          <w:r>
            <w:instrText xml:space="preserve">TOC \o "1-3" \h \u </w:instrText>
          </w:r>
          <w:r>
            <w:fldChar w:fldCharType="separate"/>
          </w:r>
          <w:r>
            <w:fldChar w:fldCharType="begin"/>
          </w:r>
          <w:r>
            <w:instrText xml:space="preserve"> HYPERLINK \l _Toc25363 </w:instrText>
          </w:r>
          <w:r>
            <w:fldChar w:fldCharType="separate"/>
          </w:r>
          <w:r>
            <w:rPr>
              <w:rFonts w:hint="eastAsia"/>
              <w:lang w:val="en-US" w:eastAsia="zh-CN"/>
            </w:rPr>
            <w:t>万洲奇智（青岛）信息科技有限</w:t>
          </w:r>
          <w:r>
            <w:t>公司</w:t>
          </w:r>
          <w:r>
            <w:tab/>
          </w:r>
          <w:r>
            <w:fldChar w:fldCharType="begin"/>
          </w:r>
          <w:r>
            <w:instrText xml:space="preserve"> PAGEREF _Toc25363 \h </w:instrText>
          </w:r>
          <w:r>
            <w:fldChar w:fldCharType="separate"/>
          </w:r>
          <w:r>
            <w:t>1</w:t>
          </w:r>
          <w:r>
            <w:fldChar w:fldCharType="end"/>
          </w:r>
          <w:r>
            <w:fldChar w:fldCharType="end"/>
          </w:r>
        </w:p>
        <w:p w14:paraId="5EA16025">
          <w:pPr>
            <w:pStyle w:val="16"/>
            <w:tabs>
              <w:tab w:val="right" w:leader="dot" w:pos="8306"/>
            </w:tabs>
          </w:pPr>
          <w:r>
            <w:fldChar w:fldCharType="begin"/>
          </w:r>
          <w:r>
            <w:instrText xml:space="preserve"> HYPERLINK \l _Toc3070 </w:instrText>
          </w:r>
          <w:r>
            <w:fldChar w:fldCharType="separate"/>
          </w:r>
          <w:r>
            <w:rPr>
              <w:rFonts w:hint="eastAsia"/>
              <w:lang w:val="en-US" w:eastAsia="zh-CN"/>
            </w:rPr>
            <w:t>运维服务质量管理报告</w:t>
          </w:r>
          <w:r>
            <w:tab/>
          </w:r>
          <w:r>
            <w:fldChar w:fldCharType="begin"/>
          </w:r>
          <w:r>
            <w:instrText xml:space="preserve"> PAGEREF _Toc3070 \h </w:instrText>
          </w:r>
          <w:r>
            <w:fldChar w:fldCharType="separate"/>
          </w:r>
          <w:r>
            <w:t>1</w:t>
          </w:r>
          <w:r>
            <w:fldChar w:fldCharType="end"/>
          </w:r>
          <w:r>
            <w:fldChar w:fldCharType="end"/>
          </w:r>
        </w:p>
        <w:p w14:paraId="2C85E141">
          <w:pPr>
            <w:pStyle w:val="16"/>
            <w:tabs>
              <w:tab w:val="right" w:leader="dot" w:pos="8306"/>
            </w:tabs>
          </w:pPr>
          <w:r>
            <w:fldChar w:fldCharType="begin"/>
          </w:r>
          <w:r>
            <w:instrText xml:space="preserve"> HYPERLINK \l _Toc15082 </w:instrText>
          </w:r>
          <w:r>
            <w:fldChar w:fldCharType="separate"/>
          </w:r>
          <w:r>
            <w:rPr>
              <w:rFonts w:hint="default"/>
            </w:rPr>
            <w:t xml:space="preserve">1. </w:t>
          </w:r>
          <w:r>
            <w:rPr>
              <w:rFonts w:hint="eastAsia"/>
              <w:lang w:val="en-US" w:eastAsia="zh-CN"/>
            </w:rPr>
            <w:t>运维服务质量管理报告</w:t>
          </w:r>
          <w:r>
            <w:tab/>
          </w:r>
          <w:r>
            <w:fldChar w:fldCharType="begin"/>
          </w:r>
          <w:r>
            <w:instrText xml:space="preserve"> PAGEREF _Toc15082 \h </w:instrText>
          </w:r>
          <w:r>
            <w:fldChar w:fldCharType="separate"/>
          </w:r>
          <w:r>
            <w:t>4</w:t>
          </w:r>
          <w:r>
            <w:fldChar w:fldCharType="end"/>
          </w:r>
          <w:r>
            <w:fldChar w:fldCharType="end"/>
          </w:r>
        </w:p>
        <w:p w14:paraId="6C06CB0C">
          <w:pPr>
            <w:pStyle w:val="17"/>
            <w:tabs>
              <w:tab w:val="right" w:leader="dot" w:pos="8306"/>
            </w:tabs>
          </w:pPr>
          <w:r>
            <w:fldChar w:fldCharType="begin"/>
          </w:r>
          <w:r>
            <w:instrText xml:space="preserve"> HYPERLINK \l _Toc7502 </w:instrText>
          </w:r>
          <w:r>
            <w:fldChar w:fldCharType="separate"/>
          </w:r>
          <w:r>
            <w:rPr>
              <w:rFonts w:hint="default"/>
            </w:rPr>
            <w:t xml:space="preserve">1.1. </w:t>
          </w:r>
          <w:r>
            <w:t>运维服务能力体系</w:t>
          </w:r>
          <w:r>
            <w:rPr>
              <w:rFonts w:hint="eastAsia"/>
              <w:lang w:val="en-US" w:eastAsia="zh-CN"/>
            </w:rPr>
            <w:t>内部审核</w:t>
          </w:r>
          <w:r>
            <w:tab/>
          </w:r>
          <w:r>
            <w:fldChar w:fldCharType="begin"/>
          </w:r>
          <w:r>
            <w:instrText xml:space="preserve"> PAGEREF _Toc7502 \h </w:instrText>
          </w:r>
          <w:r>
            <w:fldChar w:fldCharType="separate"/>
          </w:r>
          <w:r>
            <w:t>4</w:t>
          </w:r>
          <w:r>
            <w:fldChar w:fldCharType="end"/>
          </w:r>
          <w:r>
            <w:fldChar w:fldCharType="end"/>
          </w:r>
        </w:p>
        <w:p w14:paraId="0597B1D1">
          <w:pPr>
            <w:pStyle w:val="17"/>
            <w:tabs>
              <w:tab w:val="right" w:leader="dot" w:pos="8306"/>
            </w:tabs>
          </w:pPr>
          <w:r>
            <w:fldChar w:fldCharType="begin"/>
          </w:r>
          <w:r>
            <w:instrText xml:space="preserve"> HYPERLINK \l _Toc9242 </w:instrText>
          </w:r>
          <w:r>
            <w:fldChar w:fldCharType="separate"/>
          </w:r>
          <w:r>
            <w:rPr>
              <w:rFonts w:hint="default"/>
            </w:rPr>
            <w:t xml:space="preserve">1.2. </w:t>
          </w:r>
          <w:r>
            <w:t>运维服务能力管理体系</w:t>
          </w:r>
          <w:r>
            <w:rPr>
              <w:rFonts w:hint="eastAsia"/>
              <w:lang w:val="en-US" w:eastAsia="zh-CN"/>
            </w:rPr>
            <w:t>管理</w:t>
          </w:r>
          <w:r>
            <w:t>评审</w:t>
          </w:r>
          <w:r>
            <w:tab/>
          </w:r>
          <w:r>
            <w:fldChar w:fldCharType="begin"/>
          </w:r>
          <w:r>
            <w:instrText xml:space="preserve"> PAGEREF _Toc9242 \h </w:instrText>
          </w:r>
          <w:r>
            <w:fldChar w:fldCharType="separate"/>
          </w:r>
          <w:r>
            <w:t>4</w:t>
          </w:r>
          <w:r>
            <w:fldChar w:fldCharType="end"/>
          </w:r>
          <w:r>
            <w:fldChar w:fldCharType="end"/>
          </w:r>
        </w:p>
        <w:p w14:paraId="17726731">
          <w:pPr>
            <w:pStyle w:val="17"/>
            <w:tabs>
              <w:tab w:val="right" w:leader="dot" w:pos="8306"/>
            </w:tabs>
          </w:pPr>
          <w:r>
            <w:fldChar w:fldCharType="begin"/>
          </w:r>
          <w:r>
            <w:instrText xml:space="preserve"> HYPERLINK \l _Toc21375 </w:instrText>
          </w:r>
          <w:r>
            <w:fldChar w:fldCharType="separate"/>
          </w:r>
          <w:r>
            <w:rPr>
              <w:rFonts w:hint="default" w:eastAsia="宋体"/>
              <w:lang w:val="en-US" w:eastAsia="zh-CN"/>
            </w:rPr>
            <w:t xml:space="preserve">1.3. </w:t>
          </w:r>
          <w:r>
            <w:t>客户满意度调查与分析</w:t>
          </w:r>
          <w:r>
            <w:tab/>
          </w:r>
          <w:r>
            <w:fldChar w:fldCharType="begin"/>
          </w:r>
          <w:r>
            <w:instrText xml:space="preserve"> PAGEREF _Toc21375 \h </w:instrText>
          </w:r>
          <w:r>
            <w:fldChar w:fldCharType="separate"/>
          </w:r>
          <w:r>
            <w:t>5</w:t>
          </w:r>
          <w:r>
            <w:fldChar w:fldCharType="end"/>
          </w:r>
          <w:r>
            <w:fldChar w:fldCharType="end"/>
          </w:r>
        </w:p>
        <w:p w14:paraId="19512669">
          <w:pPr>
            <w:pStyle w:val="17"/>
            <w:tabs>
              <w:tab w:val="right" w:leader="dot" w:pos="8306"/>
            </w:tabs>
          </w:pPr>
          <w:r>
            <w:fldChar w:fldCharType="begin"/>
          </w:r>
          <w:r>
            <w:instrText xml:space="preserve"> HYPERLINK \l _Toc20709 </w:instrText>
          </w:r>
          <w:r>
            <w:fldChar w:fldCharType="separate"/>
          </w:r>
          <w:r>
            <w:rPr>
              <w:rFonts w:hint="default"/>
              <w:lang w:val="en-US" w:eastAsia="zh-CN"/>
            </w:rPr>
            <w:t xml:space="preserve">1.4. </w:t>
          </w:r>
          <w:r>
            <w:rPr>
              <w:rFonts w:hint="eastAsia"/>
              <w:lang w:val="en-US" w:eastAsia="zh-CN"/>
            </w:rPr>
            <w:t>服务质量改进</w:t>
          </w:r>
          <w:r>
            <w:tab/>
          </w:r>
          <w:r>
            <w:fldChar w:fldCharType="begin"/>
          </w:r>
          <w:r>
            <w:instrText xml:space="preserve"> PAGEREF _Toc20709 \h </w:instrText>
          </w:r>
          <w:r>
            <w:fldChar w:fldCharType="separate"/>
          </w:r>
          <w:r>
            <w:t>5</w:t>
          </w:r>
          <w:r>
            <w:fldChar w:fldCharType="end"/>
          </w:r>
          <w:r>
            <w:fldChar w:fldCharType="end"/>
          </w:r>
        </w:p>
        <w:p w14:paraId="1B3BD5BD">
          <w:r>
            <w:fldChar w:fldCharType="end"/>
          </w:r>
        </w:p>
      </w:sdtContent>
    </w:sdt>
    <w:p w14:paraId="4102465F"/>
    <w:p w14:paraId="56A76258">
      <w:r>
        <w:br w:type="page"/>
      </w:r>
    </w:p>
    <w:p w14:paraId="108498C3">
      <w:pPr>
        <w:pStyle w:val="28"/>
        <w:bidi w:val="0"/>
      </w:pPr>
      <w:bookmarkStart w:id="4" w:name="_Toc15082"/>
      <w:r>
        <w:rPr>
          <w:rFonts w:hint="eastAsia"/>
          <w:lang w:val="en-US" w:eastAsia="zh-CN"/>
        </w:rPr>
        <w:t>运维服务质量管理报告</w:t>
      </w:r>
      <w:bookmarkEnd w:id="4"/>
    </w:p>
    <w:p w14:paraId="32A65071">
      <w:pPr>
        <w:pStyle w:val="30"/>
        <w:bidi w:val="0"/>
      </w:pPr>
      <w:bookmarkStart w:id="5" w:name="_Toc7502"/>
      <w:r>
        <w:t>运维服务能力体系</w:t>
      </w:r>
      <w:r>
        <w:rPr>
          <w:rFonts w:hint="eastAsia"/>
          <w:lang w:val="en-US" w:eastAsia="zh-CN"/>
        </w:rPr>
        <w:t>内部审核</w:t>
      </w:r>
      <w:bookmarkEnd w:id="5"/>
    </w:p>
    <w:p w14:paraId="152C9A9C">
      <w:pPr>
        <w:spacing w:before="78" w:line="360" w:lineRule="auto"/>
        <w:ind w:left="11" w:right="15" w:firstLine="426"/>
        <w:jc w:val="both"/>
        <w:rPr>
          <w:rFonts w:ascii="宋体" w:hAnsi="宋体" w:eastAsia="宋体" w:cs="宋体"/>
          <w:sz w:val="24"/>
          <w:szCs w:val="24"/>
        </w:rPr>
      </w:pPr>
      <w:r>
        <w:rPr>
          <w:rFonts w:ascii="宋体" w:hAnsi="宋体" w:eastAsia="宋体" w:cs="宋体"/>
          <w:spacing w:val="-3"/>
          <w:sz w:val="24"/>
          <w:szCs w:val="24"/>
        </w:rPr>
        <w:t>经过</w:t>
      </w:r>
      <w:r>
        <w:rPr>
          <w:rFonts w:hint="eastAsia" w:ascii="宋体" w:hAnsi="宋体" w:eastAsia="宋体" w:cs="宋体"/>
          <w:spacing w:val="-3"/>
          <w:sz w:val="24"/>
          <w:szCs w:val="24"/>
          <w:lang w:val="en-US" w:eastAsia="zh-CN"/>
        </w:rPr>
        <w:t>八</w:t>
      </w:r>
      <w:r>
        <w:rPr>
          <w:rFonts w:ascii="宋体" w:hAnsi="宋体" w:eastAsia="宋体" w:cs="宋体"/>
          <w:spacing w:val="-3"/>
          <w:sz w:val="24"/>
          <w:szCs w:val="24"/>
        </w:rPr>
        <w:t>个月的实施运行，2025</w:t>
      </w:r>
      <w:r>
        <w:rPr>
          <w:rFonts w:ascii="宋体" w:hAnsi="宋体" w:eastAsia="宋体" w:cs="宋体"/>
          <w:spacing w:val="-47"/>
          <w:sz w:val="24"/>
          <w:szCs w:val="24"/>
        </w:rPr>
        <w:t xml:space="preserve"> </w:t>
      </w:r>
      <w:r>
        <w:rPr>
          <w:rFonts w:ascii="宋体" w:hAnsi="宋体" w:eastAsia="宋体" w:cs="宋体"/>
          <w:spacing w:val="-3"/>
          <w:sz w:val="24"/>
          <w:szCs w:val="24"/>
        </w:rPr>
        <w:t>年</w:t>
      </w:r>
      <w:r>
        <w:rPr>
          <w:rFonts w:hint="eastAsia" w:ascii="宋体" w:hAnsi="宋体" w:eastAsia="宋体" w:cs="宋体"/>
          <w:spacing w:val="-3"/>
          <w:sz w:val="24"/>
          <w:szCs w:val="24"/>
          <w:lang w:val="en-US" w:eastAsia="zh-CN"/>
        </w:rPr>
        <w:t>8</w:t>
      </w:r>
      <w:r>
        <w:rPr>
          <w:rFonts w:ascii="宋体" w:hAnsi="宋体" w:eastAsia="宋体" w:cs="宋体"/>
          <w:spacing w:val="-3"/>
          <w:sz w:val="24"/>
          <w:szCs w:val="24"/>
        </w:rPr>
        <w:t>月</w:t>
      </w:r>
      <w:r>
        <w:rPr>
          <w:rFonts w:hint="eastAsia" w:ascii="宋体" w:hAnsi="宋体" w:eastAsia="宋体" w:cs="宋体"/>
          <w:spacing w:val="-3"/>
          <w:sz w:val="24"/>
          <w:szCs w:val="24"/>
          <w:lang w:val="en-US" w:eastAsia="zh-CN"/>
        </w:rPr>
        <w:t>15</w:t>
      </w:r>
      <w:r>
        <w:rPr>
          <w:rFonts w:ascii="宋体" w:hAnsi="宋体" w:eastAsia="宋体" w:cs="宋体"/>
          <w:spacing w:val="-3"/>
          <w:sz w:val="24"/>
          <w:szCs w:val="24"/>
        </w:rPr>
        <w:t>-</w:t>
      </w:r>
      <w:r>
        <w:rPr>
          <w:rFonts w:hint="eastAsia" w:ascii="宋体" w:hAnsi="宋体" w:eastAsia="宋体" w:cs="宋体"/>
          <w:spacing w:val="-3"/>
          <w:sz w:val="24"/>
          <w:szCs w:val="24"/>
          <w:lang w:val="en-US" w:eastAsia="zh-CN"/>
        </w:rPr>
        <w:t>16</w:t>
      </w:r>
      <w:r>
        <w:rPr>
          <w:rFonts w:ascii="宋体" w:hAnsi="宋体" w:eastAsia="宋体" w:cs="宋体"/>
          <w:spacing w:val="-3"/>
          <w:sz w:val="24"/>
          <w:szCs w:val="24"/>
        </w:rPr>
        <w:t>日，根据运维服务管理计划的安排，</w:t>
      </w:r>
      <w:r>
        <w:rPr>
          <w:rFonts w:hint="eastAsia" w:ascii="宋体" w:hAnsi="宋体" w:eastAsia="宋体" w:cs="宋体"/>
          <w:spacing w:val="-3"/>
          <w:sz w:val="24"/>
          <w:szCs w:val="24"/>
          <w:lang w:eastAsia="zh-CN"/>
        </w:rPr>
        <w:t>质量部</w:t>
      </w:r>
      <w:r>
        <w:rPr>
          <w:rFonts w:ascii="宋体" w:hAnsi="宋体" w:eastAsia="宋体" w:cs="宋体"/>
          <w:spacing w:val="-2"/>
          <w:sz w:val="24"/>
          <w:szCs w:val="24"/>
        </w:rPr>
        <w:t>牵头组织了运维服务能力的内审活动。内审的对象主要是日常进行运维工作的运维部</w:t>
      </w:r>
      <w:r>
        <w:rPr>
          <w:rFonts w:hint="eastAsia" w:ascii="宋体" w:hAnsi="宋体" w:eastAsia="宋体" w:cs="宋体"/>
          <w:spacing w:val="-2"/>
          <w:sz w:val="24"/>
          <w:szCs w:val="24"/>
          <w:lang w:eastAsia="zh-CN"/>
        </w:rPr>
        <w:t>、</w:t>
      </w:r>
      <w:r>
        <w:rPr>
          <w:rFonts w:hint="eastAsia" w:ascii="宋体" w:hAnsi="宋体" w:eastAsia="宋体" w:cs="宋体"/>
          <w:spacing w:val="-2"/>
          <w:sz w:val="24"/>
          <w:szCs w:val="24"/>
          <w:lang w:val="en-US" w:eastAsia="zh-CN"/>
        </w:rPr>
        <w:t>质量部、人力部、研发部和采购部</w:t>
      </w:r>
      <w:r>
        <w:rPr>
          <w:rFonts w:ascii="宋体" w:hAnsi="宋体" w:eastAsia="宋体" w:cs="宋体"/>
          <w:spacing w:val="-2"/>
          <w:sz w:val="24"/>
          <w:szCs w:val="24"/>
        </w:rPr>
        <w:t>，通过运维服务活动及结果的审核，目的是为了确定运维服务活动是否符合调整后的运维体系要求。</w:t>
      </w:r>
    </w:p>
    <w:p w14:paraId="05EC2A3E">
      <w:pPr>
        <w:spacing w:line="360" w:lineRule="auto"/>
        <w:ind w:left="13" w:right="15" w:firstLine="478"/>
        <w:jc w:val="both"/>
        <w:rPr>
          <w:rFonts w:ascii="宋体" w:hAnsi="宋体" w:eastAsia="宋体" w:cs="宋体"/>
          <w:sz w:val="24"/>
          <w:szCs w:val="24"/>
        </w:rPr>
      </w:pPr>
      <w:r>
        <w:rPr>
          <w:rFonts w:ascii="宋体" w:hAnsi="宋体" w:eastAsia="宋体" w:cs="宋体"/>
          <w:spacing w:val="-2"/>
          <w:sz w:val="24"/>
          <w:szCs w:val="24"/>
        </w:rPr>
        <w:t>通过对具体工作的过程记录的检查、具体人员的访谈结果，可以看出公司的运维服务过程基本得到了有效地实施，运维服务人员储备、技术研发按预期计划有序开展，服务知识、服务台、服务数据等资源能满足运维服务要求。运维服务的规范性有了较大提</w:t>
      </w:r>
      <w:r>
        <w:rPr>
          <w:rFonts w:ascii="宋体" w:hAnsi="宋体" w:eastAsia="宋体" w:cs="宋体"/>
          <w:spacing w:val="-1"/>
          <w:sz w:val="24"/>
          <w:szCs w:val="24"/>
        </w:rPr>
        <w:t>高，服务得到客户肯定，客户满意度增强。</w:t>
      </w:r>
    </w:p>
    <w:p w14:paraId="06B612B5">
      <w:pPr>
        <w:spacing w:before="1" w:line="219" w:lineRule="auto"/>
        <w:ind w:left="504"/>
        <w:rPr>
          <w:rFonts w:ascii="宋体" w:hAnsi="宋体" w:eastAsia="宋体" w:cs="宋体"/>
          <w:sz w:val="24"/>
          <w:szCs w:val="24"/>
        </w:rPr>
      </w:pPr>
      <w:r>
        <w:rPr>
          <w:rFonts w:ascii="宋体" w:hAnsi="宋体" w:eastAsia="宋体" w:cs="宋体"/>
          <w:spacing w:val="-2"/>
          <w:sz w:val="24"/>
          <w:szCs w:val="24"/>
        </w:rPr>
        <w:t>审核共发现1份不合格项，为一般性的不合格，已得到</w:t>
      </w:r>
      <w:r>
        <w:rPr>
          <w:rFonts w:ascii="宋体" w:hAnsi="宋体" w:eastAsia="宋体" w:cs="宋体"/>
          <w:spacing w:val="-3"/>
          <w:sz w:val="24"/>
          <w:szCs w:val="24"/>
        </w:rPr>
        <w:t>了整改。</w:t>
      </w:r>
    </w:p>
    <w:p w14:paraId="259F4F13">
      <w:pPr>
        <w:pStyle w:val="12"/>
        <w:spacing w:line="259" w:lineRule="auto"/>
      </w:pPr>
    </w:p>
    <w:p w14:paraId="32C4AD6F">
      <w:pPr>
        <w:pStyle w:val="30"/>
        <w:bidi w:val="0"/>
      </w:pPr>
      <w:bookmarkStart w:id="6" w:name="bookmark1"/>
      <w:bookmarkEnd w:id="6"/>
      <w:bookmarkStart w:id="7" w:name="_Toc9242"/>
      <w:r>
        <w:t>运维服务能力管理体系</w:t>
      </w:r>
      <w:r>
        <w:rPr>
          <w:rFonts w:hint="eastAsia"/>
          <w:lang w:val="en-US" w:eastAsia="zh-CN"/>
        </w:rPr>
        <w:t>管理</w:t>
      </w:r>
      <w:r>
        <w:t>评审</w:t>
      </w:r>
      <w:bookmarkEnd w:id="7"/>
    </w:p>
    <w:p w14:paraId="57C63119">
      <w:pPr>
        <w:spacing w:before="261" w:line="360" w:lineRule="auto"/>
        <w:ind w:left="13" w:right="15" w:firstLine="421"/>
        <w:jc w:val="both"/>
        <w:rPr>
          <w:rFonts w:ascii="宋体" w:hAnsi="宋体" w:eastAsia="宋体" w:cs="宋体"/>
          <w:sz w:val="24"/>
          <w:szCs w:val="24"/>
        </w:rPr>
      </w:pPr>
      <w:r>
        <w:rPr>
          <w:rFonts w:ascii="宋体" w:hAnsi="宋体" w:eastAsia="宋体" w:cs="宋体"/>
          <w:sz w:val="24"/>
          <w:szCs w:val="24"/>
        </w:rPr>
        <w:t>在实施运行中，所有员工根据日常工作情况，对调整后的体系提出了改</w:t>
      </w:r>
      <w:r>
        <w:rPr>
          <w:rFonts w:ascii="宋体" w:hAnsi="宋体" w:eastAsia="宋体" w:cs="宋体"/>
          <w:spacing w:val="-1"/>
          <w:sz w:val="24"/>
          <w:szCs w:val="24"/>
        </w:rPr>
        <w:t>进建议。各审核专员也通过对各项目的日常工作检查，发现了改进需求。2025年</w:t>
      </w:r>
      <w:r>
        <w:rPr>
          <w:rFonts w:hint="eastAsia" w:ascii="宋体" w:hAnsi="宋体" w:eastAsia="宋体" w:cs="宋体"/>
          <w:spacing w:val="-1"/>
          <w:sz w:val="24"/>
          <w:szCs w:val="24"/>
          <w:lang w:val="en-US" w:eastAsia="zh-CN"/>
        </w:rPr>
        <w:t>8</w:t>
      </w:r>
      <w:r>
        <w:rPr>
          <w:rFonts w:hint="eastAsia" w:ascii="宋体" w:hAnsi="宋体" w:eastAsia="宋体" w:cs="宋体"/>
          <w:spacing w:val="-48"/>
          <w:sz w:val="24"/>
          <w:szCs w:val="24"/>
          <w:lang w:val="en-US" w:eastAsia="zh-CN"/>
        </w:rPr>
        <w:t>月</w:t>
      </w:r>
      <w:r>
        <w:rPr>
          <w:rFonts w:ascii="宋体" w:hAnsi="宋体" w:eastAsia="宋体" w:cs="宋体"/>
          <w:spacing w:val="-1"/>
          <w:sz w:val="24"/>
          <w:szCs w:val="24"/>
        </w:rPr>
        <w:t>2</w:t>
      </w:r>
      <w:r>
        <w:rPr>
          <w:rFonts w:hint="eastAsia" w:ascii="宋体" w:hAnsi="宋体" w:eastAsia="宋体" w:cs="宋体"/>
          <w:spacing w:val="-1"/>
          <w:sz w:val="24"/>
          <w:szCs w:val="24"/>
          <w:lang w:val="en-US" w:eastAsia="zh-CN"/>
        </w:rPr>
        <w:t>0</w:t>
      </w:r>
      <w:r>
        <w:rPr>
          <w:rFonts w:ascii="宋体" w:hAnsi="宋体" w:eastAsia="宋体" w:cs="宋体"/>
          <w:spacing w:val="-1"/>
          <w:sz w:val="24"/>
          <w:szCs w:val="24"/>
        </w:rPr>
        <w:t>日公司组</w:t>
      </w:r>
      <w:r>
        <w:rPr>
          <w:rFonts w:ascii="宋体" w:hAnsi="宋体" w:eastAsia="宋体" w:cs="宋体"/>
          <w:spacing w:val="-2"/>
          <w:sz w:val="24"/>
          <w:szCs w:val="24"/>
        </w:rPr>
        <w:t>织并实施了运维服务能力管理评审，从人员、资源、过程、技术、应急、交付及运维服务体系实施结果等方面对运维服务能力进行了全面的分析和评审。根据公司的《</w:t>
      </w:r>
      <w:r>
        <w:rPr>
          <w:rFonts w:hint="eastAsia" w:ascii="宋体" w:hAnsi="宋体" w:eastAsia="宋体" w:cs="宋体"/>
          <w:spacing w:val="-2"/>
          <w:sz w:val="24"/>
          <w:szCs w:val="24"/>
          <w:lang w:val="en-US" w:eastAsia="zh-CN"/>
        </w:rPr>
        <w:t>运维服务能力指</w:t>
      </w:r>
      <w:bookmarkStart w:id="10" w:name="_GoBack"/>
      <w:bookmarkEnd w:id="10"/>
      <w:r>
        <w:rPr>
          <w:rFonts w:hint="eastAsia" w:ascii="宋体" w:hAnsi="宋体" w:eastAsia="宋体" w:cs="宋体"/>
          <w:spacing w:val="-2"/>
          <w:sz w:val="24"/>
          <w:szCs w:val="24"/>
          <w:lang w:val="en-US" w:eastAsia="zh-CN"/>
        </w:rPr>
        <w:t>标体系</w:t>
      </w:r>
      <w:r>
        <w:rPr>
          <w:rFonts w:ascii="宋体" w:hAnsi="宋体" w:eastAsia="宋体" w:cs="宋体"/>
          <w:spacing w:val="-6"/>
          <w:sz w:val="24"/>
          <w:szCs w:val="24"/>
        </w:rPr>
        <w:t>》要求，审核了各指标的符合情况，各部门的工作都能够实现指标要求。</w:t>
      </w:r>
      <w:r>
        <w:rPr>
          <w:rFonts w:ascii="宋体" w:hAnsi="宋体" w:eastAsia="宋体" w:cs="宋体"/>
          <w:sz w:val="24"/>
          <w:szCs w:val="24"/>
        </w:rPr>
        <w:t>对于内审中发现的问题，进一步明确了整改的</w:t>
      </w:r>
      <w:r>
        <w:rPr>
          <w:rFonts w:ascii="宋体" w:hAnsi="宋体" w:eastAsia="宋体" w:cs="宋体"/>
          <w:spacing w:val="-1"/>
          <w:sz w:val="24"/>
          <w:szCs w:val="24"/>
        </w:rPr>
        <w:t>责任部门及整改方式。</w:t>
      </w:r>
    </w:p>
    <w:p w14:paraId="658E0C6E">
      <w:pPr>
        <w:spacing w:before="3" w:line="360" w:lineRule="auto"/>
        <w:ind w:left="12" w:right="85" w:firstLine="423"/>
        <w:jc w:val="both"/>
        <w:rPr>
          <w:rFonts w:ascii="宋体" w:hAnsi="宋体" w:eastAsia="宋体" w:cs="宋体"/>
          <w:spacing w:val="-6"/>
          <w:sz w:val="24"/>
          <w:szCs w:val="24"/>
        </w:rPr>
      </w:pPr>
      <w:r>
        <w:rPr>
          <w:rFonts w:ascii="宋体" w:hAnsi="宋体" w:eastAsia="宋体" w:cs="宋体"/>
          <w:sz w:val="24"/>
          <w:szCs w:val="24"/>
        </w:rPr>
        <w:t>通过评审，与会人员一致认为调整后的运维服务管理体系运行基本正</w:t>
      </w:r>
      <w:r>
        <w:rPr>
          <w:rFonts w:ascii="宋体" w:hAnsi="宋体" w:eastAsia="宋体" w:cs="宋体"/>
          <w:spacing w:val="-1"/>
          <w:sz w:val="24"/>
          <w:szCs w:val="24"/>
        </w:rPr>
        <w:t>常，能适应公</w:t>
      </w:r>
      <w:r>
        <w:rPr>
          <w:rFonts w:ascii="宋体" w:hAnsi="宋体" w:eastAsia="宋体" w:cs="宋体"/>
          <w:spacing w:val="-2"/>
          <w:sz w:val="24"/>
          <w:szCs w:val="24"/>
        </w:rPr>
        <w:t>司的实际工作情况，对提高运维服务质量起到了积极的作用。在接下来的工作中，应该继续加强对员工的技能和工作流程的培训，同时运维部应该加强运维体系的日常监督工</w:t>
      </w:r>
      <w:r>
        <w:rPr>
          <w:rFonts w:ascii="宋体" w:hAnsi="宋体" w:eastAsia="宋体" w:cs="宋体"/>
          <w:spacing w:val="-6"/>
          <w:sz w:val="24"/>
          <w:szCs w:val="24"/>
        </w:rPr>
        <w:t>作。</w:t>
      </w:r>
    </w:p>
    <w:p w14:paraId="5DAABF82">
      <w:pPr>
        <w:pStyle w:val="30"/>
        <w:bidi w:val="0"/>
        <w:rPr>
          <w:rFonts w:hint="eastAsia" w:eastAsia="宋体"/>
          <w:lang w:val="en-US" w:eastAsia="zh-CN"/>
        </w:rPr>
      </w:pPr>
      <w:bookmarkStart w:id="8" w:name="_Toc21375"/>
      <w:r>
        <w:t>客户满意度调查与分析</w:t>
      </w:r>
      <w:bookmarkEnd w:id="8"/>
    </w:p>
    <w:p w14:paraId="0ABA352C">
      <w:pPr>
        <w:pStyle w:val="29"/>
        <w:bidi w:val="0"/>
      </w:pPr>
      <w:r>
        <w:t>根据统计，客户均对本公司的整体形象评价为非常满意程度；我公司本次客户满意度为 97.</w:t>
      </w:r>
      <w:r>
        <w:rPr>
          <w:rFonts w:hint="eastAsia"/>
          <w:lang w:val="en-US" w:eastAsia="zh-CN"/>
        </w:rPr>
        <w:t>4</w:t>
      </w:r>
      <w:r>
        <w:t>分，达到公司制定的客户满意度≥95.5分的目标值。</w:t>
      </w:r>
    </w:p>
    <w:p w14:paraId="15605F38">
      <w:pPr>
        <w:pStyle w:val="30"/>
        <w:bidi w:val="0"/>
        <w:rPr>
          <w:rFonts w:hint="default"/>
          <w:lang w:val="en-US" w:eastAsia="zh-CN"/>
        </w:rPr>
      </w:pPr>
      <w:bookmarkStart w:id="9" w:name="_Toc20709"/>
      <w:r>
        <w:rPr>
          <w:rFonts w:hint="eastAsia"/>
          <w:lang w:val="en-US" w:eastAsia="zh-CN"/>
        </w:rPr>
        <w:t>服务质量改进</w:t>
      </w:r>
      <w:bookmarkEnd w:id="9"/>
    </w:p>
    <w:p w14:paraId="5AA2000F">
      <w:pPr>
        <w:pStyle w:val="29"/>
        <w:rPr>
          <w:rFonts w:hint="default"/>
          <w:lang w:val="en-US" w:eastAsia="zh-CN"/>
        </w:rPr>
      </w:pPr>
      <w:r>
        <w:rPr>
          <w:rFonts w:hint="eastAsia"/>
          <w:lang w:val="en-US" w:eastAsia="zh-CN"/>
        </w:rPr>
        <w:t>针对内部审核发现的不符合项，有计划性的进行培训。针对客户提出的改进意见积极归纳总结。</w:t>
      </w:r>
    </w:p>
    <w:sectPr>
      <w:headerReference r:id="rId5" w:type="default"/>
      <w:footerReference r:id="rId6"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992E6C">
    <w:pPr>
      <w:spacing w:line="209" w:lineRule="auto"/>
      <w:ind w:right="4"/>
      <w:jc w:val="right"/>
      <w:rPr>
        <w:rFonts w:ascii="宋体" w:hAnsi="宋体" w:eastAsia="宋体" w:cs="宋体"/>
        <w:sz w:val="18"/>
        <w:szCs w:val="18"/>
      </w:rPr>
    </w:pPr>
    <w:r>
      <w:rPr>
        <w:rFonts w:ascii="宋体" w:hAnsi="宋体" w:eastAsia="宋体" w:cs="宋体"/>
        <w:spacing w:val="-6"/>
        <w:sz w:val="18"/>
        <w:szCs w:val="18"/>
      </w:rPr>
      <w:t>第</w:t>
    </w:r>
    <w:r>
      <w:rPr>
        <w:rFonts w:ascii="宋体" w:hAnsi="宋体" w:eastAsia="宋体" w:cs="宋体"/>
        <w:spacing w:val="11"/>
        <w:sz w:val="18"/>
        <w:szCs w:val="18"/>
      </w:rPr>
      <w:t xml:space="preserve"> </w:t>
    </w:r>
    <w:r>
      <w:rPr>
        <w:rFonts w:ascii="Calibri" w:hAnsi="Calibri" w:eastAsia="Calibri" w:cs="Calibri"/>
        <w:spacing w:val="-6"/>
        <w:sz w:val="18"/>
        <w:szCs w:val="18"/>
      </w:rPr>
      <w:t>3</w:t>
    </w:r>
    <w:r>
      <w:rPr>
        <w:rFonts w:ascii="Calibri" w:hAnsi="Calibri" w:eastAsia="Calibri" w:cs="Calibri"/>
        <w:spacing w:val="9"/>
        <w:sz w:val="18"/>
        <w:szCs w:val="18"/>
      </w:rPr>
      <w:t xml:space="preserve">  </w:t>
    </w:r>
    <w:r>
      <w:rPr>
        <w:rFonts w:ascii="宋体" w:hAnsi="宋体" w:eastAsia="宋体" w:cs="宋体"/>
        <w:spacing w:val="-6"/>
        <w:sz w:val="18"/>
        <w:szCs w:val="18"/>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BA05B4">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38E2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938</Words>
  <Characters>1017</Characters>
  <Lines>0</Lines>
  <Paragraphs>0</Paragraphs>
  <TotalTime>0</TotalTime>
  <ScaleCrop>false</ScaleCrop>
  <LinksUpToDate>false</LinksUpToDate>
  <CharactersWithSpaces>1033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2025-09-15T08:56:30Z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