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8CE9D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7D0492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957A258">
      <w:pPr>
        <w:pStyle w:val="26"/>
        <w:keepLines w:val="0"/>
        <w:pageBreakBefore w:val="0"/>
        <w:widowControl w:val="0"/>
        <w:wordWrap/>
        <w:overflowPunct/>
        <w:bidi w:val="0"/>
      </w:pPr>
      <w:bookmarkStart w:id="0" w:name="_Toc603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08D352E">
      <w:pPr>
        <w:pStyle w:val="27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830"/>
      <w:r>
        <w:rPr>
          <w:rFonts w:hint="eastAsia"/>
          <w:lang w:val="en-US" w:eastAsia="zh-CN"/>
        </w:rPr>
        <w:t>人员储备管理制度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6E644E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9A7660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1DFA47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A6DA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3383850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B8C06B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1872E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538DCC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E4A3A0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05D79374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2BA02C95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B1EDE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17D0F9C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29C2BF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1D0A7B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344AF5E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A3813E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E2F6C5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377CFA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4E879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4540BE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0B9801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80059D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322128629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322128629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1DBCA71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78078D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248A1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559F9EC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713501C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F8D1E72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E71413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CA4B65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A09221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E9FF0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850224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C9C4AD0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35EB5A79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FE4314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98785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D330500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2F4A9F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2F5503F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F910786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B5F2FA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138AB8E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0323CF4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E87D0F3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8A1FA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E63753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F17D4D7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4BAC3C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C7230C9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1EA7DE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08D132DD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99267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4599481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95CEF48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5B90FDC2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1E2D5FD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593AE78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75874B3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3974C3CC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487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3118824">
          <w:pPr>
            <w:keepLines w:val="0"/>
            <w:pageBreakBefore w:val="0"/>
            <w:widowControl w:val="0"/>
            <w:wordWrap/>
            <w:overflowPunct/>
            <w:bidi w:val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BBFDB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_Toc6031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89A5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人员储备管理制度</w:t>
          </w:r>
          <w:r>
            <w:tab/>
          </w:r>
          <w:r>
            <w:fldChar w:fldCharType="begin"/>
          </w:r>
          <w:r>
            <w:instrText xml:space="preserve"> PAGEREF _Toc2830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F3FBF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_Toc24065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_Toc24065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F3283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原则</w:t>
          </w:r>
          <w:r>
            <w:tab/>
          </w:r>
          <w:r>
            <w:fldChar w:fldCharType="begin"/>
          </w:r>
          <w:r>
            <w:instrText xml:space="preserve"> PAGEREF _Toc12743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62360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_Toc4551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1E5AE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_Toc23610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_Toc23610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DE3680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5F2192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_Toc16930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FC59E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人才储备实施</w:t>
          </w:r>
          <w:r>
            <w:tab/>
          </w:r>
          <w:r>
            <w:fldChar w:fldCharType="begin"/>
          </w:r>
          <w:r>
            <w:instrText xml:space="preserve"> PAGEREF _Toc31453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6B57A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内部人才储备</w:t>
          </w:r>
          <w:r>
            <w:tab/>
          </w:r>
          <w:r>
            <w:fldChar w:fldCharType="begin"/>
          </w:r>
          <w:r>
            <w:instrText xml:space="preserve"> PAGEREF _Toc31944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0F06C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_Toc5217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人才盘点</w:t>
          </w:r>
          <w:r>
            <w:tab/>
          </w:r>
          <w:r>
            <w:fldChar w:fldCharType="begin"/>
          </w:r>
          <w:r>
            <w:instrText xml:space="preserve"> PAGEREF _Toc5217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B676E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人才归档</w:t>
          </w:r>
          <w:r>
            <w:tab/>
          </w:r>
          <w:r>
            <w:fldChar w:fldCharType="begin"/>
          </w:r>
          <w:r>
            <w:instrText xml:space="preserve"> PAGEREF _Toc20602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4B3D2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人才选拔</w:t>
          </w:r>
          <w:r>
            <w:tab/>
          </w:r>
          <w:r>
            <w:fldChar w:fldCharType="begin"/>
          </w:r>
          <w:r>
            <w:instrText xml:space="preserve"> PAGEREF _Toc17080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B433BF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外部人才储备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D26B55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_Toc24261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75F98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附则</w:t>
          </w:r>
          <w:r>
            <w:tab/>
          </w:r>
          <w:r>
            <w:fldChar w:fldCharType="begin"/>
          </w:r>
          <w:r>
            <w:instrText xml:space="preserve"> PAGEREF _Toc17446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AD1D4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_Toc32355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90082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记录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7435F3">
          <w:pPr>
            <w:keepLines w:val="0"/>
            <w:pageBreakBefore w:val="0"/>
            <w:widowControl w:val="0"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8E91791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1DF891F4">
      <w:pPr>
        <w:keepLines w:val="0"/>
        <w:pageBreakBefore w:val="0"/>
        <w:widowControl w:val="0"/>
        <w:wordWrap/>
        <w:overflowPunct/>
        <w:bidi w:val="0"/>
      </w:pPr>
    </w:p>
    <w:p w14:paraId="6209681D">
      <w:pPr>
        <w:pStyle w:val="30"/>
        <w:keepLines w:val="0"/>
        <w:pageBreakBefore w:val="0"/>
        <w:widowControl w:val="0"/>
        <w:wordWrap/>
        <w:overflowPunct/>
        <w:bidi w:val="0"/>
      </w:pPr>
      <w:bookmarkStart w:id="2" w:name="_Toc24065"/>
      <w:r>
        <w:t>目的</w:t>
      </w:r>
      <w:bookmarkEnd w:id="2"/>
    </w:p>
    <w:p w14:paraId="60F42F23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为加强公司的人力资源管理,完善公司用人机制,提高招聘</w:t>
      </w:r>
      <w:r>
        <w:rPr>
          <w:rFonts w:ascii="宋体" w:hAnsi="宋体" w:eastAsia="宋体" w:cs="宋体"/>
          <w:spacing w:val="-1"/>
          <w:sz w:val="24"/>
          <w:szCs w:val="24"/>
        </w:rPr>
        <w:t>质量,降低招聘成本,特制定本</w:t>
      </w:r>
      <w:r>
        <w:rPr>
          <w:rFonts w:ascii="宋体" w:hAnsi="宋体" w:eastAsia="宋体" w:cs="宋体"/>
          <w:spacing w:val="-4"/>
          <w:sz w:val="24"/>
          <w:szCs w:val="24"/>
        </w:rPr>
        <w:t>管理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4"/>
          <w:sz w:val="24"/>
          <w:szCs w:val="24"/>
        </w:rPr>
        <w:t>。</w:t>
      </w:r>
    </w:p>
    <w:p w14:paraId="6425DF36">
      <w:pPr>
        <w:pStyle w:val="30"/>
        <w:keepLines w:val="0"/>
        <w:pageBreakBefore w:val="0"/>
        <w:widowControl w:val="0"/>
        <w:wordWrap/>
        <w:overflowPunct/>
        <w:bidi w:val="0"/>
      </w:pPr>
      <w:bookmarkStart w:id="3" w:name="bookmark2"/>
      <w:bookmarkEnd w:id="3"/>
      <w:bookmarkStart w:id="4" w:name="_Toc12743"/>
      <w:r>
        <w:t>原则</w:t>
      </w:r>
      <w:bookmarkEnd w:id="4"/>
    </w:p>
    <w:p w14:paraId="17A6DC87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人才储备适度的原则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1E99F82D">
      <w:pPr>
        <w:pStyle w:val="30"/>
        <w:keepLines w:val="0"/>
        <w:pageBreakBefore w:val="0"/>
        <w:widowControl w:val="0"/>
        <w:wordWrap/>
        <w:overflowPunct/>
        <w:bidi w:val="0"/>
      </w:pPr>
      <w:bookmarkStart w:id="5" w:name="bookmark3"/>
      <w:bookmarkEnd w:id="5"/>
      <w:bookmarkStart w:id="6" w:name="_Toc4551"/>
      <w:r>
        <w:t>适用范围</w:t>
      </w:r>
      <w:bookmarkEnd w:id="6"/>
    </w:p>
    <w:p w14:paraId="385830E0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适应于符合公司录用、培训、调迁、晋升条件的所有人员。</w:t>
      </w:r>
    </w:p>
    <w:p w14:paraId="512E52F0">
      <w:pPr>
        <w:pStyle w:val="30"/>
        <w:keepLines w:val="0"/>
        <w:pageBreakBefore w:val="0"/>
        <w:widowControl w:val="0"/>
        <w:wordWrap/>
        <w:overflowPunct/>
        <w:bidi w:val="0"/>
      </w:pPr>
      <w:bookmarkStart w:id="7" w:name="_Toc23610"/>
      <w:r>
        <w:rPr>
          <w:rFonts w:hint="eastAsia"/>
          <w:lang w:val="en-US" w:eastAsia="zh-CN"/>
        </w:rPr>
        <w:t>岗位职责</w:t>
      </w:r>
      <w:bookmarkEnd w:id="7"/>
    </w:p>
    <w:p w14:paraId="5E38EB6F">
      <w:pPr>
        <w:pStyle w:val="32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8" w:name="_Toc2107"/>
      <w:r>
        <w:rPr>
          <w:rFonts w:hint="eastAsia"/>
          <w:lang w:val="en-US" w:eastAsia="zh-CN"/>
        </w:rPr>
        <w:t>人力部</w:t>
      </w:r>
      <w:bookmarkEnd w:id="8"/>
    </w:p>
    <w:p w14:paraId="6C83BB5B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420118F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负责与其他部门沟通，了解人员构成情况、人员能力情况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533894C2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负责根据公司实际情况，指定人员储备计划</w:t>
      </w:r>
    </w:p>
    <w:p w14:paraId="744B460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负责人员储备进展情况跟进,及时向相关部门汇报.</w:t>
      </w:r>
    </w:p>
    <w:p w14:paraId="79554702">
      <w:pPr>
        <w:pStyle w:val="32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9" w:name="_Toc16930"/>
      <w:r>
        <w:rPr>
          <w:rFonts w:hint="eastAsia"/>
          <w:lang w:val="en-US" w:eastAsia="zh-CN"/>
        </w:rPr>
        <w:t>其他运维相关部门</w:t>
      </w:r>
      <w:bookmarkEnd w:id="9"/>
    </w:p>
    <w:p w14:paraId="34EB3DA7">
      <w:pPr>
        <w:pStyle w:val="31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负责及时上报人员储备情况</w:t>
      </w:r>
    </w:p>
    <w:p w14:paraId="220079BB">
      <w:pPr>
        <w:pStyle w:val="31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负责按制度对人员进行考核，并及时向人力部汇报。</w:t>
      </w:r>
      <w:bookmarkStart w:id="10" w:name="bookmark4"/>
      <w:bookmarkEnd w:id="10"/>
      <w:r>
        <w:rPr>
          <w:rFonts w:hint="eastAsia"/>
          <w:lang w:val="en-US" w:eastAsia="zh-CN"/>
        </w:rPr>
        <w:t>人才储备实施</w:t>
      </w:r>
    </w:p>
    <w:p w14:paraId="3DEB25F5">
      <w:pPr>
        <w:pStyle w:val="3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</w:pPr>
      <w:bookmarkStart w:id="11" w:name="bookmark5"/>
      <w:bookmarkEnd w:id="11"/>
      <w:bookmarkStart w:id="12" w:name="_Toc31453"/>
      <w:r>
        <w:rPr>
          <w:rFonts w:hint="eastAsia"/>
          <w:lang w:val="en-US" w:eastAsia="zh-CN"/>
        </w:rPr>
        <w:t>人才储备实施</w:t>
      </w:r>
      <w:bookmarkEnd w:id="12"/>
    </w:p>
    <w:p w14:paraId="75E53F7C">
      <w:pPr>
        <w:pStyle w:val="32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</w:pPr>
      <w:bookmarkStart w:id="13" w:name="_Toc31944"/>
      <w:r>
        <w:t>内部人才储备</w:t>
      </w:r>
      <w:bookmarkEnd w:id="13"/>
    </w:p>
    <w:p w14:paraId="7966BDBE">
      <w:pPr>
        <w:pStyle w:val="33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/>
          <w:lang w:val="en-US" w:eastAsia="zh-CN"/>
        </w:rPr>
      </w:pPr>
      <w:bookmarkStart w:id="14" w:name="_Toc5217"/>
      <w:r>
        <w:rPr>
          <w:rFonts w:hint="eastAsia"/>
          <w:lang w:val="en-US" w:eastAsia="zh-CN"/>
        </w:rPr>
        <w:t>人才盘点</w:t>
      </w:r>
      <w:bookmarkEnd w:id="14"/>
    </w:p>
    <w:p w14:paraId="6F37FDCC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根据公司年度经营发展需要，对本公司所有人才状</w:t>
      </w:r>
      <w:r>
        <w:rPr>
          <w:rFonts w:ascii="宋体" w:hAnsi="宋体" w:eastAsia="宋体" w:cs="宋体"/>
          <w:spacing w:val="1"/>
          <w:sz w:val="24"/>
          <w:szCs w:val="24"/>
        </w:rPr>
        <w:t>况进行盘点，确定本公司各岗</w:t>
      </w:r>
      <w:r>
        <w:rPr>
          <w:rFonts w:ascii="宋体" w:hAnsi="宋体" w:eastAsia="宋体" w:cs="宋体"/>
          <w:spacing w:val="-6"/>
          <w:sz w:val="24"/>
          <w:szCs w:val="24"/>
        </w:rPr>
        <w:t>位的定编人数及需要储备后备人才的关键岗位</w:t>
      </w:r>
      <w:r>
        <w:rPr>
          <w:rStyle w:val="25"/>
          <w:rFonts w:ascii="宋体" w:hAnsi="宋体" w:eastAsia="宋体" w:cs="宋体"/>
          <w:spacing w:val="-6"/>
          <w:sz w:val="24"/>
          <w:szCs w:val="24"/>
        </w:rPr>
        <w:footnoteReference w:id="0"/>
      </w:r>
      <w:r>
        <w:rPr>
          <w:rFonts w:ascii="宋体" w:hAnsi="宋体" w:eastAsia="宋体" w:cs="宋体"/>
          <w:spacing w:val="-6"/>
          <w:sz w:val="24"/>
          <w:szCs w:val="24"/>
        </w:rPr>
        <w:t>，并填写《人才盘点表》，《人才盘点表》</w:t>
      </w:r>
      <w:r>
        <w:rPr>
          <w:rFonts w:ascii="宋体" w:hAnsi="宋体" w:eastAsia="宋体" w:cs="宋体"/>
          <w:spacing w:val="1"/>
          <w:sz w:val="24"/>
          <w:szCs w:val="24"/>
        </w:rPr>
        <w:t>应包括岗位定编人数、关键岗位、关键岗位任</w:t>
      </w:r>
      <w:r>
        <w:rPr>
          <w:rFonts w:ascii="宋体" w:hAnsi="宋体" w:eastAsia="宋体" w:cs="宋体"/>
          <w:sz w:val="24"/>
          <w:szCs w:val="24"/>
        </w:rPr>
        <w:t>职要求。关键岗位的范围包括公司业</w:t>
      </w:r>
      <w:r>
        <w:rPr>
          <w:rFonts w:ascii="宋体" w:hAnsi="宋体" w:eastAsia="宋体" w:cs="宋体"/>
          <w:spacing w:val="-1"/>
          <w:sz w:val="24"/>
          <w:szCs w:val="24"/>
        </w:rPr>
        <w:t>务管理人员、各技术骨干。</w:t>
      </w:r>
    </w:p>
    <w:p w14:paraId="6059344E">
      <w:pPr>
        <w:pStyle w:val="33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5" w:name="_Toc20602"/>
      <w:r>
        <w:rPr>
          <w:rFonts w:hint="eastAsia"/>
          <w:lang w:val="en-US" w:eastAsia="zh-CN"/>
        </w:rPr>
        <w:t>人才归档</w:t>
      </w:r>
      <w:bookmarkEnd w:id="15"/>
    </w:p>
    <w:p w14:paraId="2E50DFC0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sz w:val="24"/>
          <w:szCs w:val="24"/>
        </w:rPr>
        <w:t>关键岗位确定后，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负责建立关键岗位人员</w:t>
      </w:r>
      <w:r>
        <w:rPr>
          <w:rFonts w:ascii="宋体" w:hAnsi="宋体" w:eastAsia="宋体" w:cs="宋体"/>
          <w:spacing w:val="1"/>
          <w:sz w:val="24"/>
          <w:szCs w:val="24"/>
        </w:rPr>
        <w:t>的发展档案，记录关键岗位人员</w:t>
      </w:r>
      <w:r>
        <w:rPr>
          <w:rFonts w:ascii="宋体" w:hAnsi="宋体" w:eastAsia="宋体" w:cs="宋体"/>
          <w:spacing w:val="-3"/>
          <w:sz w:val="24"/>
          <w:szCs w:val="24"/>
        </w:rPr>
        <w:t>的基本信息、考核情况、培训和其他数据资料,由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经理审核后入人才储备库并制成</w:t>
      </w:r>
      <w:r>
        <w:rPr>
          <w:rFonts w:ascii="宋体" w:hAnsi="宋体" w:eastAsia="宋体" w:cs="宋体"/>
          <w:spacing w:val="-6"/>
          <w:sz w:val="24"/>
          <w:szCs w:val="24"/>
        </w:rPr>
        <w:t>电子档案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。</w:t>
      </w:r>
    </w:p>
    <w:p w14:paraId="4F0118F3">
      <w:pPr>
        <w:pStyle w:val="33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6" w:name="_Toc17080"/>
      <w:r>
        <w:rPr>
          <w:rFonts w:hint="eastAsia"/>
          <w:lang w:val="en-US" w:eastAsia="zh-CN"/>
        </w:rPr>
        <w:t>人才选拔</w:t>
      </w:r>
      <w:bookmarkEnd w:id="16"/>
    </w:p>
    <w:p w14:paraId="048F561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根据人才盘点结果，对各级后备人才进行选拔评估，填写《后备人才评估表》，主</w:t>
      </w:r>
      <w:r>
        <w:rPr>
          <w:rFonts w:ascii="宋体" w:hAnsi="宋体" w:eastAsia="宋体" w:cs="宋体"/>
          <w:spacing w:val="1"/>
          <w:sz w:val="24"/>
          <w:szCs w:val="24"/>
        </w:rPr>
        <w:t>要为沟通协调能力、管理能力、学习能力、专业</w:t>
      </w:r>
      <w:r>
        <w:rPr>
          <w:rFonts w:ascii="宋体" w:hAnsi="宋体" w:eastAsia="宋体" w:cs="宋体"/>
          <w:sz w:val="24"/>
          <w:szCs w:val="24"/>
        </w:rPr>
        <w:t>技能、待任岗位的认知度的考核。评估</w:t>
      </w:r>
      <w:r>
        <w:rPr>
          <w:rFonts w:ascii="宋体" w:hAnsi="宋体" w:eastAsia="宋体" w:cs="宋体"/>
          <w:spacing w:val="1"/>
          <w:sz w:val="24"/>
          <w:szCs w:val="24"/>
        </w:rPr>
        <w:t>合格者将正式成为公司后备人才，纳入人才培养计划，并由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最终形成公司关键岗</w:t>
      </w:r>
      <w:r>
        <w:rPr>
          <w:rFonts w:ascii="宋体" w:hAnsi="宋体" w:eastAsia="宋体" w:cs="宋体"/>
          <w:spacing w:val="1"/>
          <w:sz w:val="24"/>
          <w:szCs w:val="24"/>
        </w:rPr>
        <w:t>位和后备人选汇总表，经总经理审批后,由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备案,做为人</w:t>
      </w:r>
      <w:r>
        <w:rPr>
          <w:rFonts w:ascii="宋体" w:hAnsi="宋体" w:eastAsia="宋体" w:cs="宋体"/>
          <w:sz w:val="24"/>
          <w:szCs w:val="24"/>
        </w:rPr>
        <w:t>员增补、调迁、晋升的依</w:t>
      </w:r>
      <w:r>
        <w:rPr>
          <w:rFonts w:ascii="宋体" w:hAnsi="宋体" w:eastAsia="宋体" w:cs="宋体"/>
          <w:spacing w:val="-5"/>
          <w:sz w:val="24"/>
          <w:szCs w:val="24"/>
        </w:rPr>
        <w:t>据。</w:t>
      </w:r>
    </w:p>
    <w:p w14:paraId="793212BF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公司根据后备人才名单，为其指定</w:t>
      </w:r>
      <w:r>
        <w:rPr>
          <w:rFonts w:ascii="宋体" w:hAnsi="宋体" w:eastAsia="宋体" w:cs="宋体"/>
          <w:spacing w:val="1"/>
          <w:sz w:val="24"/>
          <w:szCs w:val="24"/>
        </w:rPr>
        <w:t>具有针对性的提升培养方案，培养方式包括培</w:t>
      </w:r>
      <w:r>
        <w:rPr>
          <w:rFonts w:ascii="宋体" w:hAnsi="宋体" w:eastAsia="宋体" w:cs="宋体"/>
          <w:spacing w:val="-3"/>
          <w:sz w:val="24"/>
          <w:szCs w:val="24"/>
        </w:rPr>
        <w:t>训课程、轮岗计划、继续教育、参与新项目建设等，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负责培养计</w:t>
      </w:r>
      <w:r>
        <w:rPr>
          <w:rFonts w:ascii="宋体" w:hAnsi="宋体" w:eastAsia="宋体" w:cs="宋体"/>
          <w:spacing w:val="-4"/>
          <w:sz w:val="24"/>
          <w:szCs w:val="24"/>
        </w:rPr>
        <w:t>划的报批、实施、</w:t>
      </w:r>
      <w:r>
        <w:rPr>
          <w:rFonts w:ascii="宋体" w:hAnsi="宋体" w:eastAsia="宋体" w:cs="宋体"/>
          <w:spacing w:val="-1"/>
          <w:sz w:val="24"/>
          <w:szCs w:val="24"/>
        </w:rPr>
        <w:t>跟踪和反馈工作。</w:t>
      </w:r>
    </w:p>
    <w:p w14:paraId="2B9C4F0D">
      <w:pPr>
        <w:pStyle w:val="32"/>
        <w:keepLines w:val="0"/>
        <w:pageBreakBefore w:val="0"/>
        <w:widowControl w:val="0"/>
        <w:wordWrap/>
        <w:overflowPunct/>
        <w:bidi w:val="0"/>
      </w:pPr>
      <w:bookmarkStart w:id="17" w:name="bookmark6"/>
      <w:bookmarkEnd w:id="17"/>
      <w:bookmarkStart w:id="18" w:name="_Toc10958"/>
      <w:r>
        <w:t>外部人才储备</w:t>
      </w:r>
      <w:bookmarkEnd w:id="18"/>
    </w:p>
    <w:p w14:paraId="5A9291A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符合下列条款之一的，可列入公司人才储备库：</w:t>
      </w:r>
    </w:p>
    <w:p w14:paraId="45217EDC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公司离职人员的的储备:主要针对已按《劳动合同管理制度》与公司正常解除劳动关系且在公司表现较好者。</w:t>
      </w:r>
    </w:p>
    <w:p w14:paraId="349A22F3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参加过公司面试且表现较好，但因客观因素没被录用者。</w:t>
      </w:r>
    </w:p>
    <w:p w14:paraId="11C351E8">
      <w:pPr>
        <w:keepNext w:val="0"/>
        <w:keepLines w:val="0"/>
        <w:pageBreakBefore w:val="0"/>
        <w:widowControl w:val="0"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在各人才市场或人才招聘网站收集到的有效信息</w:t>
      </w:r>
      <w:r>
        <w:rPr>
          <w:rStyle w:val="25"/>
          <w:rFonts w:ascii="宋体" w:hAnsi="宋体" w:eastAsia="宋体" w:cs="宋体"/>
          <w:spacing w:val="2"/>
          <w:sz w:val="24"/>
          <w:szCs w:val="24"/>
        </w:rPr>
        <w:footnoteReference w:id="1"/>
      </w:r>
      <w:r>
        <w:rPr>
          <w:rFonts w:ascii="宋体" w:hAnsi="宋体" w:eastAsia="宋体" w:cs="宋体"/>
          <w:spacing w:val="2"/>
          <w:sz w:val="24"/>
          <w:szCs w:val="24"/>
        </w:rPr>
        <w:t>。</w:t>
      </w:r>
    </w:p>
    <w:p w14:paraId="292AAF38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人才储备的管理及运作由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主导，各部门应全力配合，及时做好人才储备信息的更新工作。</w:t>
      </w:r>
    </w:p>
    <w:p w14:paraId="2F46414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8" w:firstLineChars="20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每年年底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2"/>
          <w:sz w:val="24"/>
          <w:szCs w:val="24"/>
        </w:rPr>
        <w:t>负责对人才储备库进行盘点，核实人才储备信息的有效性和准确性，并对失效的信息经确认审核后删除。</w:t>
      </w:r>
    </w:p>
    <w:p w14:paraId="04F8D165">
      <w:pPr>
        <w:pStyle w:val="32"/>
        <w:keepLines w:val="0"/>
        <w:pageBreakBefore w:val="0"/>
        <w:widowControl w:val="0"/>
        <w:wordWrap/>
        <w:overflowPunct/>
        <w:bidi w:val="0"/>
      </w:pPr>
      <w:bookmarkStart w:id="19" w:name="_Toc24261"/>
      <w:r>
        <w:rPr>
          <w:rFonts w:hint="eastAsia"/>
          <w:lang w:val="en-US" w:eastAsia="zh-CN"/>
        </w:rPr>
        <w:t>考核指标</w:t>
      </w:r>
      <w:bookmarkEnd w:id="19"/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04477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5517A9A5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4C61324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7A7D037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1C3B27A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6532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35216C8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人员储备完成率</w:t>
            </w:r>
          </w:p>
        </w:tc>
        <w:tc>
          <w:tcPr>
            <w:tcW w:w="3706" w:type="dxa"/>
            <w:vAlign w:val="center"/>
          </w:tcPr>
          <w:p w14:paraId="2B6929B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1147" w:type="dxa"/>
            <w:vAlign w:val="center"/>
          </w:tcPr>
          <w:p w14:paraId="1DED8BD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46F3028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0887C190">
      <w:pPr>
        <w:pStyle w:val="30"/>
        <w:keepLines w:val="0"/>
        <w:pageBreakBefore w:val="0"/>
        <w:widowControl w:val="0"/>
        <w:wordWrap/>
        <w:overflowPunct/>
        <w:bidi w:val="0"/>
      </w:pPr>
      <w:bookmarkStart w:id="20" w:name="bookmark7"/>
      <w:bookmarkEnd w:id="20"/>
      <w:bookmarkStart w:id="21" w:name="_Toc17446"/>
      <w:r>
        <w:t>附则</w:t>
      </w:r>
      <w:bookmarkEnd w:id="21"/>
    </w:p>
    <w:p w14:paraId="1C71102A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本规定结合公司《人员招聘管理制度》、《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</w:t>
      </w:r>
      <w:r>
        <w:rPr>
          <w:rFonts w:ascii="宋体" w:hAnsi="宋体" w:eastAsia="宋体" w:cs="宋体"/>
          <w:spacing w:val="2"/>
          <w:sz w:val="24"/>
          <w:szCs w:val="24"/>
        </w:rPr>
        <w:t>培训管理制度》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人员技能评定管理制度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》、《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人员绩效考核管理制度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2"/>
          <w:sz w:val="24"/>
          <w:szCs w:val="24"/>
        </w:rPr>
        <w:t>一并实施执行。</w:t>
      </w:r>
    </w:p>
    <w:p w14:paraId="1DC38B5D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40847D6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62D26D2B">
      <w:pPr>
        <w:pStyle w:val="30"/>
        <w:keepLines w:val="0"/>
        <w:pageBreakBefore w:val="0"/>
        <w:widowControl w:val="0"/>
        <w:wordWrap/>
        <w:overflowPunct/>
        <w:bidi w:val="0"/>
      </w:pPr>
      <w:bookmarkStart w:id="22" w:name="bookmark8"/>
      <w:bookmarkEnd w:id="22"/>
      <w:bookmarkStart w:id="23" w:name="_Toc32355"/>
      <w:r>
        <w:rPr>
          <w:rFonts w:hint="eastAsia"/>
          <w:lang w:val="en-US" w:eastAsia="zh-CN"/>
        </w:rPr>
        <w:t>附件</w:t>
      </w:r>
      <w:bookmarkEnd w:id="23"/>
    </w:p>
    <w:p w14:paraId="42B47780">
      <w:pPr>
        <w:pStyle w:val="41"/>
        <w:keepLines w:val="0"/>
        <w:pageBreakBefore w:val="0"/>
        <w:widowControl w:val="0"/>
        <w:wordWrap/>
        <w:overflowPunct/>
        <w:bidi w:val="0"/>
      </w:pPr>
      <w:r>
        <w:t>《劳动合同管理制度》</w:t>
      </w:r>
      <w:bookmarkStart w:id="25" w:name="_GoBack"/>
      <w:bookmarkEnd w:id="25"/>
    </w:p>
    <w:p w14:paraId="1FECAA22">
      <w:pPr>
        <w:pStyle w:val="30"/>
        <w:keepLines w:val="0"/>
        <w:pageBreakBefore w:val="0"/>
        <w:widowControl w:val="0"/>
        <w:wordWrap/>
        <w:overflowPunct/>
        <w:bidi w:val="0"/>
      </w:pPr>
      <w:bookmarkStart w:id="24" w:name="_Toc1535"/>
      <w:r>
        <w:t>记录</w:t>
      </w:r>
      <w:bookmarkEnd w:id="24"/>
    </w:p>
    <w:p w14:paraId="3480A4B3">
      <w:pPr>
        <w:pStyle w:val="41"/>
        <w:keepLines w:val="0"/>
        <w:pageBreakBefore w:val="0"/>
        <w:widowControl w:val="0"/>
        <w:wordWrap/>
        <w:overflowPunct/>
        <w:bidi w:val="0"/>
      </w:pPr>
      <w:r>
        <w:t>《人员储备计划》</w:t>
      </w:r>
    </w:p>
    <w:p w14:paraId="65CB2BD1">
      <w:pPr>
        <w:pStyle w:val="41"/>
        <w:keepLines w:val="0"/>
        <w:pageBreakBefore w:val="0"/>
        <w:widowControl w:val="0"/>
        <w:wordWrap/>
        <w:overflowPunct/>
        <w:bidi w:val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《人才盘点表》</w:t>
      </w:r>
    </w:p>
    <w:p w14:paraId="6C5AE1E8">
      <w:pPr>
        <w:pStyle w:val="41"/>
        <w:keepLines w:val="0"/>
        <w:pageBreakBefore w:val="0"/>
        <w:widowControl w:val="0"/>
        <w:wordWrap/>
        <w:overflowPunct/>
        <w:bidi w:val="0"/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《后备人才评估表》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pPr>
        <w:spacing w:line="360" w:lineRule="auto"/>
      </w:pPr>
      <w:r>
        <w:separator/>
      </w:r>
    </w:p>
  </w:footnote>
  <w:footnote w:type="continuationSeparator" w:id="5">
    <w:p>
      <w:pPr>
        <w:spacing w:line="360" w:lineRule="auto"/>
      </w:pPr>
      <w:r>
        <w:continuationSeparator/>
      </w:r>
    </w:p>
  </w:footnote>
  <w:footnote w:id="0">
    <w:p w14:paraId="70F51BDC">
      <w:pPr>
        <w:pStyle w:val="17"/>
        <w:snapToGrid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ootnoteRef/>
      </w:r>
      <w:r>
        <w:rPr>
          <w:rFonts w:hint="eastAsia" w:eastAsia="宋体"/>
          <w:lang w:val="en-US" w:eastAsia="zh-CN"/>
        </w:rPr>
        <w:t xml:space="preserve"> 关键岗位是指对公司生产经营业务的稳定运行、公司经营收益的增长有着重要作用的岗位</w:t>
      </w:r>
    </w:p>
  </w:footnote>
  <w:footnote w:id="1">
    <w:p w14:paraId="0E3FEE69">
      <w:pPr>
        <w:pStyle w:val="17"/>
        <w:snapToGrid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ootnoteRef/>
      </w:r>
      <w:r>
        <w:rPr>
          <w:rFonts w:hint="eastAsia" w:eastAsia="宋体"/>
          <w:lang w:val="en-US" w:eastAsia="zh-CN"/>
        </w:rPr>
        <w:t xml:space="preserve"> 有效信息是指符合公司的录用条件但因客观因素没被录用者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18AB5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216DC8C"/>
    <w:multiLevelType w:val="singleLevel"/>
    <w:tmpl w:val="9216DC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2AAB9BE"/>
    <w:multiLevelType w:val="singleLevel"/>
    <w:tmpl w:val="62AAB9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4"/>
    <w:footnote w:id="5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451652"/>
    <w:rsid w:val="1DC8425E"/>
    <w:rsid w:val="2584425C"/>
    <w:rsid w:val="29437BE4"/>
    <w:rsid w:val="46E90004"/>
    <w:rsid w:val="55E2319C"/>
    <w:rsid w:val="5D465B93"/>
    <w:rsid w:val="5F9371E0"/>
    <w:rsid w:val="6E0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link w:val="4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3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3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  <w:style w:type="paragraph" w:customStyle="1" w:styleId="41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2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3">
    <w:name w:val="柴_正文 Char"/>
    <w:link w:val="31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385</Words>
  <Characters>480</Characters>
  <Lines>0</Lines>
  <Paragraphs>0</Paragraphs>
  <TotalTime>0</TotalTime>
  <ScaleCrop>false</ScaleCrop>
  <LinksUpToDate>false</LinksUpToDate>
  <CharactersWithSpaces>550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2025-09-16T08:31:27Z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