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1"/>
        <w:bidi w:val="0"/>
      </w:pPr>
      <w:bookmarkStart w:id="0" w:name="_Toc412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2"/>
        <w:bidi w:val="0"/>
        <w:rPr>
          <w:rFonts w:hint="default"/>
          <w:lang w:val="en-US"/>
        </w:rPr>
      </w:pPr>
      <w:bookmarkStart w:id="1" w:name="_Toc13391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19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3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4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4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4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4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4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4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4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4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4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4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4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4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4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4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4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4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4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4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4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4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4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4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4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4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4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4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604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600CEF8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t>目录</w:t>
          </w:r>
        </w:p>
        <w:p w14:paraId="039DB8C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_Toc4128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_Toc4128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257D1BA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_Toc13391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_Toc13391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D66E65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_Toc21083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_Toc21083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60F7DB8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_Toc2400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_Toc2400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4230AFDC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_Toc24069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ascii="宋体" w:hAnsi="宋体" w:eastAsia="宋体" w:cs="宋体"/>
              <w:spacing w:val="-3"/>
              <w:szCs w:val="24"/>
            </w:rPr>
            <w:t>本制度适用于公司的运维人员的技能评定及管理。</w:t>
          </w:r>
          <w:r>
            <w:tab/>
          </w:r>
          <w:r>
            <w:fldChar w:fldCharType="begin"/>
          </w:r>
          <w:r>
            <w:instrText xml:space="preserve"> PAGEREF _Toc24069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FB0BD0B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_Toc11115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部门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_Toc11115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A8041C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_Toc30694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3.1.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_Toc30694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6C938FE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_Toc28763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3.2. </w:t>
          </w:r>
          <w:r>
            <w:t>运维部</w:t>
          </w:r>
          <w:r>
            <w:tab/>
          </w:r>
          <w:r>
            <w:fldChar w:fldCharType="begin"/>
          </w:r>
          <w:r>
            <w:instrText xml:space="preserve"> PAGEREF _Toc28763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2F64F20F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_Toc14716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t>工作内容</w:t>
          </w:r>
          <w:r>
            <w:tab/>
          </w:r>
          <w:r>
            <w:fldChar w:fldCharType="begin"/>
          </w:r>
          <w:r>
            <w:instrText xml:space="preserve"> PAGEREF _Toc14716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CE27DD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_Toc8713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_Toc8713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E02EEE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_Toc19012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_Toc19012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92B89C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_Toc25312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评定实施</w:t>
          </w:r>
          <w:r>
            <w:tab/>
          </w:r>
          <w:r>
            <w:fldChar w:fldCharType="begin"/>
          </w:r>
          <w:r>
            <w:instrText xml:space="preserve"> PAGEREF _Toc25312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A4492C7"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_Toc84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_Toc84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71F5A32"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_Toc24717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4.3.2.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_Toc24717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113EB3AE"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_Toc2772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_Toc2772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71486A2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_Toc3359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_Toc3359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3DF8BDC4">
          <w:pPr>
            <w:pStyle w:val="1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Cs w:val="28"/>
            </w:rPr>
            <w:instrText xml:space="preserve"> HYPERLINK \l _Toc7436 </w:instrText>
          </w:r>
          <w:r>
            <w:rPr>
              <w:rFonts w:hint="eastAsia" w:ascii="宋体" w:hAnsi="宋体" w:eastAsia="宋体" w:cs="宋体"/>
              <w:szCs w:val="28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_Toc7436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  <w:p w14:paraId="5B6215B1">
          <w:r>
            <w:rPr>
              <w:rFonts w:hint="eastAsia" w:ascii="宋体" w:hAnsi="宋体" w:eastAsia="宋体" w:cs="宋体"/>
              <w:szCs w:val="28"/>
            </w:rPr>
            <w:fldChar w:fldCharType="end"/>
          </w:r>
        </w:p>
      </w:sdtContent>
    </w:sdt>
    <w:p w14:paraId="101225AE"/>
    <w:p w14:paraId="73042247">
      <w:r>
        <w:br w:type="page"/>
      </w:r>
    </w:p>
    <w:p w14:paraId="28F9767D">
      <w:pPr>
        <w:pStyle w:val="25"/>
        <w:bidi w:val="0"/>
      </w:pPr>
      <w:bookmarkStart w:id="2" w:name="_Toc21083"/>
      <w:r>
        <w:t>目的</w:t>
      </w:r>
      <w:bookmarkEnd w:id="2"/>
    </w:p>
    <w:p w14:paraId="5089519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</w:t>
      </w:r>
      <w:bookmarkStart w:id="4" w:name="bookmark2"/>
      <w:bookmarkEnd w:id="4"/>
      <w:r>
        <w:rPr>
          <w:rFonts w:ascii="宋体" w:hAnsi="宋体" w:eastAsia="宋体" w:cs="宋体"/>
          <w:spacing w:val="-3"/>
          <w:sz w:val="24"/>
          <w:szCs w:val="24"/>
        </w:rPr>
        <w:t>员工能力培训及发展、绩效评定、定薪和薪酬调整的重要依据。</w:t>
      </w:r>
    </w:p>
    <w:p w14:paraId="4F73DDFA">
      <w:pPr>
        <w:pStyle w:val="25"/>
        <w:bidi w:val="0"/>
      </w:pPr>
      <w:bookmarkStart w:id="5" w:name="bookmark3"/>
      <w:bookmarkEnd w:id="5"/>
      <w:bookmarkStart w:id="6" w:name="_Toc2400"/>
      <w:r>
        <w:t>范围</w:t>
      </w:r>
      <w:bookmarkEnd w:id="6"/>
    </w:p>
    <w:p w14:paraId="5FB562B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outlineLvl w:val="0"/>
        <w:rPr>
          <w:rFonts w:ascii="宋体" w:hAnsi="宋体" w:eastAsia="宋体" w:cs="宋体"/>
          <w:spacing w:val="-3"/>
          <w:sz w:val="24"/>
          <w:szCs w:val="24"/>
        </w:rPr>
      </w:pPr>
      <w:bookmarkStart w:id="7" w:name="bookmark4"/>
      <w:bookmarkEnd w:id="7"/>
      <w:bookmarkStart w:id="8" w:name="_Toc24069"/>
      <w:r>
        <w:rPr>
          <w:rFonts w:ascii="宋体" w:hAnsi="宋体" w:eastAsia="宋体" w:cs="宋体"/>
          <w:spacing w:val="-3"/>
          <w:sz w:val="24"/>
          <w:szCs w:val="24"/>
        </w:rPr>
        <w:t>本制度适用于公司的运维人员的技能评定及管理。</w:t>
      </w:r>
      <w:bookmarkEnd w:id="8"/>
    </w:p>
    <w:p w14:paraId="645E50B2">
      <w:pPr>
        <w:pStyle w:val="25"/>
        <w:bidi w:val="0"/>
      </w:pPr>
      <w:bookmarkStart w:id="9" w:name="bookmark5"/>
      <w:bookmarkEnd w:id="9"/>
      <w:bookmarkStart w:id="10" w:name="_Toc11115"/>
      <w:r>
        <w:rPr>
          <w:rFonts w:hint="eastAsia"/>
          <w:lang w:val="en-US" w:eastAsia="zh-CN"/>
        </w:rPr>
        <w:t>部门</w:t>
      </w:r>
      <w:r>
        <w:t>职责</w:t>
      </w:r>
      <w:bookmarkEnd w:id="10"/>
    </w:p>
    <w:p w14:paraId="4FE772A9">
      <w:pPr>
        <w:pStyle w:val="26"/>
        <w:bidi w:val="0"/>
      </w:pPr>
      <w:bookmarkStart w:id="11" w:name="bookmark6"/>
      <w:bookmarkEnd w:id="11"/>
      <w:bookmarkStart w:id="12" w:name="_Toc30694"/>
      <w:r>
        <w:rPr>
          <w:rFonts w:hint="eastAsia"/>
          <w:lang w:val="en-US" w:eastAsia="zh-CN"/>
        </w:rPr>
        <w:t>人力</w:t>
      </w:r>
      <w:r>
        <w:t>部</w:t>
      </w:r>
      <w:bookmarkEnd w:id="12"/>
    </w:p>
    <w:p w14:paraId="6F4A09A6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5A99183B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46E1BA17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0E96D13E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4E445CA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4A6AE2BB">
      <w:pPr>
        <w:pStyle w:val="26"/>
        <w:bidi w:val="0"/>
      </w:pPr>
      <w:bookmarkStart w:id="13" w:name="bookmark7"/>
      <w:bookmarkEnd w:id="13"/>
      <w:bookmarkStart w:id="14" w:name="_Toc28763"/>
      <w:r>
        <w:t>运维部</w:t>
      </w:r>
      <w:bookmarkEnd w:id="14"/>
    </w:p>
    <w:p w14:paraId="1CF6A40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45878DF8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464E50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2D7EBE10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负责评定结果的备案；</w:t>
      </w:r>
    </w:p>
    <w:p w14:paraId="1B54D32F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7B6FA4">
      <w:pPr>
        <w:pStyle w:val="25"/>
        <w:bidi w:val="0"/>
      </w:pPr>
      <w:bookmarkStart w:id="15" w:name="bookmark8"/>
      <w:bookmarkEnd w:id="15"/>
      <w:bookmarkStart w:id="16" w:name="_Toc14716"/>
      <w:r>
        <w:t>工作内容</w:t>
      </w:r>
      <w:bookmarkEnd w:id="16"/>
    </w:p>
    <w:p w14:paraId="6CBD744B">
      <w:pPr>
        <w:pStyle w:val="26"/>
        <w:bidi w:val="0"/>
      </w:pPr>
      <w:bookmarkStart w:id="17" w:name="_Toc8713"/>
      <w:r>
        <w:t>建立岗位技能标准</w:t>
      </w:r>
      <w:bookmarkEnd w:id="17"/>
    </w:p>
    <w:p w14:paraId="55772097">
      <w:pPr>
        <w:numPr>
          <w:ilvl w:val="0"/>
          <w:numId w:val="4"/>
        </w:numPr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4BEA62FA">
      <w:pPr>
        <w:numPr>
          <w:ilvl w:val="0"/>
          <w:numId w:val="4"/>
        </w:numPr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49B9D532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2A18B08E">
      <w:pPr>
        <w:numPr>
          <w:ilvl w:val="0"/>
          <w:numId w:val="4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1065543E">
      <w:pPr>
        <w:pStyle w:val="26"/>
        <w:bidi w:val="0"/>
      </w:pPr>
      <w:bookmarkStart w:id="18" w:name="_Toc19012"/>
      <w:r>
        <w:t>评定员工技能</w:t>
      </w:r>
      <w:bookmarkEnd w:id="18"/>
    </w:p>
    <w:p w14:paraId="529ABA8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224B400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3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5EA71A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  <w:vAlign w:val="top"/>
          </w:tcPr>
          <w:p w14:paraId="085D1898">
            <w:pPr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63C5F7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  <w:vAlign w:val="top"/>
          </w:tcPr>
          <w:p w14:paraId="74C24B46">
            <w:pPr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  <w:vAlign w:val="top"/>
          </w:tcPr>
          <w:p w14:paraId="4E842B72">
            <w:pPr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  <w:vAlign w:val="top"/>
          </w:tcPr>
          <w:p w14:paraId="6779A9A5">
            <w:pPr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  <w:vAlign w:val="top"/>
          </w:tcPr>
          <w:p w14:paraId="2AFC00EA">
            <w:pPr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  <w:vAlign w:val="top"/>
          </w:tcPr>
          <w:p w14:paraId="4526F6AC">
            <w:pPr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05A1F04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9FCE226">
            <w:pPr>
              <w:pStyle w:val="24"/>
              <w:spacing w:line="250" w:lineRule="auto"/>
            </w:pPr>
          </w:p>
          <w:p w14:paraId="7492853A">
            <w:pPr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top"/>
          </w:tcPr>
          <w:p w14:paraId="30DEE30F">
            <w:pPr>
              <w:pStyle w:val="24"/>
              <w:spacing w:line="250" w:lineRule="auto"/>
            </w:pPr>
          </w:p>
          <w:p w14:paraId="4B0EE07E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  <w:vAlign w:val="top"/>
          </w:tcPr>
          <w:p w14:paraId="4EB4F1EC">
            <w:pPr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  <w:vAlign w:val="top"/>
          </w:tcPr>
          <w:p w14:paraId="5CBBD5DA">
            <w:pPr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  <w:vAlign w:val="top"/>
          </w:tcPr>
          <w:p w14:paraId="30F46778">
            <w:pPr>
              <w:pStyle w:val="24"/>
              <w:spacing w:line="250" w:lineRule="auto"/>
            </w:pPr>
          </w:p>
          <w:p w14:paraId="1760B210">
            <w:pPr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41F598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  <w:vAlign w:val="top"/>
          </w:tcPr>
          <w:p w14:paraId="77FAA84C">
            <w:pPr>
              <w:pStyle w:val="24"/>
              <w:spacing w:line="269" w:lineRule="auto"/>
            </w:pPr>
          </w:p>
          <w:p w14:paraId="66CBC762">
            <w:pPr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top"/>
          </w:tcPr>
          <w:p w14:paraId="2FA8CFE1">
            <w:pPr>
              <w:pStyle w:val="24"/>
              <w:spacing w:line="270" w:lineRule="auto"/>
            </w:pPr>
          </w:p>
          <w:p w14:paraId="28CE8A57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  <w:vAlign w:val="top"/>
          </w:tcPr>
          <w:p w14:paraId="172FC53C">
            <w:pPr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  <w:vAlign w:val="top"/>
          </w:tcPr>
          <w:p w14:paraId="1C33C73A">
            <w:pPr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  <w:vAlign w:val="top"/>
          </w:tcPr>
          <w:p w14:paraId="426EBA6C">
            <w:pPr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37CCE5A5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A7D55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  <w:vAlign w:val="top"/>
          </w:tcPr>
          <w:p w14:paraId="6CACE7AC">
            <w:pPr>
              <w:pStyle w:val="24"/>
              <w:spacing w:line="250" w:lineRule="auto"/>
            </w:pPr>
          </w:p>
          <w:p w14:paraId="2AEF2D38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top"/>
          </w:tcPr>
          <w:p w14:paraId="7A59CD13">
            <w:pPr>
              <w:pStyle w:val="24"/>
              <w:spacing w:line="252" w:lineRule="auto"/>
            </w:pPr>
          </w:p>
          <w:p w14:paraId="38AE9818">
            <w:pPr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  <w:vAlign w:val="top"/>
          </w:tcPr>
          <w:p w14:paraId="47C4329A">
            <w:pPr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  <w:vAlign w:val="top"/>
          </w:tcPr>
          <w:p w14:paraId="7399D942">
            <w:pPr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  <w:vAlign w:val="top"/>
          </w:tcPr>
          <w:p w14:paraId="1090611B">
            <w:pPr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5AF3CEC3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3E33D3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  <w:vAlign w:val="top"/>
          </w:tcPr>
          <w:p w14:paraId="5F600CBA">
            <w:pPr>
              <w:pStyle w:val="24"/>
              <w:spacing w:line="271" w:lineRule="auto"/>
            </w:pPr>
          </w:p>
          <w:p w14:paraId="22CF7A94">
            <w:pPr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  <w:vAlign w:val="top"/>
          </w:tcPr>
          <w:p w14:paraId="6C41B711">
            <w:pPr>
              <w:pStyle w:val="24"/>
              <w:spacing w:line="271" w:lineRule="auto"/>
            </w:pPr>
          </w:p>
          <w:p w14:paraId="759E80DA">
            <w:pPr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  <w:vAlign w:val="top"/>
          </w:tcPr>
          <w:p w14:paraId="104F9594">
            <w:pPr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  <w:vAlign w:val="top"/>
          </w:tcPr>
          <w:p w14:paraId="4F9F74B3">
            <w:pPr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  <w:vAlign w:val="top"/>
          </w:tcPr>
          <w:p w14:paraId="6B6597A4">
            <w:pPr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1FA89479">
            <w:pPr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78554F9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  <w:vAlign w:val="top"/>
          </w:tcPr>
          <w:p w14:paraId="2A08C1A1">
            <w:pPr>
              <w:pStyle w:val="24"/>
              <w:spacing w:line="424" w:lineRule="auto"/>
            </w:pPr>
          </w:p>
          <w:p w14:paraId="26E2913D">
            <w:pPr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  <w:vAlign w:val="top"/>
          </w:tcPr>
          <w:p w14:paraId="0F7C5EC9">
            <w:pPr>
              <w:pStyle w:val="24"/>
              <w:spacing w:line="425" w:lineRule="auto"/>
            </w:pPr>
          </w:p>
          <w:p w14:paraId="3B415541">
            <w:pPr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  <w:vAlign w:val="top"/>
          </w:tcPr>
          <w:p w14:paraId="0FAFCBC5">
            <w:pPr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  <w:vAlign w:val="top"/>
          </w:tcPr>
          <w:p w14:paraId="2C452252">
            <w:pPr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  <w:vAlign w:val="top"/>
          </w:tcPr>
          <w:p w14:paraId="3E930178">
            <w:pPr>
              <w:pStyle w:val="24"/>
              <w:spacing w:line="270" w:lineRule="auto"/>
            </w:pPr>
          </w:p>
          <w:p w14:paraId="165B4FA4">
            <w:pPr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3371C4BF">
            <w:pPr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59B5FF37">
      <w:pPr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F6A9A06">
      <w:pPr>
        <w:pStyle w:val="26"/>
        <w:bidi w:val="0"/>
      </w:pPr>
      <w:bookmarkStart w:id="19" w:name="_Toc25312"/>
      <w:r>
        <w:t>评定实施</w:t>
      </w:r>
      <w:bookmarkEnd w:id="19"/>
    </w:p>
    <w:p w14:paraId="6057B1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36A6863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1707531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50CDC47">
      <w:pPr>
        <w:pStyle w:val="27"/>
        <w:bidi w:val="0"/>
      </w:pPr>
      <w:bookmarkStart w:id="20" w:name="_Toc84"/>
      <w:r>
        <w:t>笔试</w:t>
      </w:r>
      <w:bookmarkEnd w:id="20"/>
    </w:p>
    <w:p w14:paraId="5C55190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612922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2F67F37B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1C461D81">
      <w:pPr>
        <w:pStyle w:val="27"/>
        <w:bidi w:val="0"/>
      </w:pPr>
      <w:bookmarkStart w:id="21" w:name="_Toc24717"/>
      <w:r>
        <w:t>实操</w:t>
      </w:r>
      <w:bookmarkEnd w:id="21"/>
    </w:p>
    <w:p w14:paraId="574BE30B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3F09CF6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152DF4EC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093E6FF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DA808E9">
      <w:pPr>
        <w:pStyle w:val="27"/>
        <w:bidi w:val="0"/>
        <w:rPr>
          <w:rFonts w:hint="eastAsia"/>
          <w:lang w:val="en-US" w:eastAsia="zh-CN"/>
        </w:rPr>
      </w:pPr>
      <w:bookmarkStart w:id="22" w:name="_Toc2772"/>
      <w:r>
        <w:rPr>
          <w:rFonts w:hint="eastAsia"/>
          <w:lang w:val="en-US" w:eastAsia="zh-CN"/>
        </w:rPr>
        <w:t>评定</w:t>
      </w:r>
      <w:bookmarkEnd w:id="22"/>
    </w:p>
    <w:p w14:paraId="6B0EA3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6D1E15C2">
      <w:pPr>
        <w:pStyle w:val="25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31" w:hanging="431"/>
        <w:textAlignment w:val="baseline"/>
      </w:pPr>
      <w:bookmarkStart w:id="23" w:name="bookmark9"/>
      <w:bookmarkEnd w:id="23"/>
      <w:bookmarkStart w:id="24" w:name="_Toc3359"/>
      <w:r>
        <w:t>评定结果</w:t>
      </w:r>
      <w:bookmarkEnd w:id="24"/>
    </w:p>
    <w:p w14:paraId="228087F5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7B2A16D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78613390">
      <w:pPr>
        <w:pStyle w:val="25"/>
        <w:keepNext/>
        <w:keepLines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431" w:hanging="431"/>
        <w:textAlignment w:val="baseline"/>
      </w:pPr>
      <w:bookmarkStart w:id="25" w:name="bookmark10"/>
      <w:bookmarkEnd w:id="25"/>
      <w:bookmarkStart w:id="26" w:name="_Toc7436"/>
      <w:r>
        <w:t>评定结果运用</w:t>
      </w:r>
      <w:bookmarkEnd w:id="26"/>
    </w:p>
    <w:p w14:paraId="6AA7E3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  <w:bookmarkStart w:id="27" w:name="_GoBack"/>
      <w:bookmarkEnd w:id="27"/>
    </w:p>
    <w:p w14:paraId="5F79C3F1">
      <w:pPr>
        <w:numPr>
          <w:ilvl w:val="0"/>
          <w:numId w:val="7"/>
        </w:numPr>
        <w:spacing w:before="15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1940A095">
      <w:pPr>
        <w:numPr>
          <w:ilvl w:val="0"/>
          <w:numId w:val="7"/>
        </w:numPr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085C07DF">
      <w:pPr>
        <w:numPr>
          <w:ilvl w:val="0"/>
          <w:numId w:val="7"/>
        </w:numPr>
        <w:spacing w:before="107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68F83011">
      <w:pPr>
        <w:numPr>
          <w:ilvl w:val="0"/>
          <w:numId w:val="7"/>
        </w:numPr>
        <w:spacing w:before="105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912426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4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39A4BCE"/>
    <w:rsid w:val="03E5328D"/>
    <w:rsid w:val="052D3954"/>
    <w:rsid w:val="05C8669A"/>
    <w:rsid w:val="0ABA0FCF"/>
    <w:rsid w:val="0AF3628F"/>
    <w:rsid w:val="0B13248D"/>
    <w:rsid w:val="0B930577"/>
    <w:rsid w:val="10FF19B6"/>
    <w:rsid w:val="119775A7"/>
    <w:rsid w:val="12C549A4"/>
    <w:rsid w:val="16C06BD7"/>
    <w:rsid w:val="16C265E3"/>
    <w:rsid w:val="18B060D4"/>
    <w:rsid w:val="1AC27A2C"/>
    <w:rsid w:val="1AEE37A1"/>
    <w:rsid w:val="1B8D153C"/>
    <w:rsid w:val="1E360515"/>
    <w:rsid w:val="1EB31B66"/>
    <w:rsid w:val="1F464788"/>
    <w:rsid w:val="21617F9F"/>
    <w:rsid w:val="27363334"/>
    <w:rsid w:val="28862099"/>
    <w:rsid w:val="296511D8"/>
    <w:rsid w:val="2B822FEC"/>
    <w:rsid w:val="2BC0763F"/>
    <w:rsid w:val="2D381E44"/>
    <w:rsid w:val="2F135073"/>
    <w:rsid w:val="318063A0"/>
    <w:rsid w:val="323C0A8D"/>
    <w:rsid w:val="34034EE6"/>
    <w:rsid w:val="37BF1626"/>
    <w:rsid w:val="3A3D6832"/>
    <w:rsid w:val="3B6E533A"/>
    <w:rsid w:val="3B9D5ADD"/>
    <w:rsid w:val="3D156FFD"/>
    <w:rsid w:val="3E7A1F5E"/>
    <w:rsid w:val="3E7C0C45"/>
    <w:rsid w:val="3F5A203E"/>
    <w:rsid w:val="3F8C2233"/>
    <w:rsid w:val="410A1661"/>
    <w:rsid w:val="426B25D4"/>
    <w:rsid w:val="4642189D"/>
    <w:rsid w:val="471A69C9"/>
    <w:rsid w:val="47451645"/>
    <w:rsid w:val="47E81FD1"/>
    <w:rsid w:val="4893018E"/>
    <w:rsid w:val="4A2319E6"/>
    <w:rsid w:val="4AA3483E"/>
    <w:rsid w:val="4D550108"/>
    <w:rsid w:val="4ECA2430"/>
    <w:rsid w:val="51411ADA"/>
    <w:rsid w:val="53015849"/>
    <w:rsid w:val="54CA13DC"/>
    <w:rsid w:val="54CD67D6"/>
    <w:rsid w:val="5859544B"/>
    <w:rsid w:val="5ADC59C5"/>
    <w:rsid w:val="5B2F4C2E"/>
    <w:rsid w:val="5BC619FD"/>
    <w:rsid w:val="5C717B35"/>
    <w:rsid w:val="5D3673CF"/>
    <w:rsid w:val="5E133B7E"/>
    <w:rsid w:val="5E8425FB"/>
    <w:rsid w:val="60A73BCF"/>
    <w:rsid w:val="60FF797D"/>
    <w:rsid w:val="61E648C2"/>
    <w:rsid w:val="62364D94"/>
    <w:rsid w:val="62853344"/>
    <w:rsid w:val="67931B01"/>
    <w:rsid w:val="683926A8"/>
    <w:rsid w:val="689A2A1B"/>
    <w:rsid w:val="6D396E13"/>
    <w:rsid w:val="6D8C327A"/>
    <w:rsid w:val="72281680"/>
    <w:rsid w:val="72895FDA"/>
    <w:rsid w:val="72DC0914"/>
    <w:rsid w:val="73117D7E"/>
    <w:rsid w:val="73E636C8"/>
    <w:rsid w:val="77020109"/>
    <w:rsid w:val="78CC6D3B"/>
    <w:rsid w:val="791800B8"/>
    <w:rsid w:val="7977775B"/>
    <w:rsid w:val="7AF366E7"/>
    <w:rsid w:val="7C722281"/>
    <w:rsid w:val="7D1E37CD"/>
    <w:rsid w:val="7DD86C30"/>
    <w:rsid w:val="7E33329E"/>
    <w:rsid w:val="7E993157"/>
    <w:rsid w:val="7EC1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0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1">
    <w:name w:val="柴_公司名"/>
    <w:basedOn w:val="17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2">
    <w:name w:val="柴_文档名"/>
    <w:basedOn w:val="17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4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5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6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7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8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1653</Words>
  <Characters>1780</Characters>
  <Lines>0</Lines>
  <Paragraphs>0</Paragraphs>
  <TotalTime>5</TotalTime>
  <ScaleCrop>false</ScaleCrop>
  <LinksUpToDate>false</LinksUpToDate>
  <CharactersWithSpaces>1822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2025-09-04T15:51:06Z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