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5AD8A3D">
      <w:pPr>
        <w:keepLines/>
        <w:pageBreakBefore w:val="0"/>
        <w:widowControl/>
        <w:wordWrap/>
        <w:overflowPunct/>
        <w:bidi w:val="0"/>
        <w:spacing w:before="78" w:line="219" w:lineRule="auto"/>
        <w:ind w:left="25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bookmarkStart w:id="29" w:name="_GoBack"/>
      <w:r>
        <w:rPr>
          <w:rFonts w:ascii="宋体" w:hAnsi="宋体" w:eastAsia="宋体" w:cs="宋体"/>
          <w:b/>
          <w:bCs/>
          <w:spacing w:val="-3"/>
          <w:sz w:val="24"/>
          <w:szCs w:val="24"/>
        </w:rPr>
        <w:t>文件编号：ITSS-0</w:t>
      </w:r>
      <w:r>
        <w:rPr>
          <w:rFonts w:hint="eastAsia" w:ascii="宋体" w:hAnsi="宋体" w:eastAsia="宋体" w:cs="宋体"/>
          <w:b/>
          <w:bCs/>
          <w:spacing w:val="-3"/>
          <w:sz w:val="24"/>
          <w:szCs w:val="24"/>
          <w:lang w:val="en-US" w:eastAsia="zh-CN"/>
        </w:rPr>
        <w:t>5</w:t>
      </w:r>
      <w:r>
        <w:rPr>
          <w:rFonts w:ascii="宋体" w:hAnsi="宋体" w:eastAsia="宋体" w:cs="宋体"/>
          <w:b/>
          <w:bCs/>
          <w:spacing w:val="-3"/>
          <w:sz w:val="24"/>
          <w:szCs w:val="24"/>
        </w:rPr>
        <w:t>-</w:t>
      </w:r>
      <w:r>
        <w:rPr>
          <w:rFonts w:hint="eastAsia" w:ascii="宋体" w:hAnsi="宋体" w:eastAsia="宋体" w:cs="宋体"/>
          <w:b/>
          <w:bCs/>
          <w:spacing w:val="-3"/>
          <w:sz w:val="24"/>
          <w:szCs w:val="24"/>
          <w:lang w:val="en-US" w:eastAsia="zh-CN"/>
        </w:rPr>
        <w:t>-01-</w:t>
      </w:r>
      <w:r>
        <w:rPr>
          <w:rFonts w:ascii="宋体" w:hAnsi="宋体" w:eastAsia="宋体" w:cs="宋体"/>
          <w:b/>
          <w:bCs/>
          <w:spacing w:val="-3"/>
          <w:sz w:val="24"/>
          <w:szCs w:val="24"/>
        </w:rPr>
        <w:t>0</w:t>
      </w:r>
      <w:r>
        <w:rPr>
          <w:rFonts w:hint="eastAsia" w:ascii="宋体" w:hAnsi="宋体" w:eastAsia="宋体" w:cs="宋体"/>
          <w:b/>
          <w:bCs/>
          <w:spacing w:val="-3"/>
          <w:sz w:val="24"/>
          <w:szCs w:val="24"/>
          <w:lang w:val="en-US" w:eastAsia="zh-CN"/>
        </w:rPr>
        <w:t>2</w:t>
      </w:r>
    </w:p>
    <w:p w14:paraId="20516D53">
      <w:pPr>
        <w:keepNext w:val="0"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3121" w:afterLines="1000" w:line="219" w:lineRule="auto"/>
        <w:ind w:left="23"/>
        <w:textAlignment w:val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b/>
          <w:bCs/>
          <w:spacing w:val="240"/>
          <w:kern w:val="0"/>
          <w:sz w:val="24"/>
          <w:szCs w:val="24"/>
          <w:fitText w:val="960" w:id="1404264543"/>
        </w:rPr>
        <w:t>版</w:t>
      </w:r>
      <w:r>
        <w:rPr>
          <w:rFonts w:ascii="宋体" w:hAnsi="宋体" w:eastAsia="宋体" w:cs="宋体"/>
          <w:b/>
          <w:bCs/>
          <w:spacing w:val="0"/>
          <w:kern w:val="0"/>
          <w:sz w:val="24"/>
          <w:szCs w:val="24"/>
          <w:fitText w:val="960" w:id="1404264543"/>
        </w:rPr>
        <w:t>本</w:t>
      </w:r>
      <w:r>
        <w:rPr>
          <w:rFonts w:ascii="宋体" w:hAnsi="宋体" w:eastAsia="宋体" w:cs="宋体"/>
          <w:b/>
          <w:bCs/>
          <w:spacing w:val="-5"/>
          <w:sz w:val="24"/>
          <w:szCs w:val="24"/>
        </w:rPr>
        <w:t>：V1.0</w:t>
      </w:r>
    </w:p>
    <w:p w14:paraId="19C90305">
      <w:pPr>
        <w:pStyle w:val="22"/>
        <w:keepLines/>
        <w:pageBreakBefore w:val="0"/>
        <w:widowControl/>
        <w:wordWrap/>
        <w:overflowPunct/>
        <w:bidi w:val="0"/>
      </w:pPr>
      <w:bookmarkStart w:id="0" w:name="_Toc17627"/>
      <w:r>
        <w:rPr>
          <w:rFonts w:hint="eastAsia"/>
          <w:lang w:val="en-US" w:eastAsia="zh-CN"/>
        </w:rPr>
        <w:t>万洲奇智（青岛）信息科技有限</w:t>
      </w:r>
      <w:r>
        <w:t>公司</w:t>
      </w:r>
      <w:bookmarkEnd w:id="0"/>
    </w:p>
    <w:p w14:paraId="3D74D20A">
      <w:pPr>
        <w:pStyle w:val="23"/>
        <w:keepLines/>
        <w:pageBreakBefore w:val="0"/>
        <w:widowControl/>
        <w:wordWrap/>
        <w:overflowPunct/>
        <w:bidi w:val="0"/>
        <w:rPr>
          <w:rFonts w:hint="default"/>
          <w:lang w:val="en-US"/>
        </w:rPr>
      </w:pPr>
      <w:bookmarkStart w:id="1" w:name="_Toc21409"/>
      <w:r>
        <w:rPr>
          <w:rFonts w:hint="eastAsia"/>
          <w:lang w:val="en-US" w:eastAsia="zh-CN"/>
        </w:rPr>
        <w:t>人员技能评定管理制度</w:t>
      </w:r>
      <w:bookmarkEnd w:id="1"/>
    </w:p>
    <w:tbl>
      <w:tblPr>
        <w:tblStyle w:val="20"/>
        <w:tblW w:w="0" w:type="auto"/>
        <w:tblInd w:w="244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8"/>
        <w:gridCol w:w="4261"/>
      </w:tblGrid>
      <w:tr w14:paraId="5D006F0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</w:trPr>
        <w:tc>
          <w:tcPr>
            <w:tcW w:w="1818" w:type="dxa"/>
          </w:tcPr>
          <w:p w14:paraId="672FF0C7">
            <w:pPr>
              <w:keepLines/>
              <w:pageBreakBefore w:val="0"/>
              <w:widowControl/>
              <w:wordWrap/>
              <w:overflowPunct/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编制人</w:t>
            </w:r>
            <w:r>
              <w:rPr>
                <w:rFonts w:hint="default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王琼</w:t>
            </w:r>
          </w:p>
        </w:tc>
        <w:tc>
          <w:tcPr>
            <w:tcW w:w="4261" w:type="dxa"/>
          </w:tcPr>
          <w:p w14:paraId="7554A84C">
            <w:pPr>
              <w:keepLines/>
              <w:pageBreakBefore w:val="0"/>
              <w:widowControl/>
              <w:wordWrap/>
              <w:overflowPunct/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编制时间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2025.01.08</w:t>
            </w:r>
          </w:p>
        </w:tc>
      </w:tr>
      <w:tr w14:paraId="195FF0D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</w:trPr>
        <w:tc>
          <w:tcPr>
            <w:tcW w:w="1818" w:type="dxa"/>
            <w:shd w:val="clear" w:color="auto" w:fill="auto"/>
            <w:vAlign w:val="top"/>
          </w:tcPr>
          <w:p w14:paraId="46779ABD">
            <w:pPr>
              <w:keepLines/>
              <w:pageBreakBefore w:val="0"/>
              <w:widowControl/>
              <w:wordWrap/>
              <w:overflowPunct/>
              <w:bidi w:val="0"/>
              <w:rPr>
                <w:rFonts w:hint="eastAsia" w:ascii="Arial" w:hAnsi="Arial" w:eastAsia="Arial" w:cs="Arial"/>
                <w:snapToGrid w:val="0"/>
                <w:color w:val="000000"/>
                <w:kern w:val="0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审核人</w:t>
            </w:r>
            <w:r>
              <w:rPr>
                <w:rFonts w:hint="default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陈姝羽</w:t>
            </w:r>
          </w:p>
        </w:tc>
        <w:tc>
          <w:tcPr>
            <w:tcW w:w="4261" w:type="dxa"/>
            <w:shd w:val="clear" w:color="auto" w:fill="auto"/>
            <w:vAlign w:val="top"/>
          </w:tcPr>
          <w:p w14:paraId="15A031A1">
            <w:pPr>
              <w:keepLines/>
              <w:pageBreakBefore w:val="0"/>
              <w:widowControl/>
              <w:wordWrap/>
              <w:overflowPunct/>
              <w:bidi w:val="0"/>
              <w:rPr>
                <w:rFonts w:hint="eastAsia" w:ascii="Arial" w:hAnsi="Arial" w:eastAsia="Arial" w:cs="Arial"/>
                <w:snapToGrid w:val="0"/>
                <w:color w:val="000000"/>
                <w:kern w:val="0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编制时间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2025.01.08</w:t>
            </w:r>
          </w:p>
        </w:tc>
      </w:tr>
      <w:tr w14:paraId="6C81076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5" w:hRule="atLeast"/>
        </w:trPr>
        <w:tc>
          <w:tcPr>
            <w:tcW w:w="1818" w:type="dxa"/>
          </w:tcPr>
          <w:p w14:paraId="2C6AA9C8">
            <w:pPr>
              <w:keepLines/>
              <w:pageBreakBefore w:val="0"/>
              <w:widowControl/>
              <w:wordWrap/>
              <w:overflowPunct/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批准人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lang w:val="en-US" w:eastAsia="zh-CN"/>
              </w:rPr>
              <w:t>郭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万洲</w:t>
            </w:r>
          </w:p>
        </w:tc>
        <w:tc>
          <w:tcPr>
            <w:tcW w:w="4261" w:type="dxa"/>
          </w:tcPr>
          <w:p w14:paraId="1CCAA626">
            <w:pPr>
              <w:keepLines/>
              <w:pageBreakBefore w:val="0"/>
              <w:widowControl/>
              <w:wordWrap/>
              <w:overflowPunct/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审批时间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2025.01.08</w:t>
            </w:r>
          </w:p>
        </w:tc>
      </w:tr>
    </w:tbl>
    <w:p w14:paraId="3207BFDE">
      <w:pPr>
        <w:keepLines/>
        <w:pageBreakBefore w:val="0"/>
        <w:widowControl/>
        <w:wordWrap/>
        <w:overflowPunct/>
        <w:bidi w:val="0"/>
      </w:pPr>
      <w:r>
        <w:br w:type="page"/>
      </w:r>
    </w:p>
    <w:p w14:paraId="49DA19E5">
      <w:pPr>
        <w:keepLines/>
        <w:pageBreakBefore w:val="0"/>
        <w:widowControl/>
        <w:wordWrap/>
        <w:overflowPunct/>
        <w:bidi w:val="0"/>
        <w:spacing w:before="153" w:line="225" w:lineRule="auto"/>
        <w:ind w:left="3634"/>
        <w:rPr>
          <w:rFonts w:ascii="宋体" w:hAnsi="宋体" w:eastAsia="宋体" w:cs="宋体"/>
          <w:sz w:val="31"/>
          <w:szCs w:val="31"/>
        </w:rPr>
      </w:pPr>
      <w:r>
        <w:rPr>
          <w:rFonts w:ascii="宋体" w:hAnsi="宋体" w:eastAsia="宋体" w:cs="宋体"/>
          <w:b/>
          <w:bCs/>
          <w:spacing w:val="4"/>
          <w:sz w:val="31"/>
          <w:szCs w:val="31"/>
        </w:rPr>
        <w:t>修订记录</w:t>
      </w:r>
    </w:p>
    <w:tbl>
      <w:tblPr>
        <w:tblStyle w:val="24"/>
        <w:tblW w:w="8301" w:type="dxa"/>
        <w:tblInd w:w="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55"/>
        <w:gridCol w:w="919"/>
        <w:gridCol w:w="2289"/>
        <w:gridCol w:w="1148"/>
        <w:gridCol w:w="1150"/>
        <w:gridCol w:w="1240"/>
      </w:tblGrid>
      <w:tr w14:paraId="21E8DE70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3" w:hRule="atLeast"/>
        </w:trPr>
        <w:tc>
          <w:tcPr>
            <w:tcW w:w="1555" w:type="dxa"/>
            <w:vAlign w:val="top"/>
          </w:tcPr>
          <w:p w14:paraId="3CF02F36">
            <w:pPr>
              <w:keepLines/>
              <w:pageBreakBefore w:val="0"/>
              <w:widowControl/>
              <w:wordWrap/>
              <w:overflowPunct/>
              <w:bidi w:val="0"/>
              <w:spacing w:before="176" w:line="228" w:lineRule="auto"/>
              <w:ind w:left="607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14"/>
                <w:sz w:val="20"/>
                <w:szCs w:val="20"/>
              </w:rPr>
              <w:t>日期</w:t>
            </w:r>
          </w:p>
        </w:tc>
        <w:tc>
          <w:tcPr>
            <w:tcW w:w="919" w:type="dxa"/>
            <w:vAlign w:val="top"/>
          </w:tcPr>
          <w:p w14:paraId="2D62A896">
            <w:pPr>
              <w:keepLines/>
              <w:pageBreakBefore w:val="0"/>
              <w:widowControl/>
              <w:wordWrap/>
              <w:overflowPunct/>
              <w:bidi w:val="0"/>
              <w:spacing w:before="175" w:line="227" w:lineRule="auto"/>
              <w:ind w:left="253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4"/>
                <w:sz w:val="20"/>
                <w:szCs w:val="20"/>
              </w:rPr>
              <w:t>版本</w:t>
            </w:r>
          </w:p>
        </w:tc>
        <w:tc>
          <w:tcPr>
            <w:tcW w:w="2289" w:type="dxa"/>
            <w:vAlign w:val="top"/>
          </w:tcPr>
          <w:p w14:paraId="0C7A0F70">
            <w:pPr>
              <w:keepLines/>
              <w:pageBreakBefore w:val="0"/>
              <w:widowControl/>
              <w:wordWrap/>
              <w:overflowPunct/>
              <w:bidi w:val="0"/>
              <w:spacing w:before="175" w:line="228" w:lineRule="auto"/>
              <w:ind w:left="73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变更说明</w:t>
            </w:r>
          </w:p>
        </w:tc>
        <w:tc>
          <w:tcPr>
            <w:tcW w:w="1148" w:type="dxa"/>
            <w:vAlign w:val="top"/>
          </w:tcPr>
          <w:p w14:paraId="2920BDE9">
            <w:pPr>
              <w:keepLines/>
              <w:pageBreakBefore w:val="0"/>
              <w:widowControl/>
              <w:wordWrap/>
              <w:overflowPunct/>
              <w:bidi w:val="0"/>
              <w:spacing w:before="175" w:line="228" w:lineRule="auto"/>
              <w:ind w:left="31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6"/>
                <w:sz w:val="20"/>
                <w:szCs w:val="20"/>
              </w:rPr>
              <w:t>编写人</w:t>
            </w:r>
          </w:p>
        </w:tc>
        <w:tc>
          <w:tcPr>
            <w:tcW w:w="1150" w:type="dxa"/>
            <w:vAlign w:val="top"/>
          </w:tcPr>
          <w:p w14:paraId="3A924367">
            <w:pPr>
              <w:keepLines/>
              <w:pageBreakBefore w:val="0"/>
              <w:widowControl/>
              <w:wordWrap/>
              <w:overflowPunct/>
              <w:bidi w:val="0"/>
              <w:spacing w:before="175" w:line="228" w:lineRule="auto"/>
              <w:ind w:left="310"/>
              <w:rPr>
                <w:rFonts w:hint="eastAsia" w:ascii="宋体" w:hAnsi="宋体" w:eastAsia="宋体" w:cs="宋体"/>
                <w:spacing w:val="6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6"/>
                <w:sz w:val="20"/>
                <w:szCs w:val="20"/>
                <w:lang w:val="en-US" w:eastAsia="zh-CN"/>
              </w:rPr>
              <w:t>审核人</w:t>
            </w:r>
          </w:p>
        </w:tc>
        <w:tc>
          <w:tcPr>
            <w:tcW w:w="1240" w:type="dxa"/>
            <w:vAlign w:val="top"/>
          </w:tcPr>
          <w:p w14:paraId="08FEDE74">
            <w:pPr>
              <w:keepLines/>
              <w:pageBreakBefore w:val="0"/>
              <w:widowControl/>
              <w:wordWrap/>
              <w:overflowPunct/>
              <w:bidi w:val="0"/>
              <w:spacing w:before="176" w:line="229" w:lineRule="auto"/>
              <w:ind w:left="311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批准人</w:t>
            </w:r>
          </w:p>
        </w:tc>
      </w:tr>
      <w:tr w14:paraId="4FA83A9C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  <w:vAlign w:val="top"/>
          </w:tcPr>
          <w:p w14:paraId="0867738B">
            <w:pPr>
              <w:keepLines/>
              <w:pageBreakBefore w:val="0"/>
              <w:widowControl/>
              <w:wordWrap/>
              <w:overflowPunct/>
              <w:bidi w:val="0"/>
              <w:spacing w:before="173" w:line="267" w:lineRule="exact"/>
              <w:ind w:left="26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3"/>
                <w:position w:val="1"/>
                <w:sz w:val="20"/>
                <w:szCs w:val="20"/>
              </w:rPr>
              <w:t>2025.01.08</w:t>
            </w:r>
          </w:p>
        </w:tc>
        <w:tc>
          <w:tcPr>
            <w:tcW w:w="919" w:type="dxa"/>
            <w:vAlign w:val="top"/>
          </w:tcPr>
          <w:p w14:paraId="648AD6AC">
            <w:pPr>
              <w:keepLines/>
              <w:pageBreakBefore w:val="0"/>
              <w:widowControl/>
              <w:wordWrap/>
              <w:overflowPunct/>
              <w:bidi w:val="0"/>
              <w:spacing w:before="173" w:line="267" w:lineRule="exact"/>
              <w:ind w:left="248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4"/>
                <w:position w:val="1"/>
                <w:sz w:val="20"/>
                <w:szCs w:val="20"/>
              </w:rPr>
              <w:t>V1.0</w:t>
            </w:r>
          </w:p>
        </w:tc>
        <w:tc>
          <w:tcPr>
            <w:tcW w:w="2289" w:type="dxa"/>
            <w:vAlign w:val="top"/>
          </w:tcPr>
          <w:p w14:paraId="3CA7BD34">
            <w:pPr>
              <w:keepLines/>
              <w:pageBreakBefore w:val="0"/>
              <w:widowControl/>
              <w:wordWrap/>
              <w:overflowPunct/>
              <w:bidi w:val="0"/>
              <w:spacing w:before="172" w:line="228" w:lineRule="auto"/>
              <w:ind w:left="114"/>
              <w:jc w:val="center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新建文档</w:t>
            </w:r>
          </w:p>
        </w:tc>
        <w:tc>
          <w:tcPr>
            <w:tcW w:w="1148" w:type="dxa"/>
            <w:vAlign w:val="top"/>
          </w:tcPr>
          <w:p w14:paraId="5387AEE3">
            <w:pPr>
              <w:keepLines/>
              <w:pageBreakBefore w:val="0"/>
              <w:widowControl/>
              <w:wordWrap/>
              <w:overflowPunct/>
              <w:bidi w:val="0"/>
              <w:spacing w:before="172" w:line="228" w:lineRule="auto"/>
              <w:ind w:left="313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pacing w:val="5"/>
                <w:sz w:val="20"/>
                <w:szCs w:val="20"/>
                <w:lang w:val="en-US" w:eastAsia="zh-CN"/>
              </w:rPr>
              <w:t>王琼</w:t>
            </w:r>
          </w:p>
        </w:tc>
        <w:tc>
          <w:tcPr>
            <w:tcW w:w="1150" w:type="dxa"/>
            <w:vAlign w:val="top"/>
          </w:tcPr>
          <w:p w14:paraId="008FBE06">
            <w:pPr>
              <w:keepLines/>
              <w:pageBreakBefore w:val="0"/>
              <w:widowControl/>
              <w:wordWrap/>
              <w:overflowPunct/>
              <w:bidi w:val="0"/>
              <w:spacing w:before="172" w:line="228" w:lineRule="auto"/>
              <w:ind w:left="313"/>
              <w:rPr>
                <w:rFonts w:hint="eastAsia" w:ascii="宋体" w:hAnsi="宋体" w:eastAsia="宋体" w:cs="宋体"/>
                <w:spacing w:val="5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pacing w:val="5"/>
                <w:sz w:val="20"/>
                <w:szCs w:val="20"/>
                <w:lang w:val="en-US" w:eastAsia="zh-CN"/>
              </w:rPr>
              <w:t>陈姝羽</w:t>
            </w:r>
          </w:p>
        </w:tc>
        <w:tc>
          <w:tcPr>
            <w:tcW w:w="1240" w:type="dxa"/>
            <w:vAlign w:val="top"/>
          </w:tcPr>
          <w:p w14:paraId="7CB1CF9F">
            <w:pPr>
              <w:keepLines/>
              <w:pageBreakBefore w:val="0"/>
              <w:widowControl/>
              <w:wordWrap/>
              <w:overflowPunct/>
              <w:bidi w:val="0"/>
              <w:spacing w:before="173" w:line="229" w:lineRule="auto"/>
              <w:ind w:left="314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pacing w:val="6"/>
                <w:sz w:val="20"/>
                <w:szCs w:val="20"/>
                <w:lang w:val="en-US" w:eastAsia="zh-CN"/>
              </w:rPr>
              <w:t>郭万洲</w:t>
            </w:r>
          </w:p>
        </w:tc>
      </w:tr>
      <w:tr w14:paraId="4787711A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  <w:vAlign w:val="top"/>
          </w:tcPr>
          <w:p w14:paraId="4387CE95">
            <w:pPr>
              <w:pStyle w:val="25"/>
              <w:keepLines/>
              <w:pageBreakBefore w:val="0"/>
              <w:widowControl/>
              <w:wordWrap/>
              <w:overflowPunct/>
              <w:bidi w:val="0"/>
            </w:pPr>
          </w:p>
        </w:tc>
        <w:tc>
          <w:tcPr>
            <w:tcW w:w="919" w:type="dxa"/>
            <w:vAlign w:val="top"/>
          </w:tcPr>
          <w:p w14:paraId="218F3AD4">
            <w:pPr>
              <w:pStyle w:val="25"/>
              <w:keepLines/>
              <w:pageBreakBefore w:val="0"/>
              <w:widowControl/>
              <w:wordWrap/>
              <w:overflowPunct/>
              <w:bidi w:val="0"/>
            </w:pPr>
          </w:p>
        </w:tc>
        <w:tc>
          <w:tcPr>
            <w:tcW w:w="2289" w:type="dxa"/>
            <w:vAlign w:val="top"/>
          </w:tcPr>
          <w:p w14:paraId="15EFA507">
            <w:pPr>
              <w:pStyle w:val="25"/>
              <w:keepLines/>
              <w:pageBreakBefore w:val="0"/>
              <w:widowControl/>
              <w:wordWrap/>
              <w:overflowPunct/>
              <w:bidi w:val="0"/>
            </w:pPr>
          </w:p>
        </w:tc>
        <w:tc>
          <w:tcPr>
            <w:tcW w:w="1148" w:type="dxa"/>
            <w:vAlign w:val="top"/>
          </w:tcPr>
          <w:p w14:paraId="70C086CB">
            <w:pPr>
              <w:keepLines/>
              <w:pageBreakBefore w:val="0"/>
              <w:widowControl/>
              <w:wordWrap/>
              <w:overflowPunct/>
              <w:bidi w:val="0"/>
              <w:spacing w:before="172" w:line="228" w:lineRule="auto"/>
              <w:ind w:left="313"/>
            </w:pPr>
          </w:p>
        </w:tc>
        <w:tc>
          <w:tcPr>
            <w:tcW w:w="1150" w:type="dxa"/>
            <w:vAlign w:val="top"/>
          </w:tcPr>
          <w:p w14:paraId="35AEC507">
            <w:pPr>
              <w:keepLines/>
              <w:pageBreakBefore w:val="0"/>
              <w:widowControl/>
              <w:wordWrap/>
              <w:overflowPunct/>
              <w:bidi w:val="0"/>
              <w:spacing w:before="172" w:line="228" w:lineRule="auto"/>
              <w:ind w:left="313"/>
            </w:pPr>
          </w:p>
        </w:tc>
        <w:tc>
          <w:tcPr>
            <w:tcW w:w="1240" w:type="dxa"/>
            <w:vAlign w:val="top"/>
          </w:tcPr>
          <w:p w14:paraId="6E8FD876">
            <w:pPr>
              <w:pStyle w:val="25"/>
              <w:keepLines/>
              <w:pageBreakBefore w:val="0"/>
              <w:widowControl/>
              <w:wordWrap/>
              <w:overflowPunct/>
              <w:bidi w:val="0"/>
            </w:pPr>
          </w:p>
        </w:tc>
      </w:tr>
      <w:tr w14:paraId="5D0B3123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  <w:vAlign w:val="top"/>
          </w:tcPr>
          <w:p w14:paraId="6897D55F">
            <w:pPr>
              <w:pStyle w:val="25"/>
              <w:keepLines/>
              <w:pageBreakBefore w:val="0"/>
              <w:widowControl/>
              <w:wordWrap/>
              <w:overflowPunct/>
              <w:bidi w:val="0"/>
            </w:pPr>
          </w:p>
        </w:tc>
        <w:tc>
          <w:tcPr>
            <w:tcW w:w="919" w:type="dxa"/>
            <w:vAlign w:val="top"/>
          </w:tcPr>
          <w:p w14:paraId="09634355">
            <w:pPr>
              <w:pStyle w:val="25"/>
              <w:keepLines/>
              <w:pageBreakBefore w:val="0"/>
              <w:widowControl/>
              <w:wordWrap/>
              <w:overflowPunct/>
              <w:bidi w:val="0"/>
            </w:pPr>
          </w:p>
        </w:tc>
        <w:tc>
          <w:tcPr>
            <w:tcW w:w="2289" w:type="dxa"/>
            <w:vAlign w:val="top"/>
          </w:tcPr>
          <w:p w14:paraId="5EE6029F">
            <w:pPr>
              <w:pStyle w:val="25"/>
              <w:keepLines/>
              <w:pageBreakBefore w:val="0"/>
              <w:widowControl/>
              <w:wordWrap/>
              <w:overflowPunct/>
              <w:bidi w:val="0"/>
            </w:pPr>
          </w:p>
        </w:tc>
        <w:tc>
          <w:tcPr>
            <w:tcW w:w="1148" w:type="dxa"/>
            <w:vAlign w:val="top"/>
          </w:tcPr>
          <w:p w14:paraId="38EDD11A">
            <w:pPr>
              <w:keepLines/>
              <w:pageBreakBefore w:val="0"/>
              <w:widowControl/>
              <w:wordWrap/>
              <w:overflowPunct/>
              <w:bidi w:val="0"/>
              <w:spacing w:before="173" w:line="229" w:lineRule="auto"/>
              <w:ind w:left="314"/>
            </w:pPr>
          </w:p>
        </w:tc>
        <w:tc>
          <w:tcPr>
            <w:tcW w:w="1150" w:type="dxa"/>
            <w:vAlign w:val="top"/>
          </w:tcPr>
          <w:p w14:paraId="4B30AD5C">
            <w:pPr>
              <w:keepLines/>
              <w:pageBreakBefore w:val="0"/>
              <w:widowControl/>
              <w:wordWrap/>
              <w:overflowPunct/>
              <w:bidi w:val="0"/>
              <w:spacing w:before="173" w:line="229" w:lineRule="auto"/>
              <w:ind w:left="314"/>
            </w:pPr>
          </w:p>
        </w:tc>
        <w:tc>
          <w:tcPr>
            <w:tcW w:w="1240" w:type="dxa"/>
            <w:vAlign w:val="top"/>
          </w:tcPr>
          <w:p w14:paraId="6FBCF8FF">
            <w:pPr>
              <w:pStyle w:val="25"/>
              <w:keepLines/>
              <w:pageBreakBefore w:val="0"/>
              <w:widowControl/>
              <w:wordWrap/>
              <w:overflowPunct/>
              <w:bidi w:val="0"/>
            </w:pPr>
          </w:p>
        </w:tc>
      </w:tr>
      <w:tr w14:paraId="607EF14E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7" w:hRule="atLeast"/>
        </w:trPr>
        <w:tc>
          <w:tcPr>
            <w:tcW w:w="1555" w:type="dxa"/>
            <w:vAlign w:val="top"/>
          </w:tcPr>
          <w:p w14:paraId="54A920BB">
            <w:pPr>
              <w:pStyle w:val="25"/>
              <w:keepLines/>
              <w:pageBreakBefore w:val="0"/>
              <w:widowControl/>
              <w:wordWrap/>
              <w:overflowPunct/>
              <w:bidi w:val="0"/>
            </w:pPr>
          </w:p>
        </w:tc>
        <w:tc>
          <w:tcPr>
            <w:tcW w:w="919" w:type="dxa"/>
            <w:vAlign w:val="top"/>
          </w:tcPr>
          <w:p w14:paraId="1BBFCF07">
            <w:pPr>
              <w:pStyle w:val="25"/>
              <w:keepLines/>
              <w:pageBreakBefore w:val="0"/>
              <w:widowControl/>
              <w:wordWrap/>
              <w:overflowPunct/>
              <w:bidi w:val="0"/>
            </w:pPr>
          </w:p>
        </w:tc>
        <w:tc>
          <w:tcPr>
            <w:tcW w:w="2289" w:type="dxa"/>
            <w:vAlign w:val="top"/>
          </w:tcPr>
          <w:p w14:paraId="238EACEC">
            <w:pPr>
              <w:pStyle w:val="25"/>
              <w:keepLines/>
              <w:pageBreakBefore w:val="0"/>
              <w:widowControl/>
              <w:wordWrap/>
              <w:overflowPunct/>
              <w:bidi w:val="0"/>
            </w:pPr>
          </w:p>
        </w:tc>
        <w:tc>
          <w:tcPr>
            <w:tcW w:w="1148" w:type="dxa"/>
            <w:vAlign w:val="top"/>
          </w:tcPr>
          <w:p w14:paraId="75E51CC0">
            <w:pPr>
              <w:pStyle w:val="25"/>
              <w:keepLines/>
              <w:pageBreakBefore w:val="0"/>
              <w:widowControl/>
              <w:wordWrap/>
              <w:overflowPunct/>
              <w:bidi w:val="0"/>
            </w:pPr>
          </w:p>
        </w:tc>
        <w:tc>
          <w:tcPr>
            <w:tcW w:w="1150" w:type="dxa"/>
            <w:vAlign w:val="top"/>
          </w:tcPr>
          <w:p w14:paraId="06FF3C1B">
            <w:pPr>
              <w:pStyle w:val="25"/>
              <w:keepLines/>
              <w:pageBreakBefore w:val="0"/>
              <w:widowControl/>
              <w:wordWrap/>
              <w:overflowPunct/>
              <w:bidi w:val="0"/>
            </w:pPr>
          </w:p>
        </w:tc>
        <w:tc>
          <w:tcPr>
            <w:tcW w:w="1240" w:type="dxa"/>
            <w:vAlign w:val="top"/>
          </w:tcPr>
          <w:p w14:paraId="5C8B1A3D">
            <w:pPr>
              <w:pStyle w:val="25"/>
              <w:keepLines/>
              <w:pageBreakBefore w:val="0"/>
              <w:widowControl/>
              <w:wordWrap/>
              <w:overflowPunct/>
              <w:bidi w:val="0"/>
            </w:pPr>
          </w:p>
        </w:tc>
      </w:tr>
      <w:tr w14:paraId="57C3746A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  <w:vAlign w:val="top"/>
          </w:tcPr>
          <w:p w14:paraId="76CC6502">
            <w:pPr>
              <w:pStyle w:val="25"/>
              <w:keepLines/>
              <w:pageBreakBefore w:val="0"/>
              <w:widowControl/>
              <w:wordWrap/>
              <w:overflowPunct/>
              <w:bidi w:val="0"/>
            </w:pPr>
          </w:p>
        </w:tc>
        <w:tc>
          <w:tcPr>
            <w:tcW w:w="919" w:type="dxa"/>
            <w:vAlign w:val="top"/>
          </w:tcPr>
          <w:p w14:paraId="22DED3EC">
            <w:pPr>
              <w:pStyle w:val="25"/>
              <w:keepLines/>
              <w:pageBreakBefore w:val="0"/>
              <w:widowControl/>
              <w:wordWrap/>
              <w:overflowPunct/>
              <w:bidi w:val="0"/>
            </w:pPr>
          </w:p>
        </w:tc>
        <w:tc>
          <w:tcPr>
            <w:tcW w:w="2289" w:type="dxa"/>
            <w:vAlign w:val="top"/>
          </w:tcPr>
          <w:p w14:paraId="22279F68">
            <w:pPr>
              <w:pStyle w:val="25"/>
              <w:keepLines/>
              <w:pageBreakBefore w:val="0"/>
              <w:widowControl/>
              <w:wordWrap/>
              <w:overflowPunct/>
              <w:bidi w:val="0"/>
            </w:pPr>
          </w:p>
        </w:tc>
        <w:tc>
          <w:tcPr>
            <w:tcW w:w="1148" w:type="dxa"/>
            <w:vAlign w:val="top"/>
          </w:tcPr>
          <w:p w14:paraId="451706B1">
            <w:pPr>
              <w:pStyle w:val="25"/>
              <w:keepLines/>
              <w:pageBreakBefore w:val="0"/>
              <w:widowControl/>
              <w:wordWrap/>
              <w:overflowPunct/>
              <w:bidi w:val="0"/>
            </w:pPr>
          </w:p>
        </w:tc>
        <w:tc>
          <w:tcPr>
            <w:tcW w:w="1150" w:type="dxa"/>
            <w:vAlign w:val="top"/>
          </w:tcPr>
          <w:p w14:paraId="4C95703C">
            <w:pPr>
              <w:pStyle w:val="25"/>
              <w:keepLines/>
              <w:pageBreakBefore w:val="0"/>
              <w:widowControl/>
              <w:wordWrap/>
              <w:overflowPunct/>
              <w:bidi w:val="0"/>
            </w:pPr>
          </w:p>
        </w:tc>
        <w:tc>
          <w:tcPr>
            <w:tcW w:w="1240" w:type="dxa"/>
            <w:vAlign w:val="top"/>
          </w:tcPr>
          <w:p w14:paraId="60889A79">
            <w:pPr>
              <w:pStyle w:val="25"/>
              <w:keepLines/>
              <w:pageBreakBefore w:val="0"/>
              <w:widowControl/>
              <w:wordWrap/>
              <w:overflowPunct/>
              <w:bidi w:val="0"/>
            </w:pPr>
          </w:p>
        </w:tc>
      </w:tr>
      <w:tr w14:paraId="17E75C22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1" w:hRule="atLeast"/>
        </w:trPr>
        <w:tc>
          <w:tcPr>
            <w:tcW w:w="1555" w:type="dxa"/>
            <w:vAlign w:val="top"/>
          </w:tcPr>
          <w:p w14:paraId="774341DD">
            <w:pPr>
              <w:pStyle w:val="25"/>
              <w:keepLines/>
              <w:pageBreakBefore w:val="0"/>
              <w:widowControl/>
              <w:wordWrap/>
              <w:overflowPunct/>
              <w:bidi w:val="0"/>
            </w:pPr>
          </w:p>
        </w:tc>
        <w:tc>
          <w:tcPr>
            <w:tcW w:w="919" w:type="dxa"/>
            <w:vAlign w:val="top"/>
          </w:tcPr>
          <w:p w14:paraId="68D2552E">
            <w:pPr>
              <w:pStyle w:val="25"/>
              <w:keepLines/>
              <w:pageBreakBefore w:val="0"/>
              <w:widowControl/>
              <w:wordWrap/>
              <w:overflowPunct/>
              <w:bidi w:val="0"/>
            </w:pPr>
          </w:p>
        </w:tc>
        <w:tc>
          <w:tcPr>
            <w:tcW w:w="2289" w:type="dxa"/>
            <w:vAlign w:val="top"/>
          </w:tcPr>
          <w:p w14:paraId="1E79A586">
            <w:pPr>
              <w:pStyle w:val="25"/>
              <w:keepLines/>
              <w:pageBreakBefore w:val="0"/>
              <w:widowControl/>
              <w:wordWrap/>
              <w:overflowPunct/>
              <w:bidi w:val="0"/>
            </w:pPr>
          </w:p>
        </w:tc>
        <w:tc>
          <w:tcPr>
            <w:tcW w:w="1148" w:type="dxa"/>
            <w:vAlign w:val="top"/>
          </w:tcPr>
          <w:p w14:paraId="17919EEC">
            <w:pPr>
              <w:pStyle w:val="25"/>
              <w:keepLines/>
              <w:pageBreakBefore w:val="0"/>
              <w:widowControl/>
              <w:wordWrap/>
              <w:overflowPunct/>
              <w:bidi w:val="0"/>
            </w:pPr>
          </w:p>
        </w:tc>
        <w:tc>
          <w:tcPr>
            <w:tcW w:w="1150" w:type="dxa"/>
            <w:vAlign w:val="top"/>
          </w:tcPr>
          <w:p w14:paraId="2BB87D59">
            <w:pPr>
              <w:pStyle w:val="25"/>
              <w:keepLines/>
              <w:pageBreakBefore w:val="0"/>
              <w:widowControl/>
              <w:wordWrap/>
              <w:overflowPunct/>
              <w:bidi w:val="0"/>
            </w:pPr>
          </w:p>
        </w:tc>
        <w:tc>
          <w:tcPr>
            <w:tcW w:w="1240" w:type="dxa"/>
            <w:vAlign w:val="top"/>
          </w:tcPr>
          <w:p w14:paraId="4CCAE5FE">
            <w:pPr>
              <w:pStyle w:val="25"/>
              <w:keepLines/>
              <w:pageBreakBefore w:val="0"/>
              <w:widowControl/>
              <w:wordWrap/>
              <w:overflowPunct/>
              <w:bidi w:val="0"/>
            </w:pPr>
          </w:p>
        </w:tc>
      </w:tr>
    </w:tbl>
    <w:p w14:paraId="757D1BA6">
      <w:pPr>
        <w:keepLines/>
        <w:pageBreakBefore w:val="0"/>
        <w:widowControl/>
        <w:wordWrap/>
        <w:overflowPunct/>
        <w:bidi w:val="0"/>
      </w:pPr>
      <w:r>
        <w:br w:type="page"/>
      </w:r>
    </w:p>
    <w:sdt>
      <w:sdtPr>
        <w:rPr>
          <w:rFonts w:hint="eastAsia" w:ascii="宋体" w:hAnsi="宋体" w:eastAsia="宋体" w:cs="宋体"/>
          <w:snapToGrid w:val="0"/>
          <w:color w:val="000000"/>
          <w:kern w:val="0"/>
          <w:sz w:val="24"/>
          <w:szCs w:val="24"/>
          <w:lang w:val="en-US" w:eastAsia="en-US" w:bidi="ar-SA"/>
        </w:rPr>
        <w:id w:val="147466049"/>
        <w15:color w:val="DBDBDB"/>
        <w:docPartObj>
          <w:docPartGallery w:val="Table of Contents"/>
          <w:docPartUnique/>
        </w:docPartObj>
      </w:sdtPr>
      <w:sdtEndPr>
        <w:rPr>
          <w:rFonts w:hint="eastAsia" w:ascii="宋体" w:hAnsi="宋体" w:eastAsia="宋体" w:cs="Arial"/>
          <w:snapToGrid w:val="0"/>
          <w:color w:val="000000"/>
          <w:kern w:val="0"/>
          <w:sz w:val="21"/>
          <w:szCs w:val="21"/>
          <w:lang w:val="en-US" w:eastAsia="en-US" w:bidi="ar-SA"/>
        </w:rPr>
      </w:sdtEndPr>
      <w:sdtContent>
        <w:p w14:paraId="600CEF89">
          <w:pPr>
            <w:keepLines/>
            <w:pageBreakBefore w:val="0"/>
            <w:widowControl/>
            <w:wordWrap/>
            <w:overflowPunct/>
            <w:bidi w:val="0"/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t>目录</w:t>
          </w:r>
        </w:p>
        <w:p w14:paraId="5E9D5287">
          <w:pPr>
            <w:pStyle w:val="16"/>
            <w:keepLines/>
            <w:pageBreakBefore w:val="0"/>
            <w:widowControl/>
            <w:tabs>
              <w:tab w:val="right" w:leader="dot" w:pos="8306"/>
            </w:tabs>
            <w:wordWrap/>
            <w:overflowPunct/>
            <w:bidi w:val="0"/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TOC \o "1-3" \h \u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_Toc17627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eastAsia"/>
              <w:lang w:val="en-US" w:eastAsia="zh-CN"/>
            </w:rPr>
            <w:t>万洲奇智（青岛）信息科技有限</w:t>
          </w:r>
          <w:r>
            <w:t>公司</w:t>
          </w:r>
          <w:r>
            <w:tab/>
          </w:r>
          <w:r>
            <w:fldChar w:fldCharType="begin"/>
          </w:r>
          <w:r>
            <w:instrText xml:space="preserve"> PAGEREF _Toc17627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16D4D18A">
          <w:pPr>
            <w:pStyle w:val="16"/>
            <w:keepLines/>
            <w:pageBreakBefore w:val="0"/>
            <w:widowControl/>
            <w:tabs>
              <w:tab w:val="right" w:leader="dot" w:pos="8306"/>
            </w:tabs>
            <w:wordWrap/>
            <w:overflowPunct/>
            <w:bidi w:val="0"/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_Toc21409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eastAsia"/>
              <w:lang w:val="en-US" w:eastAsia="zh-CN"/>
            </w:rPr>
            <w:t>人员技能评定管理制度</w:t>
          </w:r>
          <w:r>
            <w:tab/>
          </w:r>
          <w:r>
            <w:fldChar w:fldCharType="begin"/>
          </w:r>
          <w:r>
            <w:instrText xml:space="preserve"> PAGEREF _Toc21409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0B8CAE73">
          <w:pPr>
            <w:pStyle w:val="16"/>
            <w:keepLines/>
            <w:pageBreakBefore w:val="0"/>
            <w:widowControl/>
            <w:tabs>
              <w:tab w:val="right" w:leader="dot" w:pos="8306"/>
            </w:tabs>
            <w:wordWrap/>
            <w:overflowPunct/>
            <w:bidi w:val="0"/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_Toc23392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1. </w:t>
          </w:r>
          <w:r>
            <w:t>目的</w:t>
          </w:r>
          <w:r>
            <w:tab/>
          </w:r>
          <w:r>
            <w:fldChar w:fldCharType="begin"/>
          </w:r>
          <w:r>
            <w:instrText xml:space="preserve"> PAGEREF _Toc23392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0A64A284">
          <w:pPr>
            <w:pStyle w:val="16"/>
            <w:keepLines/>
            <w:pageBreakBefore w:val="0"/>
            <w:widowControl/>
            <w:tabs>
              <w:tab w:val="right" w:leader="dot" w:pos="8306"/>
            </w:tabs>
            <w:wordWrap/>
            <w:overflowPunct/>
            <w:bidi w:val="0"/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_Toc23265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原则</w:t>
          </w:r>
          <w:r>
            <w:tab/>
          </w:r>
          <w:r>
            <w:fldChar w:fldCharType="begin"/>
          </w:r>
          <w:r>
            <w:instrText xml:space="preserve"> PAGEREF _Toc23265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017C920D">
          <w:pPr>
            <w:pStyle w:val="16"/>
            <w:keepLines/>
            <w:pageBreakBefore w:val="0"/>
            <w:widowControl/>
            <w:tabs>
              <w:tab w:val="right" w:leader="dot" w:pos="8306"/>
            </w:tabs>
            <w:wordWrap/>
            <w:overflowPunct/>
            <w:bidi w:val="0"/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_Toc16206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3. </w:t>
          </w:r>
          <w:r>
            <w:rPr>
              <w:rFonts w:hint="eastAsia"/>
              <w:lang w:val="en-US" w:eastAsia="zh-CN"/>
            </w:rPr>
            <w:t>适用</w:t>
          </w:r>
          <w:r>
            <w:t>范围</w:t>
          </w:r>
          <w:r>
            <w:tab/>
          </w:r>
          <w:r>
            <w:fldChar w:fldCharType="begin"/>
          </w:r>
          <w:r>
            <w:instrText xml:space="preserve"> PAGEREF _Toc16206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5C503EB1">
          <w:pPr>
            <w:pStyle w:val="16"/>
            <w:keepLines/>
            <w:pageBreakBefore w:val="0"/>
            <w:widowControl/>
            <w:tabs>
              <w:tab w:val="right" w:leader="dot" w:pos="8306"/>
            </w:tabs>
            <w:wordWrap/>
            <w:overflowPunct/>
            <w:bidi w:val="0"/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_Toc13223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4. </w:t>
          </w:r>
          <w:r>
            <w:rPr>
              <w:rFonts w:hint="eastAsia"/>
              <w:lang w:val="en-US" w:eastAsia="zh-CN"/>
            </w:rPr>
            <w:t>岗位</w:t>
          </w:r>
          <w:r>
            <w:t>职责</w:t>
          </w:r>
          <w:r>
            <w:tab/>
          </w:r>
          <w:r>
            <w:fldChar w:fldCharType="begin"/>
          </w:r>
          <w:r>
            <w:instrText xml:space="preserve"> PAGEREF _Toc13223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3FBF345D">
          <w:pPr>
            <w:pStyle w:val="17"/>
            <w:keepLines/>
            <w:pageBreakBefore w:val="0"/>
            <w:widowControl/>
            <w:tabs>
              <w:tab w:val="right" w:leader="dot" w:pos="8306"/>
            </w:tabs>
            <w:wordWrap/>
            <w:overflowPunct/>
            <w:bidi w:val="0"/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_Toc21099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4.1. </w:t>
          </w:r>
          <w:r>
            <w:rPr>
              <w:rFonts w:hint="eastAsia"/>
              <w:lang w:val="en-US" w:eastAsia="zh-CN"/>
            </w:rPr>
            <w:t>人力</w:t>
          </w:r>
          <w:r>
            <w:t>部</w:t>
          </w:r>
          <w:r>
            <w:tab/>
          </w:r>
          <w:r>
            <w:fldChar w:fldCharType="begin"/>
          </w:r>
          <w:r>
            <w:instrText xml:space="preserve"> PAGEREF _Toc21099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231D7E8F">
          <w:pPr>
            <w:pStyle w:val="17"/>
            <w:keepLines/>
            <w:pageBreakBefore w:val="0"/>
            <w:widowControl/>
            <w:tabs>
              <w:tab w:val="right" w:leader="dot" w:pos="8306"/>
            </w:tabs>
            <w:wordWrap/>
            <w:overflowPunct/>
            <w:bidi w:val="0"/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_Toc8354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4.2. </w:t>
          </w:r>
          <w:r>
            <w:rPr>
              <w:rFonts w:hint="eastAsia"/>
              <w:lang w:val="en-US" w:eastAsia="zh-CN"/>
            </w:rPr>
            <w:t>其他</w:t>
          </w:r>
          <w:r>
            <w:t>运维</w:t>
          </w:r>
          <w:r>
            <w:rPr>
              <w:rFonts w:hint="eastAsia"/>
              <w:lang w:val="en-US" w:eastAsia="zh-CN"/>
            </w:rPr>
            <w:t>相关</w:t>
          </w:r>
          <w:r>
            <w:t>部</w:t>
          </w:r>
          <w:r>
            <w:rPr>
              <w:rFonts w:hint="eastAsia"/>
              <w:lang w:val="en-US" w:eastAsia="zh-CN"/>
            </w:rPr>
            <w:t>门</w:t>
          </w:r>
          <w:r>
            <w:tab/>
          </w:r>
          <w:r>
            <w:fldChar w:fldCharType="begin"/>
          </w:r>
          <w:r>
            <w:instrText xml:space="preserve"> PAGEREF _Toc8354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2780DBC7">
          <w:pPr>
            <w:pStyle w:val="16"/>
            <w:keepLines/>
            <w:pageBreakBefore w:val="0"/>
            <w:widowControl/>
            <w:tabs>
              <w:tab w:val="right" w:leader="dot" w:pos="8306"/>
            </w:tabs>
            <w:wordWrap/>
            <w:overflowPunct/>
            <w:bidi w:val="0"/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_Toc7331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5. </w:t>
          </w:r>
          <w:r>
            <w:rPr>
              <w:rFonts w:hint="eastAsia"/>
              <w:lang w:val="en-US" w:eastAsia="zh-CN"/>
            </w:rPr>
            <w:t>技能评定实施</w:t>
          </w:r>
          <w:r>
            <w:tab/>
          </w:r>
          <w:r>
            <w:fldChar w:fldCharType="begin"/>
          </w:r>
          <w:r>
            <w:instrText xml:space="preserve"> PAGEREF _Toc7331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6FFE617F">
          <w:pPr>
            <w:pStyle w:val="17"/>
            <w:keepLines/>
            <w:pageBreakBefore w:val="0"/>
            <w:widowControl/>
            <w:tabs>
              <w:tab w:val="right" w:leader="dot" w:pos="8306"/>
            </w:tabs>
            <w:wordWrap/>
            <w:overflowPunct/>
            <w:bidi w:val="0"/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_Toc548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5.1. </w:t>
          </w:r>
          <w:r>
            <w:t>建立岗位技能标准</w:t>
          </w:r>
          <w:r>
            <w:tab/>
          </w:r>
          <w:r>
            <w:fldChar w:fldCharType="begin"/>
          </w:r>
          <w:r>
            <w:instrText xml:space="preserve"> PAGEREF _Toc548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52C07C32">
          <w:pPr>
            <w:pStyle w:val="17"/>
            <w:keepLines/>
            <w:pageBreakBefore w:val="0"/>
            <w:widowControl/>
            <w:tabs>
              <w:tab w:val="right" w:leader="dot" w:pos="8306"/>
            </w:tabs>
            <w:wordWrap/>
            <w:overflowPunct/>
            <w:bidi w:val="0"/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_Toc23753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5.2. </w:t>
          </w:r>
          <w:r>
            <w:t>评定员工技能</w:t>
          </w:r>
          <w:r>
            <w:tab/>
          </w:r>
          <w:r>
            <w:fldChar w:fldCharType="begin"/>
          </w:r>
          <w:r>
            <w:instrText xml:space="preserve"> PAGEREF _Toc23753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3B17860C">
          <w:pPr>
            <w:pStyle w:val="17"/>
            <w:keepLines/>
            <w:pageBreakBefore w:val="0"/>
            <w:widowControl/>
            <w:tabs>
              <w:tab w:val="right" w:leader="dot" w:pos="8306"/>
            </w:tabs>
            <w:wordWrap/>
            <w:overflowPunct/>
            <w:bidi w:val="0"/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_Toc9293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5.3. </w:t>
          </w:r>
          <w:r>
            <w:t>评定实施</w:t>
          </w:r>
          <w:r>
            <w:tab/>
          </w:r>
          <w:r>
            <w:fldChar w:fldCharType="begin"/>
          </w:r>
          <w:r>
            <w:instrText xml:space="preserve"> PAGEREF _Toc9293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5A161EBF">
          <w:pPr>
            <w:pStyle w:val="13"/>
            <w:keepLines/>
            <w:pageBreakBefore w:val="0"/>
            <w:widowControl/>
            <w:tabs>
              <w:tab w:val="right" w:leader="dot" w:pos="8306"/>
            </w:tabs>
            <w:wordWrap/>
            <w:overflowPunct/>
            <w:bidi w:val="0"/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_Toc7319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5.3.1. </w:t>
          </w:r>
          <w:r>
            <w:t>笔试</w:t>
          </w:r>
          <w:r>
            <w:tab/>
          </w:r>
          <w:r>
            <w:fldChar w:fldCharType="begin"/>
          </w:r>
          <w:r>
            <w:instrText xml:space="preserve"> PAGEREF _Toc7319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79A9BBC9">
          <w:pPr>
            <w:pStyle w:val="13"/>
            <w:keepLines/>
            <w:pageBreakBefore w:val="0"/>
            <w:widowControl/>
            <w:tabs>
              <w:tab w:val="right" w:leader="dot" w:pos="8306"/>
            </w:tabs>
            <w:wordWrap/>
            <w:overflowPunct/>
            <w:bidi w:val="0"/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_Toc1960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5.3.2. </w:t>
          </w:r>
          <w:r>
            <w:t>实操</w:t>
          </w:r>
          <w:r>
            <w:tab/>
          </w:r>
          <w:r>
            <w:fldChar w:fldCharType="begin"/>
          </w:r>
          <w:r>
            <w:instrText xml:space="preserve"> PAGEREF _Toc1960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58B4B30B">
          <w:pPr>
            <w:pStyle w:val="13"/>
            <w:keepLines/>
            <w:pageBreakBefore w:val="0"/>
            <w:widowControl/>
            <w:tabs>
              <w:tab w:val="right" w:leader="dot" w:pos="8306"/>
            </w:tabs>
            <w:wordWrap/>
            <w:overflowPunct/>
            <w:bidi w:val="0"/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_Toc18775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5.3.3. </w:t>
          </w:r>
          <w:r>
            <w:rPr>
              <w:rFonts w:hint="eastAsia"/>
              <w:lang w:val="en-US" w:eastAsia="zh-CN"/>
            </w:rPr>
            <w:t>评定</w:t>
          </w:r>
          <w:r>
            <w:tab/>
          </w:r>
          <w:r>
            <w:fldChar w:fldCharType="begin"/>
          </w:r>
          <w:r>
            <w:instrText xml:space="preserve"> PAGEREF _Toc18775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782E9AB5">
          <w:pPr>
            <w:pStyle w:val="17"/>
            <w:keepLines/>
            <w:pageBreakBefore w:val="0"/>
            <w:widowControl/>
            <w:tabs>
              <w:tab w:val="right" w:leader="dot" w:pos="8306"/>
            </w:tabs>
            <w:wordWrap/>
            <w:overflowPunct/>
            <w:bidi w:val="0"/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_Toc16281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5.4. </w:t>
          </w:r>
          <w:r>
            <w:t>评定结果</w:t>
          </w:r>
          <w:r>
            <w:tab/>
          </w:r>
          <w:r>
            <w:fldChar w:fldCharType="begin"/>
          </w:r>
          <w:r>
            <w:instrText xml:space="preserve"> PAGEREF _Toc16281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5A4913BC">
          <w:pPr>
            <w:pStyle w:val="17"/>
            <w:keepLines/>
            <w:pageBreakBefore w:val="0"/>
            <w:widowControl/>
            <w:tabs>
              <w:tab w:val="right" w:leader="dot" w:pos="8306"/>
            </w:tabs>
            <w:wordWrap/>
            <w:overflowPunct/>
            <w:bidi w:val="0"/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_Toc7957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5.5. </w:t>
          </w:r>
          <w:r>
            <w:t>评定结果运用</w:t>
          </w:r>
          <w:r>
            <w:tab/>
          </w:r>
          <w:r>
            <w:fldChar w:fldCharType="begin"/>
          </w:r>
          <w:r>
            <w:instrText xml:space="preserve"> PAGEREF _Toc7957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7BDCD761">
          <w:pPr>
            <w:pStyle w:val="16"/>
            <w:keepLines/>
            <w:pageBreakBefore w:val="0"/>
            <w:widowControl/>
            <w:tabs>
              <w:tab w:val="right" w:leader="dot" w:pos="8306"/>
            </w:tabs>
            <w:wordWrap/>
            <w:overflowPunct/>
            <w:bidi w:val="0"/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_Toc7499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 </w:t>
          </w:r>
          <w:r>
            <w:rPr>
              <w:rFonts w:hint="eastAsia"/>
              <w:lang w:val="en-US" w:eastAsia="zh-CN"/>
            </w:rPr>
            <w:t>附则</w:t>
          </w:r>
          <w:r>
            <w:tab/>
          </w:r>
          <w:r>
            <w:fldChar w:fldCharType="begin"/>
          </w:r>
          <w:r>
            <w:instrText xml:space="preserve"> PAGEREF _Toc7499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3CD7265D">
          <w:pPr>
            <w:pStyle w:val="16"/>
            <w:keepLines/>
            <w:pageBreakBefore w:val="0"/>
            <w:widowControl/>
            <w:tabs>
              <w:tab w:val="right" w:leader="dot" w:pos="8306"/>
            </w:tabs>
            <w:wordWrap/>
            <w:overflowPunct/>
            <w:bidi w:val="0"/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_Toc25180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 </w:t>
          </w:r>
          <w:r>
            <w:rPr>
              <w:rFonts w:hint="eastAsia"/>
              <w:lang w:val="en-US" w:eastAsia="zh-CN"/>
            </w:rPr>
            <w:t>附件</w:t>
          </w:r>
          <w:r>
            <w:tab/>
          </w:r>
          <w:r>
            <w:fldChar w:fldCharType="begin"/>
          </w:r>
          <w:r>
            <w:instrText xml:space="preserve"> PAGEREF _Toc25180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4795A04D">
          <w:pPr>
            <w:pStyle w:val="16"/>
            <w:keepLines/>
            <w:pageBreakBefore w:val="0"/>
            <w:widowControl/>
            <w:tabs>
              <w:tab w:val="right" w:leader="dot" w:pos="8306"/>
            </w:tabs>
            <w:wordWrap/>
            <w:overflowPunct/>
            <w:bidi w:val="0"/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_Toc21248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8. </w:t>
          </w:r>
          <w:r>
            <w:rPr>
              <w:rFonts w:hint="eastAsia"/>
              <w:lang w:val="en-US" w:eastAsia="zh-CN"/>
            </w:rPr>
            <w:t>记录</w:t>
          </w:r>
          <w:r>
            <w:tab/>
          </w:r>
          <w:r>
            <w:fldChar w:fldCharType="begin"/>
          </w:r>
          <w:r>
            <w:instrText xml:space="preserve"> PAGEREF _Toc21248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5B6215B1">
          <w:pPr>
            <w:keepLines/>
            <w:pageBreakBefore w:val="0"/>
            <w:widowControl/>
            <w:wordWrap/>
            <w:overflowPunct/>
            <w:bidi w:val="0"/>
          </w:pP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</w:sdtContent>
    </w:sdt>
    <w:p w14:paraId="101225AE">
      <w:pPr>
        <w:keepLines/>
        <w:pageBreakBefore w:val="0"/>
        <w:widowControl/>
        <w:wordWrap/>
        <w:overflowPunct/>
        <w:bidi w:val="0"/>
      </w:pPr>
    </w:p>
    <w:p w14:paraId="73042247">
      <w:pPr>
        <w:keepLines/>
        <w:pageBreakBefore w:val="0"/>
        <w:widowControl/>
        <w:wordWrap/>
        <w:overflowPunct/>
        <w:bidi w:val="0"/>
      </w:pPr>
      <w:r>
        <w:br w:type="page"/>
      </w:r>
    </w:p>
    <w:p w14:paraId="28F9767D">
      <w:pPr>
        <w:pStyle w:val="26"/>
        <w:keepLines/>
        <w:pageBreakBefore w:val="0"/>
        <w:widowControl/>
        <w:wordWrap/>
        <w:overflowPunct/>
        <w:bidi w:val="0"/>
      </w:pPr>
      <w:bookmarkStart w:id="2" w:name="_Toc23392"/>
      <w:r>
        <w:t>目的</w:t>
      </w:r>
      <w:bookmarkEnd w:id="2"/>
    </w:p>
    <w:p w14:paraId="50895198">
      <w:pPr>
        <w:keepNext w:val="0"/>
        <w:keepLines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68" w:firstLineChars="200"/>
        <w:textAlignment w:val="baseline"/>
        <w:rPr>
          <w:rFonts w:ascii="宋体" w:hAnsi="宋体" w:eastAsia="宋体" w:cs="宋体"/>
          <w:spacing w:val="-3"/>
          <w:sz w:val="24"/>
          <w:szCs w:val="24"/>
        </w:rPr>
      </w:pPr>
      <w:bookmarkStart w:id="3" w:name="bookmark2"/>
      <w:bookmarkEnd w:id="3"/>
      <w:r>
        <w:rPr>
          <w:rFonts w:ascii="宋体" w:hAnsi="宋体" w:eastAsia="宋体" w:cs="宋体"/>
          <w:spacing w:val="-3"/>
          <w:sz w:val="24"/>
          <w:szCs w:val="24"/>
        </w:rPr>
        <w:t>通过建立岗位任职基本标准和规则，确保员工技能符合岗位任职需求，作为</w:t>
      </w:r>
      <w:bookmarkStart w:id="4" w:name="bookmark2"/>
      <w:bookmarkEnd w:id="4"/>
      <w:r>
        <w:rPr>
          <w:rFonts w:ascii="宋体" w:hAnsi="宋体" w:eastAsia="宋体" w:cs="宋体"/>
          <w:spacing w:val="-3"/>
          <w:sz w:val="24"/>
          <w:szCs w:val="24"/>
        </w:rPr>
        <w:t>员工能力培训及发展、绩效评定、定薪和薪酬调整的重要依据。</w:t>
      </w:r>
    </w:p>
    <w:p w14:paraId="1FFA4707">
      <w:pPr>
        <w:pStyle w:val="26"/>
        <w:keepLines/>
        <w:pageBreakBefore w:val="0"/>
        <w:widowControl/>
        <w:wordWrap/>
        <w:overflowPunct/>
        <w:bidi w:val="0"/>
        <w:rPr>
          <w:rFonts w:hint="eastAsia"/>
          <w:lang w:val="en-US" w:eastAsia="zh-CN"/>
        </w:rPr>
      </w:pPr>
      <w:bookmarkStart w:id="5" w:name="_Toc23265"/>
      <w:r>
        <w:rPr>
          <w:rFonts w:hint="eastAsia"/>
          <w:lang w:val="en-US" w:eastAsia="zh-CN"/>
        </w:rPr>
        <w:t>原则</w:t>
      </w:r>
      <w:bookmarkEnd w:id="5"/>
    </w:p>
    <w:p w14:paraId="3B19D6B2">
      <w:pPr>
        <w:pStyle w:val="27"/>
        <w:keepLines/>
        <w:pageBreakBefore w:val="0"/>
        <w:widowControl/>
        <w:wordWrap/>
        <w:overflowPunct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技能评定应遵循客观、公平、公正的原则。</w:t>
      </w:r>
    </w:p>
    <w:p w14:paraId="4F73DDFA">
      <w:pPr>
        <w:pStyle w:val="26"/>
        <w:keepLines/>
        <w:pageBreakBefore w:val="0"/>
        <w:widowControl/>
        <w:wordWrap/>
        <w:overflowPunct/>
        <w:bidi w:val="0"/>
      </w:pPr>
      <w:bookmarkStart w:id="6" w:name="bookmark3"/>
      <w:bookmarkEnd w:id="6"/>
      <w:bookmarkStart w:id="7" w:name="_Toc16206"/>
      <w:r>
        <w:rPr>
          <w:rFonts w:hint="eastAsia"/>
          <w:lang w:val="en-US" w:eastAsia="zh-CN"/>
        </w:rPr>
        <w:t>适用</w:t>
      </w:r>
      <w:r>
        <w:t>范围</w:t>
      </w:r>
      <w:bookmarkEnd w:id="7"/>
    </w:p>
    <w:p w14:paraId="5FB562B9">
      <w:pPr>
        <w:pStyle w:val="27"/>
        <w:keepLines/>
        <w:pageBreakBefore w:val="0"/>
        <w:widowControl/>
        <w:wordWrap/>
        <w:overflowPunct/>
        <w:bidi w:val="0"/>
      </w:pPr>
      <w:bookmarkStart w:id="8" w:name="bookmark4"/>
      <w:bookmarkEnd w:id="8"/>
      <w:r>
        <w:t>本制度适用于公司的运维人员的技能评定及管理。</w:t>
      </w:r>
    </w:p>
    <w:p w14:paraId="645E50B2">
      <w:pPr>
        <w:pStyle w:val="26"/>
        <w:keepLines/>
        <w:pageBreakBefore w:val="0"/>
        <w:widowControl/>
        <w:wordWrap/>
        <w:overflowPunct/>
        <w:bidi w:val="0"/>
      </w:pPr>
      <w:bookmarkStart w:id="9" w:name="bookmark5"/>
      <w:bookmarkEnd w:id="9"/>
      <w:bookmarkStart w:id="10" w:name="_Toc13223"/>
      <w:r>
        <w:rPr>
          <w:rFonts w:hint="eastAsia"/>
          <w:lang w:val="en-US" w:eastAsia="zh-CN"/>
        </w:rPr>
        <w:t>岗位</w:t>
      </w:r>
      <w:r>
        <w:t>职责</w:t>
      </w:r>
      <w:bookmarkEnd w:id="10"/>
    </w:p>
    <w:p w14:paraId="4FE772A9">
      <w:pPr>
        <w:pStyle w:val="28"/>
        <w:keepLines/>
        <w:pageBreakBefore w:val="0"/>
        <w:widowControl/>
        <w:wordWrap/>
        <w:overflowPunct/>
        <w:bidi w:val="0"/>
      </w:pPr>
      <w:bookmarkStart w:id="11" w:name="bookmark6"/>
      <w:bookmarkEnd w:id="11"/>
      <w:bookmarkStart w:id="12" w:name="_Toc21099"/>
      <w:r>
        <w:rPr>
          <w:rFonts w:hint="eastAsia"/>
          <w:lang w:val="en-US" w:eastAsia="zh-CN"/>
        </w:rPr>
        <w:t>人力</w:t>
      </w:r>
      <w:r>
        <w:t>部</w:t>
      </w:r>
      <w:bookmarkEnd w:id="12"/>
    </w:p>
    <w:p w14:paraId="6F4A09A6">
      <w:pPr>
        <w:keepNext w:val="0"/>
        <w:keepLines/>
        <w:pageBreakBefore w:val="0"/>
        <w:widowControl/>
        <w:numPr>
          <w:ilvl w:val="0"/>
          <w:numId w:val="2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负责本制度的制定、修订和监督执行；</w:t>
      </w:r>
    </w:p>
    <w:p w14:paraId="5A99183B">
      <w:pPr>
        <w:keepNext w:val="0"/>
        <w:keepLines/>
        <w:pageBreakBefore w:val="0"/>
        <w:widowControl/>
        <w:numPr>
          <w:ilvl w:val="0"/>
          <w:numId w:val="2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组织员工技能标准和评定标准的建立；</w:t>
      </w:r>
    </w:p>
    <w:p w14:paraId="46E1BA17">
      <w:pPr>
        <w:keepNext w:val="0"/>
        <w:keepLines/>
        <w:pageBreakBefore w:val="0"/>
        <w:widowControl/>
        <w:numPr>
          <w:ilvl w:val="0"/>
          <w:numId w:val="2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组织、监督员工技能评定；</w:t>
      </w:r>
    </w:p>
    <w:p w14:paraId="0E96D13E">
      <w:pPr>
        <w:keepNext w:val="0"/>
        <w:keepLines/>
        <w:pageBreakBefore w:val="0"/>
        <w:widowControl/>
        <w:numPr>
          <w:ilvl w:val="0"/>
          <w:numId w:val="2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3"/>
          <w:sz w:val="24"/>
          <w:szCs w:val="24"/>
        </w:rPr>
        <w:t>负责评定结果的备案；</w:t>
      </w:r>
    </w:p>
    <w:p w14:paraId="4E445CA9">
      <w:pPr>
        <w:keepNext w:val="0"/>
        <w:keepLines/>
        <w:pageBreakBefore w:val="0"/>
        <w:widowControl/>
        <w:numPr>
          <w:ilvl w:val="0"/>
          <w:numId w:val="2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受理和处理员工对评定的意见和建议。</w:t>
      </w:r>
    </w:p>
    <w:p w14:paraId="4A6AE2BB">
      <w:pPr>
        <w:pStyle w:val="28"/>
        <w:keepLines/>
        <w:pageBreakBefore w:val="0"/>
        <w:widowControl/>
        <w:wordWrap/>
        <w:overflowPunct/>
        <w:bidi w:val="0"/>
      </w:pPr>
      <w:bookmarkStart w:id="13" w:name="bookmark7"/>
      <w:bookmarkEnd w:id="13"/>
      <w:bookmarkStart w:id="14" w:name="_Toc8354"/>
      <w:r>
        <w:rPr>
          <w:rFonts w:hint="eastAsia"/>
          <w:lang w:val="en-US" w:eastAsia="zh-CN"/>
        </w:rPr>
        <w:t>其他</w:t>
      </w:r>
      <w:r>
        <w:t>运维</w:t>
      </w:r>
      <w:r>
        <w:rPr>
          <w:rFonts w:hint="eastAsia"/>
          <w:lang w:val="en-US" w:eastAsia="zh-CN"/>
        </w:rPr>
        <w:t>相关</w:t>
      </w:r>
      <w:r>
        <w:t>部</w:t>
      </w:r>
      <w:r>
        <w:rPr>
          <w:rFonts w:hint="eastAsia"/>
          <w:lang w:val="en-US" w:eastAsia="zh-CN"/>
        </w:rPr>
        <w:t>门</w:t>
      </w:r>
      <w:bookmarkEnd w:id="14"/>
    </w:p>
    <w:p w14:paraId="1CF6A409">
      <w:pPr>
        <w:keepNext w:val="0"/>
        <w:keepLines/>
        <w:pageBreakBefore w:val="0"/>
        <w:widowControl/>
        <w:numPr>
          <w:ilvl w:val="0"/>
          <w:numId w:val="3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参与本制度的制定和修订，负责本制度在部门的监督执行；</w:t>
      </w:r>
    </w:p>
    <w:p w14:paraId="45878DF8">
      <w:pPr>
        <w:keepNext w:val="0"/>
        <w:keepLines/>
        <w:pageBreakBefore w:val="0"/>
        <w:widowControl/>
        <w:numPr>
          <w:ilvl w:val="0"/>
          <w:numId w:val="3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组织部门员工技能标准和评定标准的建立；</w:t>
      </w:r>
    </w:p>
    <w:p w14:paraId="1464E50F">
      <w:pPr>
        <w:keepNext w:val="0"/>
        <w:keepLines/>
        <w:pageBreakBefore w:val="0"/>
        <w:widowControl/>
        <w:numPr>
          <w:ilvl w:val="0"/>
          <w:numId w:val="3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组织、监督部门员工技能评定；</w:t>
      </w:r>
    </w:p>
    <w:p w14:paraId="2D7EBE10">
      <w:pPr>
        <w:keepNext w:val="0"/>
        <w:keepLines/>
        <w:pageBreakBefore w:val="0"/>
        <w:widowControl/>
        <w:numPr>
          <w:ilvl w:val="0"/>
          <w:numId w:val="3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负责评定结果的</w:t>
      </w:r>
      <w:r>
        <w:rPr>
          <w:rFonts w:hint="eastAsia" w:ascii="宋体" w:hAnsi="宋体" w:eastAsia="宋体" w:cs="宋体"/>
          <w:spacing w:val="-1"/>
          <w:sz w:val="24"/>
          <w:szCs w:val="24"/>
          <w:lang w:val="en-US" w:eastAsia="zh-CN"/>
        </w:rPr>
        <w:t>分析</w:t>
      </w:r>
      <w:r>
        <w:rPr>
          <w:rFonts w:ascii="宋体" w:hAnsi="宋体" w:eastAsia="宋体" w:cs="宋体"/>
          <w:spacing w:val="-1"/>
          <w:sz w:val="24"/>
          <w:szCs w:val="24"/>
        </w:rPr>
        <w:t>；</w:t>
      </w:r>
    </w:p>
    <w:p w14:paraId="1B54D32F">
      <w:pPr>
        <w:keepNext w:val="0"/>
        <w:keepLines/>
        <w:pageBreakBefore w:val="0"/>
        <w:widowControl/>
        <w:numPr>
          <w:ilvl w:val="0"/>
          <w:numId w:val="3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受理和处理部门员工对评定的意见和建议。</w:t>
      </w:r>
    </w:p>
    <w:p w14:paraId="5B7B6FA4">
      <w:pPr>
        <w:pStyle w:val="26"/>
        <w:keepLines/>
        <w:pageBreakBefore w:val="0"/>
        <w:widowControl/>
        <w:wordWrap/>
        <w:overflowPunct/>
        <w:bidi w:val="0"/>
      </w:pPr>
      <w:bookmarkStart w:id="15" w:name="bookmark8"/>
      <w:bookmarkEnd w:id="15"/>
      <w:bookmarkStart w:id="16" w:name="_Toc7331"/>
      <w:r>
        <w:rPr>
          <w:rFonts w:hint="eastAsia"/>
          <w:lang w:val="en-US" w:eastAsia="zh-CN"/>
        </w:rPr>
        <w:t>技能评定实施</w:t>
      </w:r>
      <w:bookmarkEnd w:id="16"/>
    </w:p>
    <w:p w14:paraId="6CBD744B">
      <w:pPr>
        <w:pStyle w:val="28"/>
        <w:keepLines/>
        <w:pageBreakBefore w:val="0"/>
        <w:widowControl/>
        <w:wordWrap/>
        <w:overflowPunct/>
        <w:bidi w:val="0"/>
      </w:pPr>
      <w:bookmarkStart w:id="17" w:name="_Toc548"/>
      <w:r>
        <w:t>建立岗位技能标准</w:t>
      </w:r>
      <w:bookmarkEnd w:id="17"/>
    </w:p>
    <w:p w14:paraId="55772097">
      <w:pPr>
        <w:keepLines/>
        <w:pageBreakBefore w:val="0"/>
        <w:widowControl/>
        <w:numPr>
          <w:ilvl w:val="0"/>
          <w:numId w:val="4"/>
        </w:numPr>
        <w:wordWrap/>
        <w:overflowPunct/>
        <w:bidi w:val="0"/>
        <w:spacing w:before="103" w:line="299" w:lineRule="auto"/>
        <w:ind w:left="425" w:leftChars="0" w:hanging="425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人力部</w:t>
      </w:r>
      <w:r>
        <w:rPr>
          <w:rFonts w:ascii="宋体" w:hAnsi="宋体" w:eastAsia="宋体" w:cs="宋体"/>
          <w:sz w:val="24"/>
          <w:szCs w:val="24"/>
        </w:rPr>
        <w:t>组织；运维部进行岗位技</w:t>
      </w:r>
      <w:r>
        <w:rPr>
          <w:rFonts w:ascii="宋体" w:hAnsi="宋体" w:eastAsia="宋体" w:cs="宋体"/>
          <w:spacing w:val="-2"/>
          <w:sz w:val="24"/>
          <w:szCs w:val="24"/>
        </w:rPr>
        <w:t>能标准的梳理和建立；</w:t>
      </w:r>
    </w:p>
    <w:p w14:paraId="4BEA62FA">
      <w:pPr>
        <w:keepLines/>
        <w:pageBreakBefore w:val="0"/>
        <w:widowControl/>
        <w:numPr>
          <w:ilvl w:val="0"/>
          <w:numId w:val="4"/>
        </w:numPr>
        <w:wordWrap/>
        <w:overflowPunct/>
        <w:bidi w:val="0"/>
        <w:spacing w:before="1" w:line="219" w:lineRule="auto"/>
        <w:ind w:left="425" w:leftChars="0" w:hanging="425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部门负责人根据岗位工作内容梳理岗位技能标准；</w:t>
      </w:r>
    </w:p>
    <w:p w14:paraId="49B9D532">
      <w:pPr>
        <w:keepLines/>
        <w:pageBreakBefore w:val="0"/>
        <w:widowControl/>
        <w:numPr>
          <w:ilvl w:val="0"/>
          <w:numId w:val="4"/>
        </w:numPr>
        <w:wordWrap/>
        <w:overflowPunct/>
        <w:bidi w:val="0"/>
        <w:spacing w:before="104" w:line="219" w:lineRule="auto"/>
        <w:ind w:left="425" w:leftChars="0" w:hanging="425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人力部</w:t>
      </w:r>
      <w:r>
        <w:rPr>
          <w:rFonts w:ascii="宋体" w:hAnsi="宋体" w:eastAsia="宋体" w:cs="宋体"/>
          <w:sz w:val="24"/>
          <w:szCs w:val="24"/>
        </w:rPr>
        <w:t>和运维部负责人进行讨论</w:t>
      </w:r>
      <w:r>
        <w:rPr>
          <w:rFonts w:ascii="宋体" w:hAnsi="宋体" w:eastAsia="宋体" w:cs="宋体"/>
          <w:spacing w:val="-1"/>
          <w:sz w:val="24"/>
          <w:szCs w:val="24"/>
        </w:rPr>
        <w:t>，确定岗位技能标准；</w:t>
      </w:r>
    </w:p>
    <w:p w14:paraId="2A18B08E">
      <w:pPr>
        <w:keepLines/>
        <w:pageBreakBefore w:val="0"/>
        <w:widowControl/>
        <w:numPr>
          <w:ilvl w:val="0"/>
          <w:numId w:val="4"/>
        </w:numPr>
        <w:wordWrap/>
        <w:overflowPunct/>
        <w:bidi w:val="0"/>
        <w:spacing w:before="104" w:line="219" w:lineRule="auto"/>
        <w:ind w:left="425" w:leftChars="0" w:hanging="425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人力部</w:t>
      </w:r>
      <w:r>
        <w:rPr>
          <w:rFonts w:ascii="宋体" w:hAnsi="宋体" w:eastAsia="宋体" w:cs="宋体"/>
          <w:sz w:val="24"/>
          <w:szCs w:val="24"/>
        </w:rPr>
        <w:t>和运维部对各岗位标准技能进行汇总整理，形成《员工岗位标准技能表》。</w:t>
      </w:r>
    </w:p>
    <w:p w14:paraId="1065543E">
      <w:pPr>
        <w:pStyle w:val="28"/>
        <w:keepLines/>
        <w:pageBreakBefore w:val="0"/>
        <w:widowControl/>
        <w:wordWrap/>
        <w:overflowPunct/>
        <w:bidi w:val="0"/>
      </w:pPr>
      <w:bookmarkStart w:id="18" w:name="_Toc23753"/>
      <w:r>
        <w:t>评定员工技能</w:t>
      </w:r>
      <w:bookmarkEnd w:id="18"/>
    </w:p>
    <w:p w14:paraId="529ABA8A">
      <w:pPr>
        <w:keepNext w:val="0"/>
        <w:keepLines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评定原则：公平</w:t>
      </w:r>
      <w:r>
        <w:rPr>
          <w:rFonts w:hint="eastAsia" w:ascii="宋体" w:hAnsi="宋体" w:eastAsia="宋体" w:cs="宋体"/>
          <w:spacing w:val="-1"/>
          <w:sz w:val="24"/>
          <w:szCs w:val="24"/>
          <w:lang w:eastAsia="zh-CN"/>
        </w:rPr>
        <w:t>、</w:t>
      </w:r>
      <w:r>
        <w:rPr>
          <w:rFonts w:ascii="宋体" w:hAnsi="宋体" w:eastAsia="宋体" w:cs="宋体"/>
          <w:spacing w:val="-1"/>
          <w:sz w:val="24"/>
          <w:szCs w:val="24"/>
        </w:rPr>
        <w:t>公正</w:t>
      </w:r>
      <w:r>
        <w:rPr>
          <w:rFonts w:hint="eastAsia" w:ascii="宋体" w:hAnsi="宋体" w:eastAsia="宋体" w:cs="宋体"/>
          <w:spacing w:val="-1"/>
          <w:sz w:val="24"/>
          <w:szCs w:val="24"/>
          <w:lang w:eastAsia="zh-CN"/>
        </w:rPr>
        <w:t>、</w:t>
      </w:r>
      <w:r>
        <w:rPr>
          <w:rFonts w:ascii="宋体" w:hAnsi="宋体" w:eastAsia="宋体" w:cs="宋体"/>
          <w:spacing w:val="-1"/>
          <w:sz w:val="24"/>
          <w:szCs w:val="24"/>
        </w:rPr>
        <w:t>公开；</w:t>
      </w:r>
    </w:p>
    <w:p w14:paraId="224B4004">
      <w:pPr>
        <w:keepNext w:val="0"/>
        <w:keepLines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评定标准：评定共分为五个等级，具体标准如下：</w:t>
      </w:r>
    </w:p>
    <w:tbl>
      <w:tblPr>
        <w:tblStyle w:val="24"/>
        <w:tblW w:w="9374" w:type="dxa"/>
        <w:tblInd w:w="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28"/>
        <w:gridCol w:w="849"/>
        <w:gridCol w:w="2250"/>
        <w:gridCol w:w="3538"/>
        <w:gridCol w:w="1809"/>
      </w:tblGrid>
      <w:tr w14:paraId="5EA71AA1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9374" w:type="dxa"/>
            <w:gridSpan w:val="5"/>
            <w:vAlign w:val="top"/>
          </w:tcPr>
          <w:p w14:paraId="085D1898">
            <w:pPr>
              <w:keepLines/>
              <w:pageBreakBefore w:val="0"/>
              <w:widowControl/>
              <w:wordWrap/>
              <w:overflowPunct/>
              <w:bidi w:val="0"/>
              <w:spacing w:before="37" w:line="210" w:lineRule="auto"/>
              <w:ind w:left="35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员工岗位技能评定标准</w:t>
            </w:r>
          </w:p>
        </w:tc>
      </w:tr>
      <w:tr w14:paraId="63C5F730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928" w:type="dxa"/>
            <w:vAlign w:val="top"/>
          </w:tcPr>
          <w:p w14:paraId="74C24B46">
            <w:pPr>
              <w:keepLines/>
              <w:pageBreakBefore w:val="0"/>
              <w:widowControl/>
              <w:wordWrap/>
              <w:overflowPunct/>
              <w:bidi w:val="0"/>
              <w:spacing w:before="34" w:line="209" w:lineRule="auto"/>
              <w:ind w:left="228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序列</w:t>
            </w:r>
          </w:p>
        </w:tc>
        <w:tc>
          <w:tcPr>
            <w:tcW w:w="849" w:type="dxa"/>
            <w:vAlign w:val="top"/>
          </w:tcPr>
          <w:p w14:paraId="4E842B72">
            <w:pPr>
              <w:keepLines/>
              <w:pageBreakBefore w:val="0"/>
              <w:widowControl/>
              <w:wordWrap/>
              <w:overflowPunct/>
              <w:bidi w:val="0"/>
              <w:spacing w:before="34" w:line="209" w:lineRule="auto"/>
              <w:ind w:left="193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7"/>
                <w:sz w:val="24"/>
                <w:szCs w:val="24"/>
              </w:rPr>
              <w:t>级别</w:t>
            </w:r>
          </w:p>
        </w:tc>
        <w:tc>
          <w:tcPr>
            <w:tcW w:w="2250" w:type="dxa"/>
            <w:vAlign w:val="top"/>
          </w:tcPr>
          <w:p w14:paraId="6779A9A5">
            <w:pPr>
              <w:keepLines/>
              <w:pageBreakBefore w:val="0"/>
              <w:widowControl/>
              <w:wordWrap/>
              <w:overflowPunct/>
              <w:bidi w:val="0"/>
              <w:spacing w:before="34" w:line="209" w:lineRule="auto"/>
              <w:ind w:left="892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标识</w:t>
            </w:r>
          </w:p>
        </w:tc>
        <w:tc>
          <w:tcPr>
            <w:tcW w:w="3538" w:type="dxa"/>
            <w:vAlign w:val="top"/>
          </w:tcPr>
          <w:p w14:paraId="2AFC00EA">
            <w:pPr>
              <w:keepLines/>
              <w:pageBreakBefore w:val="0"/>
              <w:widowControl/>
              <w:wordWrap/>
              <w:overflowPunct/>
              <w:bidi w:val="0"/>
              <w:spacing w:before="34" w:line="209" w:lineRule="auto"/>
              <w:ind w:left="1538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7"/>
                <w:sz w:val="24"/>
                <w:szCs w:val="24"/>
              </w:rPr>
              <w:t>说明</w:t>
            </w:r>
          </w:p>
        </w:tc>
        <w:tc>
          <w:tcPr>
            <w:tcW w:w="1809" w:type="dxa"/>
            <w:vAlign w:val="top"/>
          </w:tcPr>
          <w:p w14:paraId="4526F6AC">
            <w:pPr>
              <w:keepLines/>
              <w:pageBreakBefore w:val="0"/>
              <w:widowControl/>
              <w:wordWrap/>
              <w:overflowPunct/>
              <w:bidi w:val="0"/>
              <w:spacing w:before="34" w:line="209" w:lineRule="auto"/>
              <w:ind w:left="428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评定分数</w:t>
            </w:r>
          </w:p>
        </w:tc>
      </w:tr>
      <w:tr w14:paraId="05A1F049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4" w:hRule="atLeast"/>
        </w:trPr>
        <w:tc>
          <w:tcPr>
            <w:tcW w:w="928" w:type="dxa"/>
            <w:vAlign w:val="top"/>
          </w:tcPr>
          <w:p w14:paraId="69FCE226">
            <w:pPr>
              <w:pStyle w:val="25"/>
              <w:keepLines/>
              <w:pageBreakBefore w:val="0"/>
              <w:widowControl/>
              <w:wordWrap/>
              <w:overflowPunct/>
              <w:bidi w:val="0"/>
              <w:spacing w:line="250" w:lineRule="auto"/>
            </w:pPr>
          </w:p>
          <w:p w14:paraId="7492853A">
            <w:pPr>
              <w:keepLines/>
              <w:pageBreakBefore w:val="0"/>
              <w:widowControl/>
              <w:wordWrap/>
              <w:overflowPunct/>
              <w:bidi w:val="0"/>
              <w:spacing w:before="78" w:line="241" w:lineRule="auto"/>
              <w:ind w:left="42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849" w:type="dxa"/>
            <w:vAlign w:val="top"/>
          </w:tcPr>
          <w:p w14:paraId="30DEE30F">
            <w:pPr>
              <w:pStyle w:val="25"/>
              <w:keepLines/>
              <w:pageBreakBefore w:val="0"/>
              <w:widowControl/>
              <w:wordWrap/>
              <w:overflowPunct/>
              <w:bidi w:val="0"/>
              <w:spacing w:line="250" w:lineRule="auto"/>
            </w:pPr>
          </w:p>
          <w:p w14:paraId="4B0EE07E">
            <w:pPr>
              <w:keepLines/>
              <w:pageBreakBefore w:val="0"/>
              <w:widowControl/>
              <w:wordWrap/>
              <w:overflowPunct/>
              <w:bidi w:val="0"/>
              <w:spacing w:before="78" w:line="221" w:lineRule="auto"/>
              <w:ind w:left="193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7"/>
                <w:sz w:val="24"/>
                <w:szCs w:val="24"/>
              </w:rPr>
              <w:t>一级</w:t>
            </w:r>
          </w:p>
        </w:tc>
        <w:tc>
          <w:tcPr>
            <w:tcW w:w="2250" w:type="dxa"/>
            <w:vAlign w:val="top"/>
          </w:tcPr>
          <w:p w14:paraId="4EB4F1EC">
            <w:pPr>
              <w:keepLines/>
              <w:pageBreakBefore w:val="0"/>
              <w:widowControl/>
              <w:wordWrap/>
              <w:overflowPunct/>
              <w:bidi w:val="0"/>
              <w:spacing w:before="250" w:line="396" w:lineRule="exact"/>
              <w:ind w:left="836"/>
              <w:rPr>
                <w:rFonts w:ascii="微软雅黑" w:hAnsi="微软雅黑" w:eastAsia="微软雅黑" w:cs="微软雅黑"/>
                <w:sz w:val="39"/>
                <w:szCs w:val="39"/>
              </w:rPr>
            </w:pPr>
            <w:r>
              <w:rPr>
                <w:rFonts w:ascii="微软雅黑" w:hAnsi="微软雅黑" w:eastAsia="微软雅黑" w:cs="微软雅黑"/>
                <w:color w:val="F9EACD"/>
                <w:spacing w:val="36"/>
                <w:position w:val="-2"/>
                <w:sz w:val="39"/>
                <w:szCs w:val="39"/>
              </w:rPr>
              <w:t>☆</w:t>
            </w:r>
          </w:p>
        </w:tc>
        <w:tc>
          <w:tcPr>
            <w:tcW w:w="3538" w:type="dxa"/>
            <w:vAlign w:val="top"/>
          </w:tcPr>
          <w:p w14:paraId="5CBBD5DA">
            <w:pPr>
              <w:keepLines/>
              <w:pageBreakBefore w:val="0"/>
              <w:widowControl/>
              <w:wordWrap/>
              <w:overflowPunct/>
              <w:bidi w:val="0"/>
              <w:spacing w:before="173" w:line="242" w:lineRule="auto"/>
              <w:ind w:left="115" w:right="309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不具备岗位基础知识且需要培训才能进行实际操作；</w:t>
            </w:r>
          </w:p>
        </w:tc>
        <w:tc>
          <w:tcPr>
            <w:tcW w:w="1809" w:type="dxa"/>
            <w:vAlign w:val="top"/>
          </w:tcPr>
          <w:p w14:paraId="30F46778">
            <w:pPr>
              <w:pStyle w:val="25"/>
              <w:keepLines/>
              <w:pageBreakBefore w:val="0"/>
              <w:widowControl/>
              <w:wordWrap/>
              <w:overflowPunct/>
              <w:bidi w:val="0"/>
              <w:spacing w:line="250" w:lineRule="auto"/>
            </w:pPr>
          </w:p>
          <w:p w14:paraId="1760B210">
            <w:pPr>
              <w:keepLines/>
              <w:pageBreakBefore w:val="0"/>
              <w:widowControl/>
              <w:wordWrap/>
              <w:overflowPunct/>
              <w:bidi w:val="0"/>
              <w:spacing w:before="78" w:line="220" w:lineRule="auto"/>
              <w:ind w:left="404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50</w:t>
            </w:r>
            <w:r>
              <w:rPr>
                <w:rFonts w:ascii="宋体" w:hAnsi="宋体" w:eastAsia="宋体" w:cs="宋体"/>
                <w:spacing w:val="-46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分以下</w:t>
            </w:r>
          </w:p>
        </w:tc>
      </w:tr>
      <w:tr w14:paraId="41F5985A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0" w:hRule="atLeast"/>
        </w:trPr>
        <w:tc>
          <w:tcPr>
            <w:tcW w:w="928" w:type="dxa"/>
            <w:vAlign w:val="top"/>
          </w:tcPr>
          <w:p w14:paraId="77FAA84C">
            <w:pPr>
              <w:pStyle w:val="25"/>
              <w:keepLines/>
              <w:pageBreakBefore w:val="0"/>
              <w:widowControl/>
              <w:wordWrap/>
              <w:overflowPunct/>
              <w:bidi w:val="0"/>
              <w:spacing w:line="269" w:lineRule="auto"/>
            </w:pPr>
          </w:p>
          <w:p w14:paraId="66CBC762">
            <w:pPr>
              <w:keepLines/>
              <w:pageBreakBefore w:val="0"/>
              <w:widowControl/>
              <w:wordWrap/>
              <w:overflowPunct/>
              <w:bidi w:val="0"/>
              <w:spacing w:before="78" w:line="241" w:lineRule="auto"/>
              <w:ind w:left="412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2</w:t>
            </w:r>
          </w:p>
        </w:tc>
        <w:tc>
          <w:tcPr>
            <w:tcW w:w="849" w:type="dxa"/>
            <w:vAlign w:val="top"/>
          </w:tcPr>
          <w:p w14:paraId="2FA8CFE1">
            <w:pPr>
              <w:pStyle w:val="25"/>
              <w:keepLines/>
              <w:pageBreakBefore w:val="0"/>
              <w:widowControl/>
              <w:wordWrap/>
              <w:overflowPunct/>
              <w:bidi w:val="0"/>
              <w:spacing w:line="270" w:lineRule="auto"/>
            </w:pPr>
          </w:p>
          <w:p w14:paraId="28CE8A57">
            <w:pPr>
              <w:keepLines/>
              <w:pageBreakBefore w:val="0"/>
              <w:widowControl/>
              <w:wordWrap/>
              <w:overflowPunct/>
              <w:bidi w:val="0"/>
              <w:spacing w:before="78" w:line="221" w:lineRule="auto"/>
              <w:ind w:left="193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7"/>
                <w:sz w:val="24"/>
                <w:szCs w:val="24"/>
              </w:rPr>
              <w:t>二级</w:t>
            </w:r>
          </w:p>
        </w:tc>
        <w:tc>
          <w:tcPr>
            <w:tcW w:w="2250" w:type="dxa"/>
            <w:vAlign w:val="top"/>
          </w:tcPr>
          <w:p w14:paraId="172FC53C">
            <w:pPr>
              <w:keepLines/>
              <w:pageBreakBefore w:val="0"/>
              <w:widowControl/>
              <w:wordWrap/>
              <w:overflowPunct/>
              <w:bidi w:val="0"/>
              <w:spacing w:before="270" w:line="389" w:lineRule="exact"/>
              <w:ind w:left="728"/>
              <w:rPr>
                <w:rFonts w:ascii="微软雅黑" w:hAnsi="微软雅黑" w:eastAsia="微软雅黑" w:cs="微软雅黑"/>
                <w:sz w:val="46"/>
                <w:szCs w:val="46"/>
              </w:rPr>
            </w:pPr>
            <w:r>
              <w:rPr>
                <w:rFonts w:ascii="微软雅黑" w:hAnsi="微软雅黑" w:eastAsia="微软雅黑" w:cs="微软雅黑"/>
                <w:color w:val="F2DCB3"/>
                <w:spacing w:val="3"/>
                <w:position w:val="-5"/>
                <w:sz w:val="46"/>
                <w:szCs w:val="46"/>
              </w:rPr>
              <w:t>☆☆</w:t>
            </w:r>
          </w:p>
        </w:tc>
        <w:tc>
          <w:tcPr>
            <w:tcW w:w="3538" w:type="dxa"/>
            <w:vAlign w:val="top"/>
          </w:tcPr>
          <w:p w14:paraId="1C33C73A">
            <w:pPr>
              <w:keepLines/>
              <w:pageBreakBefore w:val="0"/>
              <w:widowControl/>
              <w:wordWrap/>
              <w:overflowPunct/>
              <w:bidi w:val="0"/>
              <w:spacing w:before="36" w:line="229" w:lineRule="auto"/>
              <w:ind w:left="110" w:right="105" w:firstLine="6"/>
              <w:jc w:val="both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具备一定的岗位基本知识，能够进行部分操作，但关键部分操作</w:t>
            </w: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需要指导；</w:t>
            </w:r>
          </w:p>
        </w:tc>
        <w:tc>
          <w:tcPr>
            <w:tcW w:w="1809" w:type="dxa"/>
            <w:vAlign w:val="top"/>
          </w:tcPr>
          <w:p w14:paraId="426EBA6C">
            <w:pPr>
              <w:keepLines/>
              <w:pageBreakBefore w:val="0"/>
              <w:widowControl/>
              <w:wordWrap/>
              <w:overflowPunct/>
              <w:bidi w:val="0"/>
              <w:spacing w:before="194" w:line="219" w:lineRule="auto"/>
              <w:ind w:left="119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14"/>
                <w:sz w:val="24"/>
                <w:szCs w:val="24"/>
              </w:rPr>
              <w:t>50-70</w:t>
            </w:r>
            <w:r>
              <w:rPr>
                <w:rFonts w:ascii="宋体" w:hAnsi="宋体" w:eastAsia="宋体" w:cs="宋体"/>
                <w:spacing w:val="-41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pacing w:val="-14"/>
                <w:sz w:val="24"/>
                <w:szCs w:val="24"/>
              </w:rPr>
              <w:t>分（含</w:t>
            </w:r>
            <w:r>
              <w:rPr>
                <w:rFonts w:ascii="宋体" w:hAnsi="宋体" w:eastAsia="宋体" w:cs="宋体"/>
                <w:spacing w:val="-46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pacing w:val="-14"/>
                <w:sz w:val="24"/>
                <w:szCs w:val="24"/>
              </w:rPr>
              <w:t>50</w:t>
            </w:r>
          </w:p>
          <w:p w14:paraId="37CCE5A5">
            <w:pPr>
              <w:keepLines/>
              <w:pageBreakBefore w:val="0"/>
              <w:widowControl/>
              <w:wordWrap/>
              <w:overflowPunct/>
              <w:bidi w:val="0"/>
              <w:spacing w:before="26" w:line="220" w:lineRule="auto"/>
              <w:ind w:left="671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7"/>
                <w:sz w:val="24"/>
                <w:szCs w:val="24"/>
              </w:rPr>
              <w:t>分）</w:t>
            </w:r>
          </w:p>
        </w:tc>
      </w:tr>
      <w:tr w14:paraId="3A7D55A3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4" w:hRule="atLeast"/>
        </w:trPr>
        <w:tc>
          <w:tcPr>
            <w:tcW w:w="928" w:type="dxa"/>
            <w:vAlign w:val="top"/>
          </w:tcPr>
          <w:p w14:paraId="6CACE7AC">
            <w:pPr>
              <w:pStyle w:val="25"/>
              <w:keepLines/>
              <w:pageBreakBefore w:val="0"/>
              <w:widowControl/>
              <w:wordWrap/>
              <w:overflowPunct/>
              <w:bidi w:val="0"/>
              <w:spacing w:line="250" w:lineRule="auto"/>
            </w:pPr>
          </w:p>
          <w:p w14:paraId="2AEF2D38">
            <w:pPr>
              <w:keepLines/>
              <w:pageBreakBefore w:val="0"/>
              <w:widowControl/>
              <w:wordWrap/>
              <w:overflowPunct/>
              <w:bidi w:val="0"/>
              <w:spacing w:before="78"/>
              <w:ind w:left="414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3</w:t>
            </w:r>
          </w:p>
        </w:tc>
        <w:tc>
          <w:tcPr>
            <w:tcW w:w="849" w:type="dxa"/>
            <w:vAlign w:val="top"/>
          </w:tcPr>
          <w:p w14:paraId="7A59CD13">
            <w:pPr>
              <w:pStyle w:val="25"/>
              <w:keepLines/>
              <w:pageBreakBefore w:val="0"/>
              <w:widowControl/>
              <w:wordWrap/>
              <w:overflowPunct/>
              <w:bidi w:val="0"/>
              <w:spacing w:line="252" w:lineRule="auto"/>
            </w:pPr>
          </w:p>
          <w:p w14:paraId="38AE9818">
            <w:pPr>
              <w:keepLines/>
              <w:pageBreakBefore w:val="0"/>
              <w:widowControl/>
              <w:wordWrap/>
              <w:overflowPunct/>
              <w:bidi w:val="0"/>
              <w:spacing w:before="78" w:line="221" w:lineRule="auto"/>
              <w:ind w:left="189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三级</w:t>
            </w:r>
          </w:p>
        </w:tc>
        <w:tc>
          <w:tcPr>
            <w:tcW w:w="2250" w:type="dxa"/>
            <w:vAlign w:val="top"/>
          </w:tcPr>
          <w:p w14:paraId="47C4329A">
            <w:pPr>
              <w:keepLines/>
              <w:pageBreakBefore w:val="0"/>
              <w:widowControl/>
              <w:wordWrap/>
              <w:overflowPunct/>
              <w:bidi w:val="0"/>
              <w:spacing w:before="254" w:line="388" w:lineRule="exact"/>
              <w:ind w:left="527"/>
              <w:rPr>
                <w:rFonts w:ascii="微软雅黑" w:hAnsi="微软雅黑" w:eastAsia="微软雅黑" w:cs="微软雅黑"/>
                <w:sz w:val="47"/>
                <w:szCs w:val="47"/>
              </w:rPr>
            </w:pPr>
            <w:r>
              <w:rPr>
                <w:rFonts w:ascii="微软雅黑" w:hAnsi="微软雅黑" w:eastAsia="微软雅黑" w:cs="微软雅黑"/>
                <w:color w:val="FAE8C5"/>
                <w:spacing w:val="6"/>
                <w:position w:val="-5"/>
                <w:sz w:val="47"/>
                <w:szCs w:val="47"/>
              </w:rPr>
              <w:t>☆☆☆</w:t>
            </w:r>
          </w:p>
        </w:tc>
        <w:tc>
          <w:tcPr>
            <w:tcW w:w="3538" w:type="dxa"/>
            <w:vAlign w:val="top"/>
          </w:tcPr>
          <w:p w14:paraId="7399D942">
            <w:pPr>
              <w:keepLines/>
              <w:pageBreakBefore w:val="0"/>
              <w:widowControl/>
              <w:wordWrap/>
              <w:overflowPunct/>
              <w:bidi w:val="0"/>
              <w:spacing w:before="175" w:line="242" w:lineRule="auto"/>
              <w:ind w:left="112" w:right="105" w:firstLine="4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具备岗位需要的理论知识，可独</w:t>
            </w: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立完成操作；</w:t>
            </w:r>
          </w:p>
        </w:tc>
        <w:tc>
          <w:tcPr>
            <w:tcW w:w="1809" w:type="dxa"/>
            <w:vAlign w:val="top"/>
          </w:tcPr>
          <w:p w14:paraId="1090611B">
            <w:pPr>
              <w:keepLines/>
              <w:pageBreakBefore w:val="0"/>
              <w:widowControl/>
              <w:wordWrap/>
              <w:overflowPunct/>
              <w:bidi w:val="0"/>
              <w:spacing w:before="175" w:line="219" w:lineRule="auto"/>
              <w:ind w:left="12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14"/>
                <w:sz w:val="24"/>
                <w:szCs w:val="24"/>
              </w:rPr>
              <w:t>70-80</w:t>
            </w:r>
            <w:r>
              <w:rPr>
                <w:rFonts w:ascii="宋体" w:hAnsi="宋体" w:eastAsia="宋体" w:cs="宋体"/>
                <w:spacing w:val="-43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pacing w:val="-14"/>
                <w:sz w:val="24"/>
                <w:szCs w:val="24"/>
              </w:rPr>
              <w:t>分（含</w:t>
            </w:r>
            <w:r>
              <w:rPr>
                <w:rFonts w:ascii="宋体" w:hAnsi="宋体" w:eastAsia="宋体" w:cs="宋体"/>
                <w:spacing w:val="-45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pacing w:val="-14"/>
                <w:sz w:val="24"/>
                <w:szCs w:val="24"/>
              </w:rPr>
              <w:t>70</w:t>
            </w:r>
          </w:p>
          <w:p w14:paraId="5AF3CEC3">
            <w:pPr>
              <w:keepLines/>
              <w:pageBreakBefore w:val="0"/>
              <w:widowControl/>
              <w:wordWrap/>
              <w:overflowPunct/>
              <w:bidi w:val="0"/>
              <w:spacing w:before="26" w:line="220" w:lineRule="auto"/>
              <w:ind w:left="671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7"/>
                <w:sz w:val="24"/>
                <w:szCs w:val="24"/>
              </w:rPr>
              <w:t>分）</w:t>
            </w:r>
          </w:p>
        </w:tc>
      </w:tr>
      <w:tr w14:paraId="3E33D3A2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2" w:hRule="atLeast"/>
        </w:trPr>
        <w:tc>
          <w:tcPr>
            <w:tcW w:w="928" w:type="dxa"/>
            <w:vAlign w:val="top"/>
          </w:tcPr>
          <w:p w14:paraId="5F600CBA">
            <w:pPr>
              <w:pStyle w:val="25"/>
              <w:keepLines/>
              <w:pageBreakBefore w:val="0"/>
              <w:widowControl/>
              <w:wordWrap/>
              <w:overflowPunct/>
              <w:bidi w:val="0"/>
              <w:spacing w:line="271" w:lineRule="auto"/>
            </w:pPr>
          </w:p>
          <w:p w14:paraId="22CF7A94">
            <w:pPr>
              <w:keepLines/>
              <w:pageBreakBefore w:val="0"/>
              <w:widowControl/>
              <w:wordWrap/>
              <w:overflowPunct/>
              <w:bidi w:val="0"/>
              <w:spacing w:before="78" w:line="241" w:lineRule="auto"/>
              <w:ind w:left="408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4</w:t>
            </w:r>
          </w:p>
        </w:tc>
        <w:tc>
          <w:tcPr>
            <w:tcW w:w="849" w:type="dxa"/>
            <w:vAlign w:val="top"/>
          </w:tcPr>
          <w:p w14:paraId="6C41B711">
            <w:pPr>
              <w:pStyle w:val="25"/>
              <w:keepLines/>
              <w:pageBreakBefore w:val="0"/>
              <w:widowControl/>
              <w:wordWrap/>
              <w:overflowPunct/>
              <w:bidi w:val="0"/>
              <w:spacing w:line="271" w:lineRule="auto"/>
            </w:pPr>
          </w:p>
          <w:p w14:paraId="759E80DA">
            <w:pPr>
              <w:keepLines/>
              <w:pageBreakBefore w:val="0"/>
              <w:widowControl/>
              <w:wordWrap/>
              <w:overflowPunct/>
              <w:bidi w:val="0"/>
              <w:spacing w:before="78" w:line="221" w:lineRule="auto"/>
              <w:ind w:left="212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16"/>
                <w:sz w:val="24"/>
                <w:szCs w:val="24"/>
              </w:rPr>
              <w:t>四级</w:t>
            </w:r>
          </w:p>
        </w:tc>
        <w:tc>
          <w:tcPr>
            <w:tcW w:w="2250" w:type="dxa"/>
            <w:vAlign w:val="top"/>
          </w:tcPr>
          <w:p w14:paraId="104F9594">
            <w:pPr>
              <w:keepLines/>
              <w:pageBreakBefore w:val="0"/>
              <w:widowControl/>
              <w:wordWrap/>
              <w:overflowPunct/>
              <w:bidi w:val="0"/>
              <w:spacing w:before="273" w:line="389" w:lineRule="exact"/>
              <w:ind w:left="326"/>
              <w:rPr>
                <w:rFonts w:ascii="微软雅黑" w:hAnsi="微软雅黑" w:eastAsia="微软雅黑" w:cs="微软雅黑"/>
                <w:sz w:val="47"/>
                <w:szCs w:val="47"/>
              </w:rPr>
            </w:pPr>
            <w:r>
              <w:rPr>
                <w:rFonts w:ascii="微软雅黑" w:hAnsi="微软雅黑" w:eastAsia="微软雅黑" w:cs="微软雅黑"/>
                <w:color w:val="FAE8C5"/>
                <w:spacing w:val="5"/>
                <w:position w:val="-5"/>
                <w:sz w:val="47"/>
                <w:szCs w:val="47"/>
              </w:rPr>
              <w:t>☆☆☆☆</w:t>
            </w:r>
          </w:p>
        </w:tc>
        <w:tc>
          <w:tcPr>
            <w:tcW w:w="3538" w:type="dxa"/>
            <w:vAlign w:val="top"/>
          </w:tcPr>
          <w:p w14:paraId="4F9F74B3">
            <w:pPr>
              <w:keepLines/>
              <w:pageBreakBefore w:val="0"/>
              <w:widowControl/>
              <w:wordWrap/>
              <w:overflowPunct/>
              <w:bidi w:val="0"/>
              <w:spacing w:before="38" w:line="229" w:lineRule="auto"/>
              <w:ind w:left="116" w:right="105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具备全面的岗位理论知识，操作</w:t>
            </w: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熟练并能对操作中常见问题进</w:t>
            </w: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行处理；</w:t>
            </w:r>
          </w:p>
        </w:tc>
        <w:tc>
          <w:tcPr>
            <w:tcW w:w="1809" w:type="dxa"/>
            <w:vAlign w:val="top"/>
          </w:tcPr>
          <w:p w14:paraId="6B6597A4">
            <w:pPr>
              <w:keepLines/>
              <w:pageBreakBefore w:val="0"/>
              <w:widowControl/>
              <w:wordWrap/>
              <w:overflowPunct/>
              <w:bidi w:val="0"/>
              <w:spacing w:before="195" w:line="219" w:lineRule="auto"/>
              <w:ind w:left="115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13"/>
                <w:sz w:val="24"/>
                <w:szCs w:val="24"/>
              </w:rPr>
              <w:t>80-90</w:t>
            </w:r>
            <w:r>
              <w:rPr>
                <w:rFonts w:ascii="宋体" w:hAnsi="宋体" w:eastAsia="宋体" w:cs="宋体"/>
                <w:spacing w:val="-43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pacing w:val="-13"/>
                <w:sz w:val="24"/>
                <w:szCs w:val="24"/>
              </w:rPr>
              <w:t>分（含</w:t>
            </w:r>
            <w:r>
              <w:rPr>
                <w:rFonts w:ascii="宋体" w:hAnsi="宋体" w:eastAsia="宋体" w:cs="宋体"/>
                <w:spacing w:val="-50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pacing w:val="-13"/>
                <w:sz w:val="24"/>
                <w:szCs w:val="24"/>
              </w:rPr>
              <w:t>80</w:t>
            </w:r>
          </w:p>
          <w:p w14:paraId="1FA89479">
            <w:pPr>
              <w:keepLines/>
              <w:pageBreakBefore w:val="0"/>
              <w:widowControl/>
              <w:wordWrap/>
              <w:overflowPunct/>
              <w:bidi w:val="0"/>
              <w:spacing w:before="26" w:line="220" w:lineRule="auto"/>
              <w:ind w:left="671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7"/>
                <w:sz w:val="24"/>
                <w:szCs w:val="24"/>
              </w:rPr>
              <w:t>分）</w:t>
            </w:r>
          </w:p>
        </w:tc>
      </w:tr>
      <w:tr w14:paraId="78554F99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56" w:hRule="atLeast"/>
        </w:trPr>
        <w:tc>
          <w:tcPr>
            <w:tcW w:w="928" w:type="dxa"/>
            <w:vAlign w:val="top"/>
          </w:tcPr>
          <w:p w14:paraId="2A08C1A1">
            <w:pPr>
              <w:pStyle w:val="25"/>
              <w:keepLines/>
              <w:pageBreakBefore w:val="0"/>
              <w:widowControl/>
              <w:wordWrap/>
              <w:overflowPunct/>
              <w:bidi w:val="0"/>
              <w:spacing w:line="424" w:lineRule="auto"/>
            </w:pPr>
          </w:p>
          <w:p w14:paraId="26E2913D">
            <w:pPr>
              <w:keepLines/>
              <w:pageBreakBefore w:val="0"/>
              <w:widowControl/>
              <w:wordWrap/>
              <w:overflowPunct/>
              <w:bidi w:val="0"/>
              <w:spacing w:before="78"/>
              <w:ind w:left="414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5</w:t>
            </w:r>
          </w:p>
        </w:tc>
        <w:tc>
          <w:tcPr>
            <w:tcW w:w="849" w:type="dxa"/>
            <w:vAlign w:val="top"/>
          </w:tcPr>
          <w:p w14:paraId="0F7C5EC9">
            <w:pPr>
              <w:pStyle w:val="25"/>
              <w:keepLines/>
              <w:pageBreakBefore w:val="0"/>
              <w:widowControl/>
              <w:wordWrap/>
              <w:overflowPunct/>
              <w:bidi w:val="0"/>
              <w:spacing w:line="425" w:lineRule="auto"/>
            </w:pPr>
          </w:p>
          <w:p w14:paraId="3B415541">
            <w:pPr>
              <w:keepLines/>
              <w:pageBreakBefore w:val="0"/>
              <w:widowControl/>
              <w:wordWrap/>
              <w:overflowPunct/>
              <w:bidi w:val="0"/>
              <w:spacing w:before="78" w:line="221" w:lineRule="auto"/>
              <w:ind w:left="193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7"/>
                <w:sz w:val="24"/>
                <w:szCs w:val="24"/>
              </w:rPr>
              <w:t>五级</w:t>
            </w:r>
          </w:p>
        </w:tc>
        <w:tc>
          <w:tcPr>
            <w:tcW w:w="2250" w:type="dxa"/>
            <w:vAlign w:val="top"/>
          </w:tcPr>
          <w:p w14:paraId="0FAFCBC5">
            <w:pPr>
              <w:keepLines/>
              <w:pageBreakBefore w:val="0"/>
              <w:widowControl/>
              <w:wordWrap/>
              <w:overflowPunct/>
              <w:bidi w:val="0"/>
              <w:spacing w:before="428" w:line="389" w:lineRule="exact"/>
              <w:ind w:left="121"/>
              <w:rPr>
                <w:rFonts w:ascii="微软雅黑" w:hAnsi="微软雅黑" w:eastAsia="微软雅黑" w:cs="微软雅黑"/>
                <w:sz w:val="47"/>
                <w:szCs w:val="47"/>
              </w:rPr>
            </w:pPr>
            <w:r>
              <w:rPr>
                <w:rFonts w:ascii="微软雅黑" w:hAnsi="微软雅黑" w:eastAsia="微软雅黑" w:cs="微软雅黑"/>
                <w:color w:val="F8EBCE"/>
                <w:spacing w:val="7"/>
                <w:position w:val="-5"/>
                <w:sz w:val="47"/>
                <w:szCs w:val="47"/>
              </w:rPr>
              <w:t>☆☆☆☆☆</w:t>
            </w:r>
          </w:p>
        </w:tc>
        <w:tc>
          <w:tcPr>
            <w:tcW w:w="3538" w:type="dxa"/>
            <w:vAlign w:val="top"/>
          </w:tcPr>
          <w:p w14:paraId="2C452252">
            <w:pPr>
              <w:keepLines/>
              <w:pageBreakBefore w:val="0"/>
              <w:widowControl/>
              <w:wordWrap/>
              <w:overflowPunct/>
              <w:bidi w:val="0"/>
              <w:spacing w:before="39" w:line="232" w:lineRule="auto"/>
              <w:ind w:left="112" w:right="105" w:firstLine="4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具备全面的岗位理论知识，操作</w:t>
            </w:r>
            <w:r>
              <w:rPr>
                <w:rFonts w:ascii="宋体" w:hAnsi="宋体" w:eastAsia="宋体" w:cs="宋体"/>
                <w:spacing w:val="-1"/>
                <w:sz w:val="24"/>
                <w:szCs w:val="24"/>
              </w:rPr>
              <w:t>熟练并能独立对操作中所有问</w:t>
            </w: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题进行分析和处理，能够指导他</w:t>
            </w: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人；</w:t>
            </w:r>
          </w:p>
        </w:tc>
        <w:tc>
          <w:tcPr>
            <w:tcW w:w="1809" w:type="dxa"/>
            <w:vAlign w:val="top"/>
          </w:tcPr>
          <w:p w14:paraId="3E930178">
            <w:pPr>
              <w:pStyle w:val="25"/>
              <w:keepLines/>
              <w:pageBreakBefore w:val="0"/>
              <w:widowControl/>
              <w:wordWrap/>
              <w:overflowPunct/>
              <w:bidi w:val="0"/>
              <w:spacing w:line="270" w:lineRule="auto"/>
            </w:pPr>
          </w:p>
          <w:p w14:paraId="165B4FA4">
            <w:pPr>
              <w:keepLines/>
              <w:pageBreakBefore w:val="0"/>
              <w:widowControl/>
              <w:wordWrap/>
              <w:overflowPunct/>
              <w:bidi w:val="0"/>
              <w:spacing w:before="78" w:line="219" w:lineRule="auto"/>
              <w:ind w:left="161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90-100</w:t>
            </w:r>
            <w:r>
              <w:rPr>
                <w:rFonts w:ascii="宋体" w:hAnsi="宋体" w:eastAsia="宋体" w:cs="宋体"/>
                <w:spacing w:val="-45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分（含</w:t>
            </w:r>
          </w:p>
          <w:p w14:paraId="3371C4BF">
            <w:pPr>
              <w:keepLines/>
              <w:pageBreakBefore w:val="0"/>
              <w:widowControl/>
              <w:wordWrap/>
              <w:overflowPunct/>
              <w:bidi w:val="0"/>
              <w:spacing w:before="26" w:line="220" w:lineRule="auto"/>
              <w:ind w:left="521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90</w:t>
            </w:r>
            <w:r>
              <w:rPr>
                <w:rFonts w:ascii="宋体" w:hAnsi="宋体" w:eastAsia="宋体" w:cs="宋体"/>
                <w:spacing w:val="-48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分）</w:t>
            </w:r>
          </w:p>
        </w:tc>
      </w:tr>
    </w:tbl>
    <w:p w14:paraId="59B5FF37">
      <w:pPr>
        <w:keepLines/>
        <w:pageBreakBefore w:val="0"/>
        <w:widowControl/>
        <w:wordWrap/>
        <w:overflowPunct/>
        <w:bidi w:val="0"/>
        <w:spacing w:before="34" w:line="219" w:lineRule="auto"/>
        <w:ind w:left="551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4"/>
          <w:sz w:val="24"/>
          <w:szCs w:val="24"/>
        </w:rPr>
        <w:t>（说明：单项技能评定和最终评定结果都按照上表评定标准进行。）</w:t>
      </w:r>
    </w:p>
    <w:p w14:paraId="1F6A9A06">
      <w:pPr>
        <w:pStyle w:val="28"/>
        <w:keepLines/>
        <w:pageBreakBefore w:val="0"/>
        <w:widowControl/>
        <w:wordWrap/>
        <w:overflowPunct/>
        <w:bidi w:val="0"/>
      </w:pPr>
      <w:r>
        <w:rPr>
          <w:rFonts w:hint="eastAsia"/>
          <w:lang w:val="en-US" w:eastAsia="zh-CN"/>
        </w:rPr>
        <w:t>开展评定</w:t>
      </w:r>
    </w:p>
    <w:p w14:paraId="6057B179">
      <w:pPr>
        <w:keepNext w:val="0"/>
        <w:keepLines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68" w:firstLineChars="20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3"/>
          <w:sz w:val="24"/>
          <w:szCs w:val="24"/>
        </w:rPr>
        <w:t>评定周期和时间：在职员工每半年评定一次，每年6月和12月各评定一</w:t>
      </w:r>
      <w:r>
        <w:rPr>
          <w:rFonts w:ascii="宋体" w:hAnsi="宋体" w:eastAsia="宋体" w:cs="宋体"/>
          <w:spacing w:val="-1"/>
          <w:sz w:val="24"/>
          <w:szCs w:val="24"/>
        </w:rPr>
        <w:t>次；新入职、转岗、晋升员工在试用期期间进行评定。</w:t>
      </w:r>
    </w:p>
    <w:p w14:paraId="36A6863C">
      <w:pPr>
        <w:keepNext w:val="0"/>
        <w:keepLines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0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评定方式：笔试和实操。</w:t>
      </w:r>
    </w:p>
    <w:p w14:paraId="1707531A">
      <w:pPr>
        <w:keepNext w:val="0"/>
        <w:keepLines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0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评定细则</w:t>
      </w:r>
      <w:r>
        <w:rPr>
          <w:rFonts w:hint="eastAsia" w:ascii="宋体" w:hAnsi="宋体" w:eastAsia="宋体" w:cs="宋体"/>
          <w:spacing w:val="-1"/>
          <w:sz w:val="24"/>
          <w:szCs w:val="24"/>
          <w:lang w:val="en-US" w:eastAsia="zh-CN"/>
        </w:rPr>
        <w:t>如下</w:t>
      </w:r>
      <w:r>
        <w:rPr>
          <w:rFonts w:ascii="宋体" w:hAnsi="宋体" w:eastAsia="宋体" w:cs="宋体"/>
          <w:spacing w:val="-1"/>
          <w:sz w:val="24"/>
          <w:szCs w:val="24"/>
        </w:rPr>
        <w:t>：</w:t>
      </w:r>
    </w:p>
    <w:p w14:paraId="350CDC47">
      <w:pPr>
        <w:pStyle w:val="29"/>
        <w:keepLines/>
        <w:pageBreakBefore w:val="0"/>
        <w:widowControl/>
        <w:wordWrap/>
        <w:overflowPunct/>
        <w:bidi w:val="0"/>
      </w:pPr>
      <w:bookmarkStart w:id="19" w:name="_Toc7319"/>
      <w:r>
        <w:t>笔试</w:t>
      </w:r>
      <w:bookmarkEnd w:id="19"/>
    </w:p>
    <w:p w14:paraId="5C55190F">
      <w:pPr>
        <w:keepNext w:val="0"/>
        <w:keepLines/>
        <w:pageBreakBefore w:val="0"/>
        <w:widowControl/>
        <w:numPr>
          <w:ilvl w:val="0"/>
          <w:numId w:val="5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right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笔试</w:t>
      </w:r>
      <w:r>
        <w:rPr>
          <w:rFonts w:ascii="宋体" w:hAnsi="宋体" w:eastAsia="宋体" w:cs="宋体"/>
          <w:sz w:val="24"/>
          <w:szCs w:val="24"/>
        </w:rPr>
        <w:t>试题由部门负责人向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人力部</w:t>
      </w:r>
      <w:r>
        <w:rPr>
          <w:rFonts w:ascii="宋体" w:hAnsi="宋体" w:eastAsia="宋体" w:cs="宋体"/>
          <w:sz w:val="24"/>
          <w:szCs w:val="24"/>
        </w:rPr>
        <w:t>提供</w:t>
      </w:r>
      <w:r>
        <w:rPr>
          <w:rFonts w:ascii="宋体" w:hAnsi="宋体" w:eastAsia="宋体" w:cs="宋体"/>
          <w:spacing w:val="-1"/>
          <w:sz w:val="24"/>
          <w:szCs w:val="24"/>
        </w:rPr>
        <w:t>至少</w:t>
      </w:r>
      <w:r>
        <w:rPr>
          <w:rFonts w:ascii="宋体" w:hAnsi="宋体" w:eastAsia="宋体" w:cs="宋体"/>
          <w:spacing w:val="-43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1"/>
          <w:sz w:val="24"/>
          <w:szCs w:val="24"/>
        </w:rPr>
        <w:t>3</w:t>
      </w:r>
      <w:r>
        <w:rPr>
          <w:rFonts w:ascii="宋体" w:hAnsi="宋体" w:eastAsia="宋体" w:cs="宋体"/>
          <w:spacing w:val="-50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1"/>
          <w:sz w:val="24"/>
          <w:szCs w:val="24"/>
        </w:rPr>
        <w:t>套试题量的试题，最后</w:t>
      </w:r>
      <w:r>
        <w:rPr>
          <w:rFonts w:ascii="宋体" w:hAnsi="宋体" w:eastAsia="宋体" w:cs="宋体"/>
          <w:sz w:val="24"/>
          <w:szCs w:val="24"/>
        </w:rPr>
        <w:t>评定试题由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人力部</w:t>
      </w:r>
      <w:r>
        <w:rPr>
          <w:rFonts w:ascii="宋体" w:hAnsi="宋体" w:eastAsia="宋体" w:cs="宋体"/>
          <w:sz w:val="24"/>
          <w:szCs w:val="24"/>
        </w:rPr>
        <w:t>或运维部从中随机抽取相应比例试题组成，其中试题包含填空</w:t>
      </w:r>
      <w:r>
        <w:rPr>
          <w:rFonts w:ascii="宋体" w:hAnsi="宋体" w:eastAsia="宋体" w:cs="宋体"/>
          <w:spacing w:val="-11"/>
          <w:sz w:val="24"/>
          <w:szCs w:val="24"/>
        </w:rPr>
        <w:t>题（20%）、单选题（26%）、多选题（24%）、判断题（20%）、主观题（10%</w:t>
      </w:r>
      <w:r>
        <w:rPr>
          <w:rFonts w:ascii="宋体" w:hAnsi="宋体" w:eastAsia="宋体" w:cs="宋体"/>
          <w:spacing w:val="-54"/>
          <w:sz w:val="24"/>
          <w:szCs w:val="24"/>
        </w:rPr>
        <w:t>）；</w:t>
      </w:r>
      <w:r>
        <w:rPr>
          <w:rFonts w:ascii="宋体" w:hAnsi="宋体" w:eastAsia="宋体" w:cs="宋体"/>
          <w:spacing w:val="-12"/>
          <w:sz w:val="24"/>
          <w:szCs w:val="24"/>
        </w:rPr>
        <w:t>所有</w:t>
      </w:r>
      <w:r>
        <w:rPr>
          <w:rFonts w:ascii="宋体" w:hAnsi="宋体" w:eastAsia="宋体" w:cs="宋体"/>
          <w:spacing w:val="-1"/>
          <w:sz w:val="24"/>
          <w:szCs w:val="24"/>
        </w:rPr>
        <w:t>试题每年更新一次。</w:t>
      </w:r>
    </w:p>
    <w:p w14:paraId="61292297">
      <w:pPr>
        <w:keepNext w:val="0"/>
        <w:keepLines/>
        <w:pageBreakBefore w:val="0"/>
        <w:widowControl/>
        <w:numPr>
          <w:ilvl w:val="0"/>
          <w:numId w:val="5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right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笔试考试由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人力部</w:t>
      </w:r>
      <w:r>
        <w:rPr>
          <w:rFonts w:ascii="宋体" w:hAnsi="宋体" w:eastAsia="宋体" w:cs="宋体"/>
          <w:sz w:val="24"/>
          <w:szCs w:val="24"/>
        </w:rPr>
        <w:t>统一组织（转正、转岗、晋升员工由部门负责人</w:t>
      </w:r>
      <w:r>
        <w:rPr>
          <w:rFonts w:ascii="宋体" w:hAnsi="宋体" w:eastAsia="宋体" w:cs="宋体"/>
          <w:spacing w:val="-4"/>
          <w:sz w:val="24"/>
          <w:szCs w:val="24"/>
        </w:rPr>
        <w:t>直接组织</w:t>
      </w:r>
      <w:r>
        <w:rPr>
          <w:rFonts w:ascii="宋体" w:hAnsi="宋体" w:eastAsia="宋体" w:cs="宋体"/>
          <w:spacing w:val="-47"/>
          <w:sz w:val="24"/>
          <w:szCs w:val="24"/>
        </w:rPr>
        <w:t>），</w:t>
      </w:r>
      <w:r>
        <w:rPr>
          <w:rFonts w:ascii="宋体" w:hAnsi="宋体" w:eastAsia="宋体" w:cs="宋体"/>
          <w:spacing w:val="-4"/>
          <w:sz w:val="24"/>
          <w:szCs w:val="24"/>
        </w:rPr>
        <w:t>以闭卷的形式进行，各部门组织员工参加笔试；笔试结束后，由</w:t>
      </w:r>
      <w:r>
        <w:rPr>
          <w:rFonts w:hint="eastAsia" w:ascii="宋体" w:hAnsi="宋体" w:eastAsia="宋体" w:cs="宋体"/>
          <w:spacing w:val="-4"/>
          <w:sz w:val="24"/>
          <w:szCs w:val="24"/>
          <w:lang w:eastAsia="zh-CN"/>
        </w:rPr>
        <w:t>人力部</w:t>
      </w:r>
      <w:r>
        <w:rPr>
          <w:rFonts w:ascii="宋体" w:hAnsi="宋体" w:eastAsia="宋体" w:cs="宋体"/>
          <w:spacing w:val="-1"/>
          <w:sz w:val="24"/>
          <w:szCs w:val="24"/>
        </w:rPr>
        <w:t>统一收回试卷并密封，组织各部门进行统一阅卷；</w:t>
      </w:r>
    </w:p>
    <w:p w14:paraId="2F67F37B">
      <w:pPr>
        <w:keepNext w:val="0"/>
        <w:keepLines/>
        <w:pageBreakBefore w:val="0"/>
        <w:widowControl/>
        <w:numPr>
          <w:ilvl w:val="0"/>
          <w:numId w:val="5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right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所有员工笔试成绩由</w:t>
      </w:r>
      <w:r>
        <w:rPr>
          <w:rFonts w:hint="eastAsia" w:ascii="宋体" w:hAnsi="宋体" w:eastAsia="宋体" w:cs="宋体"/>
          <w:spacing w:val="-1"/>
          <w:sz w:val="24"/>
          <w:szCs w:val="24"/>
          <w:lang w:eastAsia="zh-CN"/>
        </w:rPr>
        <w:t>人力部</w:t>
      </w:r>
      <w:r>
        <w:rPr>
          <w:rFonts w:ascii="宋体" w:hAnsi="宋体" w:eastAsia="宋体" w:cs="宋体"/>
          <w:spacing w:val="-1"/>
          <w:sz w:val="24"/>
          <w:szCs w:val="24"/>
        </w:rPr>
        <w:t>备案管理。</w:t>
      </w:r>
    </w:p>
    <w:p w14:paraId="1C461D81">
      <w:pPr>
        <w:pStyle w:val="29"/>
        <w:keepLines/>
        <w:pageBreakBefore w:val="0"/>
        <w:widowControl/>
        <w:wordWrap/>
        <w:overflowPunct/>
        <w:bidi w:val="0"/>
      </w:pPr>
      <w:bookmarkStart w:id="20" w:name="_Toc1960"/>
      <w:r>
        <w:t>实操</w:t>
      </w:r>
      <w:bookmarkEnd w:id="20"/>
    </w:p>
    <w:p w14:paraId="574BE30B">
      <w:pPr>
        <w:keepNext w:val="0"/>
        <w:keepLines/>
        <w:pageBreakBefore w:val="0"/>
        <w:widowControl/>
        <w:numPr>
          <w:ilvl w:val="0"/>
          <w:numId w:val="6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right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实操技能评定由部门自行完成，由评定员工直接上级及二级主管根</w:t>
      </w:r>
      <w:r>
        <w:rPr>
          <w:rFonts w:ascii="宋体" w:hAnsi="宋体" w:eastAsia="宋体" w:cs="宋体"/>
          <w:spacing w:val="-4"/>
          <w:sz w:val="24"/>
          <w:szCs w:val="24"/>
        </w:rPr>
        <w:t>据标准技能实际操作步骤要点进行评定，其中评定内容包括流程步骤、熟练程度、</w:t>
      </w:r>
      <w:r>
        <w:rPr>
          <w:rFonts w:ascii="宋体" w:hAnsi="宋体" w:eastAsia="宋体" w:cs="宋体"/>
          <w:spacing w:val="-1"/>
          <w:sz w:val="24"/>
          <w:szCs w:val="24"/>
        </w:rPr>
        <w:t>异常处理等，根据员工具体操作情况进行评定；</w:t>
      </w:r>
    </w:p>
    <w:p w14:paraId="3F09CF62">
      <w:pPr>
        <w:keepNext w:val="0"/>
        <w:keepLines/>
        <w:pageBreakBefore w:val="0"/>
        <w:widowControl/>
        <w:numPr>
          <w:ilvl w:val="0"/>
          <w:numId w:val="6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right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6"/>
          <w:sz w:val="24"/>
          <w:szCs w:val="24"/>
        </w:rPr>
        <w:t>实操评分标准：根据岗位标准技能各部门负责人梳理确定；按照《员</w:t>
      </w:r>
      <w:r>
        <w:rPr>
          <w:rFonts w:ascii="宋体" w:hAnsi="宋体" w:eastAsia="宋体" w:cs="宋体"/>
          <w:spacing w:val="-1"/>
          <w:sz w:val="24"/>
          <w:szCs w:val="24"/>
        </w:rPr>
        <w:t>工评定结果表》进行评分及统计。</w:t>
      </w:r>
    </w:p>
    <w:p w14:paraId="152DF4EC">
      <w:pPr>
        <w:keepNext w:val="0"/>
        <w:keepLines/>
        <w:pageBreakBefore w:val="0"/>
        <w:widowControl/>
        <w:numPr>
          <w:ilvl w:val="0"/>
          <w:numId w:val="6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right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4"/>
          <w:sz w:val="24"/>
          <w:szCs w:val="24"/>
        </w:rPr>
        <w:t>评定完成后由二级部门负责人</w:t>
      </w:r>
      <w:r>
        <w:rPr>
          <w:rFonts w:ascii="宋体" w:hAnsi="宋体" w:eastAsia="宋体" w:cs="宋体"/>
          <w:spacing w:val="-5"/>
          <w:sz w:val="24"/>
          <w:szCs w:val="24"/>
        </w:rPr>
        <w:t>填写《员工评定结果表》；</w:t>
      </w:r>
    </w:p>
    <w:p w14:paraId="093E6FFE">
      <w:pPr>
        <w:keepNext w:val="0"/>
        <w:keepLines/>
        <w:pageBreakBefore w:val="0"/>
        <w:widowControl/>
        <w:numPr>
          <w:ilvl w:val="0"/>
          <w:numId w:val="6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right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所有员工实操评定结果由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人力部</w:t>
      </w:r>
      <w:r>
        <w:rPr>
          <w:rFonts w:ascii="宋体" w:hAnsi="宋体" w:eastAsia="宋体" w:cs="宋体"/>
          <w:sz w:val="24"/>
          <w:szCs w:val="24"/>
        </w:rPr>
        <w:t>备案管理，</w:t>
      </w:r>
      <w:r>
        <w:rPr>
          <w:rFonts w:ascii="宋体" w:hAnsi="宋体" w:eastAsia="宋体" w:cs="宋体"/>
          <w:spacing w:val="-1"/>
          <w:sz w:val="24"/>
          <w:szCs w:val="24"/>
        </w:rPr>
        <w:t>并按照人事档案管理。</w:t>
      </w:r>
    </w:p>
    <w:p w14:paraId="4DA808E9">
      <w:pPr>
        <w:pStyle w:val="29"/>
        <w:keepLines/>
        <w:pageBreakBefore w:val="0"/>
        <w:widowControl/>
        <w:wordWrap/>
        <w:overflowPunct/>
        <w:bidi w:val="0"/>
        <w:rPr>
          <w:rFonts w:hint="eastAsia"/>
          <w:lang w:val="en-US" w:eastAsia="zh-CN"/>
        </w:rPr>
      </w:pPr>
      <w:bookmarkStart w:id="21" w:name="_Toc18775"/>
      <w:r>
        <w:rPr>
          <w:rFonts w:hint="eastAsia"/>
          <w:lang w:val="en-US" w:eastAsia="zh-CN"/>
        </w:rPr>
        <w:t>评定</w:t>
      </w:r>
      <w:bookmarkEnd w:id="21"/>
    </w:p>
    <w:p w14:paraId="6B0EA3D6">
      <w:pPr>
        <w:keepNext w:val="0"/>
        <w:keepLines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68" w:firstLineChars="200"/>
        <w:textAlignment w:val="baseline"/>
        <w:rPr>
          <w:rFonts w:ascii="宋体" w:hAnsi="宋体" w:eastAsia="宋体" w:cs="宋体"/>
          <w:spacing w:val="-3"/>
          <w:sz w:val="24"/>
          <w:szCs w:val="24"/>
        </w:rPr>
      </w:pPr>
      <w:r>
        <w:rPr>
          <w:rFonts w:ascii="宋体" w:hAnsi="宋体" w:eastAsia="宋体" w:cs="宋体"/>
          <w:spacing w:val="-3"/>
          <w:sz w:val="24"/>
          <w:szCs w:val="24"/>
        </w:rPr>
        <w:t>员工在进行其他岗位的技能评定时需要向直接上级进行申请，由部门进行评定。</w:t>
      </w:r>
    </w:p>
    <w:p w14:paraId="6D1E15C2">
      <w:pPr>
        <w:pStyle w:val="28"/>
        <w:keepLines/>
        <w:pageBreakBefore w:val="0"/>
        <w:widowControl/>
        <w:wordWrap/>
        <w:overflowPunct/>
        <w:bidi w:val="0"/>
      </w:pPr>
      <w:bookmarkStart w:id="22" w:name="bookmark9"/>
      <w:bookmarkEnd w:id="22"/>
      <w:bookmarkStart w:id="23" w:name="_Toc16281"/>
      <w:r>
        <w:t>评定结果</w:t>
      </w:r>
      <w:bookmarkEnd w:id="23"/>
    </w:p>
    <w:p w14:paraId="228087F5">
      <w:pPr>
        <w:keepNext w:val="0"/>
        <w:keepLines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68" w:firstLineChars="200"/>
        <w:textAlignment w:val="baseline"/>
        <w:rPr>
          <w:rFonts w:ascii="宋体" w:hAnsi="宋体" w:eastAsia="宋体" w:cs="宋体"/>
          <w:spacing w:val="-3"/>
          <w:sz w:val="24"/>
          <w:szCs w:val="24"/>
        </w:rPr>
      </w:pPr>
      <w:r>
        <w:rPr>
          <w:rFonts w:ascii="宋体" w:hAnsi="宋体" w:eastAsia="宋体" w:cs="宋体"/>
          <w:spacing w:val="-3"/>
          <w:sz w:val="24"/>
          <w:szCs w:val="24"/>
        </w:rPr>
        <w:t>员工的最终评定结果由员工笔试和实操评定分数组成，最后评定分数为笔试和实操评定分数平均分数；</w:t>
      </w:r>
    </w:p>
    <w:p w14:paraId="7B2A16D0">
      <w:pPr>
        <w:keepNext w:val="0"/>
        <w:keepLines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68" w:firstLineChars="200"/>
        <w:textAlignment w:val="baseline"/>
        <w:rPr>
          <w:rFonts w:ascii="宋体" w:hAnsi="宋体" w:eastAsia="宋体" w:cs="宋体"/>
          <w:spacing w:val="-3"/>
          <w:sz w:val="24"/>
          <w:szCs w:val="24"/>
        </w:rPr>
      </w:pPr>
      <w:r>
        <w:rPr>
          <w:rFonts w:ascii="宋体" w:hAnsi="宋体" w:eastAsia="宋体" w:cs="宋体"/>
          <w:spacing w:val="-3"/>
          <w:sz w:val="24"/>
          <w:szCs w:val="24"/>
        </w:rPr>
        <w:t>员工评定结果将由</w:t>
      </w:r>
      <w:r>
        <w:rPr>
          <w:rFonts w:hint="eastAsia" w:ascii="宋体" w:hAnsi="宋体" w:eastAsia="宋体" w:cs="宋体"/>
          <w:spacing w:val="-3"/>
          <w:sz w:val="24"/>
          <w:szCs w:val="24"/>
          <w:lang w:eastAsia="zh-CN"/>
        </w:rPr>
        <w:t>人力部</w:t>
      </w:r>
      <w:r>
        <w:rPr>
          <w:rFonts w:ascii="宋体" w:hAnsi="宋体" w:eastAsia="宋体" w:cs="宋体"/>
          <w:spacing w:val="-3"/>
          <w:sz w:val="24"/>
          <w:szCs w:val="24"/>
        </w:rPr>
        <w:t>进行公示，员工对评定结果的建议和意见可以在五个工作日内反馈给</w:t>
      </w:r>
      <w:r>
        <w:rPr>
          <w:rFonts w:hint="eastAsia" w:ascii="宋体" w:hAnsi="宋体" w:eastAsia="宋体" w:cs="宋体"/>
          <w:spacing w:val="-3"/>
          <w:sz w:val="24"/>
          <w:szCs w:val="24"/>
          <w:lang w:eastAsia="zh-CN"/>
        </w:rPr>
        <w:t>人力部</w:t>
      </w:r>
      <w:r>
        <w:rPr>
          <w:rFonts w:ascii="宋体" w:hAnsi="宋体" w:eastAsia="宋体" w:cs="宋体"/>
          <w:spacing w:val="-3"/>
          <w:sz w:val="24"/>
          <w:szCs w:val="24"/>
        </w:rPr>
        <w:t>。</w:t>
      </w:r>
    </w:p>
    <w:p w14:paraId="78613390">
      <w:pPr>
        <w:pStyle w:val="28"/>
        <w:keepLines/>
        <w:pageBreakBefore w:val="0"/>
        <w:widowControl/>
        <w:wordWrap/>
        <w:overflowPunct/>
        <w:bidi w:val="0"/>
      </w:pPr>
      <w:bookmarkStart w:id="24" w:name="bookmark10"/>
      <w:bookmarkEnd w:id="24"/>
      <w:bookmarkStart w:id="25" w:name="_Toc7957"/>
      <w:r>
        <w:t>评定结果运用</w:t>
      </w:r>
      <w:bookmarkEnd w:id="25"/>
    </w:p>
    <w:p w14:paraId="6AA7E3D3">
      <w:pPr>
        <w:keepNext w:val="0"/>
        <w:keepLines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textAlignment w:val="baseline"/>
        <w:rPr>
          <w:rFonts w:hint="default" w:eastAsia="宋体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>评定结果主要用于以下几个方面：</w:t>
      </w:r>
    </w:p>
    <w:p w14:paraId="5F79C3F1">
      <w:pPr>
        <w:keepNext w:val="0"/>
        <w:keepLines/>
        <w:pageBreakBefore w:val="0"/>
        <w:widowControl/>
        <w:numPr>
          <w:ilvl w:val="0"/>
          <w:numId w:val="7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员工评定结果将作为员工培训计划的重要依据；</w:t>
      </w:r>
    </w:p>
    <w:p w14:paraId="1940A095">
      <w:pPr>
        <w:keepNext w:val="0"/>
        <w:keepLines/>
        <w:pageBreakBefore w:val="0"/>
        <w:widowControl/>
        <w:numPr>
          <w:ilvl w:val="0"/>
          <w:numId w:val="7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员工评定结果将作为员工晋升、降级的重要依据；</w:t>
      </w:r>
    </w:p>
    <w:p w14:paraId="085C07DF">
      <w:pPr>
        <w:keepNext w:val="0"/>
        <w:keepLines/>
        <w:pageBreakBefore w:val="0"/>
        <w:widowControl/>
        <w:numPr>
          <w:ilvl w:val="0"/>
          <w:numId w:val="7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员工评定结果将作为员工薪酬调整的重要依据；</w:t>
      </w:r>
    </w:p>
    <w:p w14:paraId="68F83011">
      <w:pPr>
        <w:keepNext w:val="0"/>
        <w:keepLines/>
        <w:pageBreakBefore w:val="0"/>
        <w:widowControl/>
        <w:numPr>
          <w:ilvl w:val="0"/>
          <w:numId w:val="7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员工评定结果将直接影响试用期员工转正、薪级。</w:t>
      </w:r>
    </w:p>
    <w:p w14:paraId="484DC29C">
      <w:pPr>
        <w:pStyle w:val="26"/>
        <w:keepLines/>
        <w:pageBreakBefore w:val="0"/>
        <w:widowControl/>
        <w:wordWrap/>
        <w:overflowPunct/>
        <w:bidi w:val="0"/>
        <w:rPr>
          <w:rFonts w:hint="eastAsia"/>
          <w:lang w:val="en-US" w:eastAsia="zh-CN"/>
        </w:rPr>
      </w:pPr>
      <w:bookmarkStart w:id="26" w:name="_Toc7499"/>
      <w:r>
        <w:rPr>
          <w:rFonts w:hint="eastAsia"/>
          <w:lang w:val="en-US" w:eastAsia="zh-CN"/>
        </w:rPr>
        <w:t>附则</w:t>
      </w:r>
      <w:bookmarkEnd w:id="26"/>
    </w:p>
    <w:p w14:paraId="02F24E85">
      <w:pPr>
        <w:keepNext w:val="0"/>
        <w:keepLines/>
        <w:pageBreakBefore w:val="0"/>
        <w:widowControl/>
        <w:numPr>
          <w:ilvl w:val="0"/>
          <w:numId w:val="8"/>
        </w:numPr>
        <w:kinsoku w:val="0"/>
        <w:wordWrap/>
        <w:overflowPunct/>
        <w:topLinePunct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本制度最终解释权和修订权归</w:t>
      </w:r>
      <w:r>
        <w:rPr>
          <w:rFonts w:hint="eastAsia" w:ascii="宋体" w:hAnsi="宋体" w:eastAsia="宋体" w:cs="宋体"/>
          <w:spacing w:val="-1"/>
          <w:sz w:val="24"/>
          <w:szCs w:val="24"/>
          <w:lang w:eastAsia="zh-CN"/>
        </w:rPr>
        <w:t>人力部</w:t>
      </w:r>
      <w:r>
        <w:rPr>
          <w:rFonts w:ascii="宋体" w:hAnsi="宋体" w:eastAsia="宋体" w:cs="宋体"/>
          <w:spacing w:val="-1"/>
          <w:sz w:val="24"/>
          <w:szCs w:val="24"/>
        </w:rPr>
        <w:t>。</w:t>
      </w:r>
    </w:p>
    <w:p w14:paraId="3BA15F0B">
      <w:pPr>
        <w:keepNext w:val="0"/>
        <w:keepLines/>
        <w:pageBreakBefore w:val="0"/>
        <w:widowControl/>
        <w:numPr>
          <w:ilvl w:val="0"/>
          <w:numId w:val="8"/>
        </w:numPr>
        <w:kinsoku w:val="0"/>
        <w:wordWrap/>
        <w:overflowPunct/>
        <w:topLinePunct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hint="eastAsia"/>
          <w:lang w:val="en-US" w:eastAsia="zh-CN"/>
        </w:rPr>
      </w:pPr>
      <w:r>
        <w:rPr>
          <w:rFonts w:ascii="宋体" w:hAnsi="宋体" w:eastAsia="宋体" w:cs="宋体"/>
          <w:spacing w:val="-2"/>
          <w:sz w:val="24"/>
          <w:szCs w:val="24"/>
        </w:rPr>
        <w:t>本制度自颁布之日起施行。</w:t>
      </w:r>
    </w:p>
    <w:p w14:paraId="02A65C6B">
      <w:pPr>
        <w:pStyle w:val="26"/>
        <w:keepLines/>
        <w:pageBreakBefore w:val="0"/>
        <w:widowControl/>
        <w:wordWrap/>
        <w:overflowPunct/>
        <w:bidi w:val="0"/>
        <w:rPr>
          <w:rFonts w:hint="eastAsia"/>
          <w:lang w:val="en-US" w:eastAsia="zh-CN"/>
        </w:rPr>
      </w:pPr>
      <w:bookmarkStart w:id="27" w:name="_Toc25180"/>
      <w:r>
        <w:rPr>
          <w:rFonts w:hint="eastAsia"/>
          <w:lang w:val="en-US" w:eastAsia="zh-CN"/>
        </w:rPr>
        <w:t>附件</w:t>
      </w:r>
      <w:bookmarkEnd w:id="27"/>
    </w:p>
    <w:p w14:paraId="64F5A23C">
      <w:pPr>
        <w:pStyle w:val="27"/>
        <w:keepLines/>
        <w:pageBreakBefore w:val="0"/>
        <w:widowControl/>
        <w:wordWrap/>
        <w:overflowPunct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 w14:paraId="283593EC">
      <w:pPr>
        <w:pStyle w:val="26"/>
        <w:keepLines/>
        <w:pageBreakBefore w:val="0"/>
        <w:widowControl/>
        <w:wordWrap/>
        <w:overflowPunct/>
        <w:bidi w:val="0"/>
        <w:rPr>
          <w:rFonts w:hint="default"/>
          <w:lang w:val="en-US" w:eastAsia="zh-CN"/>
        </w:rPr>
      </w:pPr>
      <w:bookmarkStart w:id="28" w:name="_Toc21248"/>
      <w:r>
        <w:rPr>
          <w:rFonts w:hint="eastAsia"/>
          <w:lang w:val="en-US" w:eastAsia="zh-CN"/>
        </w:rPr>
        <w:t>记录</w:t>
      </w:r>
      <w:bookmarkEnd w:id="28"/>
    </w:p>
    <w:p w14:paraId="2435D0D6">
      <w:pPr>
        <w:pStyle w:val="27"/>
        <w:keepLines/>
        <w:pageBreakBefore w:val="0"/>
        <w:widowControl/>
        <w:wordWrap/>
        <w:overflowPunct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bookmarkEnd w:id="29"/>
    <w:sectPr>
      <w:headerReference r:id="rId5" w:type="default"/>
      <w:footerReference r:id="rId6" w:type="default"/>
      <w:pgSz w:w="11906" w:h="16838"/>
      <w:pgMar w:top="1417" w:right="1800" w:bottom="1440" w:left="1800" w:header="1140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0912426">
    <w:pPr>
      <w:pStyle w:val="1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8796BA9">
    <w:pPr>
      <w:pStyle w:val="15"/>
      <w:pBdr>
        <w:bottom w:val="single" w:color="auto" w:sz="4" w:space="1"/>
      </w:pBdr>
      <w:jc w:val="right"/>
      <w:rPr>
        <w:rFonts w:hint="eastAsia" w:eastAsiaTheme="minorEastAsia"/>
        <w:lang w:eastAsia="zh-CN"/>
      </w:rPr>
    </w:pPr>
    <w:r>
      <w:rPr>
        <w:rFonts w:hint="eastAsia" w:eastAsiaTheme="minorEastAsia"/>
        <w:lang w:eastAsia="zh-CN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-73660</wp:posOffset>
          </wp:positionH>
          <wp:positionV relativeFrom="paragraph">
            <wp:posOffset>-237490</wp:posOffset>
          </wp:positionV>
          <wp:extent cx="1355090" cy="432435"/>
          <wp:effectExtent l="0" t="0" r="0" b="10160"/>
          <wp:wrapNone/>
          <wp:docPr id="2" name="图片 2" descr="图片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图片2"/>
                  <pic:cNvPicPr>
                    <a:picLocks noChangeAspect="1"/>
                  </pic:cNvPicPr>
                </pic:nvPicPr>
                <pic:blipFill>
                  <a:blip r:embed="rId1">
                    <a:clrChange>
                      <a:clrFrom>
                        <a:srgbClr val="FFFFFF">
                          <a:alpha val="100000"/>
                        </a:srgbClr>
                      </a:clrFrom>
                      <a:clrTo>
                        <a:srgbClr val="FFFFFF">
                          <a:alpha val="100000"/>
                          <a:alpha val="0"/>
                        </a:srgbClr>
                      </a:clrTo>
                    </a:clrChange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55090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hint="eastAsia" w:eastAsiaTheme="minorEastAsia"/>
        <w:lang w:eastAsia="zh-CN"/>
      </w:rPr>
      <w:t>万洲奇智（青岛）信息科技有限公司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E964DCE"/>
    <w:multiLevelType w:val="multilevel"/>
    <w:tmpl w:val="8E964DCE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E5379606"/>
    <w:multiLevelType w:val="singleLevel"/>
    <w:tmpl w:val="E5379606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F9539CF3"/>
    <w:multiLevelType w:val="singleLevel"/>
    <w:tmpl w:val="F9539CF3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0B6C078D"/>
    <w:multiLevelType w:val="singleLevel"/>
    <w:tmpl w:val="0B6C078D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201201EF"/>
    <w:multiLevelType w:val="singleLevel"/>
    <w:tmpl w:val="201201EF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>
    <w:nsid w:val="23E0822E"/>
    <w:multiLevelType w:val="singleLevel"/>
    <w:tmpl w:val="23E0822E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6">
    <w:nsid w:val="6C1BC90C"/>
    <w:multiLevelType w:val="singleLevel"/>
    <w:tmpl w:val="6C1BC90C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7">
    <w:nsid w:val="7B963D54"/>
    <w:multiLevelType w:val="singleLevel"/>
    <w:tmpl w:val="7B963D54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1"/>
  </w:num>
  <w:num w:numId="5">
    <w:abstractNumId w:val="4"/>
  </w:num>
  <w:num w:numId="6">
    <w:abstractNumId w:val="5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BF1626"/>
    <w:rsid w:val="016417A4"/>
    <w:rsid w:val="039A4BCE"/>
    <w:rsid w:val="03E5328D"/>
    <w:rsid w:val="052D3954"/>
    <w:rsid w:val="05C8669A"/>
    <w:rsid w:val="0A746D74"/>
    <w:rsid w:val="0ABA0FCF"/>
    <w:rsid w:val="0AF3628F"/>
    <w:rsid w:val="0B13248D"/>
    <w:rsid w:val="0B930577"/>
    <w:rsid w:val="0CC339A0"/>
    <w:rsid w:val="10FF19B6"/>
    <w:rsid w:val="119775A7"/>
    <w:rsid w:val="12C549A4"/>
    <w:rsid w:val="16C06BD7"/>
    <w:rsid w:val="16C265E3"/>
    <w:rsid w:val="18B060D4"/>
    <w:rsid w:val="1AC27A2C"/>
    <w:rsid w:val="1ADB110B"/>
    <w:rsid w:val="1AEE37A1"/>
    <w:rsid w:val="1B8D153C"/>
    <w:rsid w:val="1D547F1B"/>
    <w:rsid w:val="1E360515"/>
    <w:rsid w:val="1EB31B66"/>
    <w:rsid w:val="1F464788"/>
    <w:rsid w:val="21617F9F"/>
    <w:rsid w:val="22F8048F"/>
    <w:rsid w:val="25ED0623"/>
    <w:rsid w:val="27363334"/>
    <w:rsid w:val="28862099"/>
    <w:rsid w:val="296511D8"/>
    <w:rsid w:val="2B822FEC"/>
    <w:rsid w:val="2BC0763F"/>
    <w:rsid w:val="2D381E44"/>
    <w:rsid w:val="2F135073"/>
    <w:rsid w:val="318063A0"/>
    <w:rsid w:val="323C0A8D"/>
    <w:rsid w:val="34034EE6"/>
    <w:rsid w:val="34EF234C"/>
    <w:rsid w:val="351D3D85"/>
    <w:rsid w:val="37BF1626"/>
    <w:rsid w:val="3A3D6832"/>
    <w:rsid w:val="3B6E533A"/>
    <w:rsid w:val="3B9D5ADD"/>
    <w:rsid w:val="3D156FFD"/>
    <w:rsid w:val="3E7A1F5E"/>
    <w:rsid w:val="3E7C0C45"/>
    <w:rsid w:val="3F5A203E"/>
    <w:rsid w:val="3F8C2233"/>
    <w:rsid w:val="3FDF05B5"/>
    <w:rsid w:val="402A111D"/>
    <w:rsid w:val="410A1661"/>
    <w:rsid w:val="426B25D4"/>
    <w:rsid w:val="460D5750"/>
    <w:rsid w:val="4642189D"/>
    <w:rsid w:val="471A69C9"/>
    <w:rsid w:val="47451645"/>
    <w:rsid w:val="47E81FD1"/>
    <w:rsid w:val="47F521A6"/>
    <w:rsid w:val="4893018E"/>
    <w:rsid w:val="4A2319E6"/>
    <w:rsid w:val="4AA3483E"/>
    <w:rsid w:val="4D550108"/>
    <w:rsid w:val="4ECA2430"/>
    <w:rsid w:val="4F471CD3"/>
    <w:rsid w:val="50F827C9"/>
    <w:rsid w:val="51411ADA"/>
    <w:rsid w:val="53015849"/>
    <w:rsid w:val="539412E7"/>
    <w:rsid w:val="54492049"/>
    <w:rsid w:val="54CA13DC"/>
    <w:rsid w:val="54CD67D6"/>
    <w:rsid w:val="5859544B"/>
    <w:rsid w:val="5AA3344B"/>
    <w:rsid w:val="5ADC59C5"/>
    <w:rsid w:val="5B2F4C2E"/>
    <w:rsid w:val="5BC619FD"/>
    <w:rsid w:val="5C717B35"/>
    <w:rsid w:val="5D3673CF"/>
    <w:rsid w:val="5E133B7E"/>
    <w:rsid w:val="5E8425FB"/>
    <w:rsid w:val="60A73BCF"/>
    <w:rsid w:val="60FF797D"/>
    <w:rsid w:val="6142679E"/>
    <w:rsid w:val="61E648C2"/>
    <w:rsid w:val="62364D94"/>
    <w:rsid w:val="62853344"/>
    <w:rsid w:val="62894684"/>
    <w:rsid w:val="62AD4119"/>
    <w:rsid w:val="6722659B"/>
    <w:rsid w:val="67931B01"/>
    <w:rsid w:val="683926A8"/>
    <w:rsid w:val="689A2A1B"/>
    <w:rsid w:val="69192872"/>
    <w:rsid w:val="6D396E13"/>
    <w:rsid w:val="6D8C327A"/>
    <w:rsid w:val="72281680"/>
    <w:rsid w:val="724B1182"/>
    <w:rsid w:val="72895FDA"/>
    <w:rsid w:val="72DC0914"/>
    <w:rsid w:val="73117D7E"/>
    <w:rsid w:val="73E636C8"/>
    <w:rsid w:val="746565D3"/>
    <w:rsid w:val="75395240"/>
    <w:rsid w:val="77020109"/>
    <w:rsid w:val="77726A55"/>
    <w:rsid w:val="78CC6D3B"/>
    <w:rsid w:val="78F30652"/>
    <w:rsid w:val="791800B8"/>
    <w:rsid w:val="7977775B"/>
    <w:rsid w:val="79FD2102"/>
    <w:rsid w:val="7AF366E7"/>
    <w:rsid w:val="7C722281"/>
    <w:rsid w:val="7D1E37CD"/>
    <w:rsid w:val="7DD86C30"/>
    <w:rsid w:val="7E33329E"/>
    <w:rsid w:val="7E993157"/>
    <w:rsid w:val="7EC14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21">
    <w:name w:val="Default Paragraph Font"/>
    <w:semiHidden/>
    <w:qFormat/>
    <w:uiPriority w:val="0"/>
  </w:style>
  <w:style w:type="table" w:default="1" w:styleId="1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text"/>
    <w:basedOn w:val="1"/>
    <w:qFormat/>
    <w:uiPriority w:val="0"/>
    <w:pPr>
      <w:jc w:val="left"/>
    </w:pPr>
  </w:style>
  <w:style w:type="paragraph" w:styleId="12">
    <w:name w:val="Body Text"/>
    <w:basedOn w:val="1"/>
    <w:semiHidden/>
    <w:qFormat/>
    <w:uiPriority w:val="0"/>
    <w:rPr>
      <w:rFonts w:ascii="Arial" w:hAnsi="Arial" w:eastAsia="Arial" w:cs="Arial"/>
      <w:sz w:val="21"/>
      <w:szCs w:val="21"/>
      <w:lang w:val="en-US" w:eastAsia="en-US" w:bidi="ar-SA"/>
    </w:rPr>
  </w:style>
  <w:style w:type="paragraph" w:styleId="13">
    <w:name w:val="toc 3"/>
    <w:basedOn w:val="1"/>
    <w:next w:val="1"/>
    <w:qFormat/>
    <w:uiPriority w:val="0"/>
    <w:pPr>
      <w:ind w:left="840" w:leftChars="400"/>
    </w:pPr>
  </w:style>
  <w:style w:type="paragraph" w:styleId="1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6">
    <w:name w:val="toc 1"/>
    <w:basedOn w:val="1"/>
    <w:next w:val="1"/>
    <w:qFormat/>
    <w:uiPriority w:val="0"/>
    <w:rPr>
      <w:rFonts w:ascii="Arial" w:hAnsi="Arial" w:eastAsia="Microsoft JhengHei"/>
      <w:sz w:val="24"/>
    </w:rPr>
  </w:style>
  <w:style w:type="paragraph" w:styleId="17">
    <w:name w:val="toc 2"/>
    <w:basedOn w:val="1"/>
    <w:next w:val="1"/>
    <w:qFormat/>
    <w:uiPriority w:val="0"/>
    <w:pPr>
      <w:ind w:left="420" w:leftChars="200"/>
    </w:pPr>
  </w:style>
  <w:style w:type="paragraph" w:styleId="18">
    <w:name w:val="Title"/>
    <w:basedOn w:val="1"/>
    <w:qFormat/>
    <w:uiPriority w:val="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  <w:style w:type="table" w:styleId="20">
    <w:name w:val="Table Grid"/>
    <w:basedOn w:val="1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22">
    <w:name w:val="柴_公司名"/>
    <w:basedOn w:val="18"/>
    <w:qFormat/>
    <w:uiPriority w:val="0"/>
    <w:pPr>
      <w:spacing w:after="600" w:afterLines="600"/>
    </w:pPr>
    <w:rPr>
      <w:rFonts w:hint="eastAsia" w:ascii="宋体" w:hAnsi="宋体" w:eastAsia="宋体" w:cs="宋体"/>
      <w:bCs/>
      <w:spacing w:val="-6"/>
      <w:sz w:val="52"/>
      <w:szCs w:val="52"/>
    </w:rPr>
  </w:style>
  <w:style w:type="paragraph" w:customStyle="1" w:styleId="23">
    <w:name w:val="柴_文档名"/>
    <w:basedOn w:val="18"/>
    <w:qFormat/>
    <w:uiPriority w:val="0"/>
    <w:pPr>
      <w:spacing w:after="900" w:afterLines="900"/>
    </w:pPr>
    <w:rPr>
      <w:rFonts w:ascii="黑体" w:hAnsi="黑体" w:eastAsia="黑体" w:cs="黑体"/>
      <w:bCs/>
      <w:spacing w:val="-7"/>
      <w:sz w:val="52"/>
      <w:szCs w:val="52"/>
    </w:rPr>
  </w:style>
  <w:style w:type="table" w:customStyle="1" w:styleId="24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25">
    <w:name w:val="Table Text"/>
    <w:basedOn w:val="1"/>
    <w:semiHidden/>
    <w:qFormat/>
    <w:uiPriority w:val="0"/>
    <w:rPr>
      <w:rFonts w:ascii="宋体" w:hAnsi="宋体" w:eastAsia="宋体" w:cs="宋体"/>
      <w:sz w:val="21"/>
      <w:szCs w:val="21"/>
      <w:lang w:val="en-US" w:eastAsia="en-US" w:bidi="ar-SA"/>
    </w:rPr>
  </w:style>
  <w:style w:type="paragraph" w:customStyle="1" w:styleId="26">
    <w:name w:val="柴_标题1"/>
    <w:basedOn w:val="2"/>
    <w:next w:val="27"/>
    <w:qFormat/>
    <w:uiPriority w:val="0"/>
    <w:pPr>
      <w:spacing w:before="100" w:after="90" w:line="360" w:lineRule="auto"/>
    </w:pPr>
    <w:rPr>
      <w:rFonts w:ascii="Arial" w:hAnsi="Arial" w:eastAsia="宋体"/>
      <w:sz w:val="32"/>
    </w:rPr>
  </w:style>
  <w:style w:type="paragraph" w:customStyle="1" w:styleId="27">
    <w:name w:val="柴_正文"/>
    <w:basedOn w:val="12"/>
    <w:qFormat/>
    <w:uiPriority w:val="0"/>
    <w:pPr>
      <w:spacing w:line="360" w:lineRule="auto"/>
      <w:ind w:firstLine="470" w:firstLineChars="200"/>
    </w:pPr>
    <w:rPr>
      <w:rFonts w:ascii="Arial" w:hAnsi="Arial" w:eastAsia="宋体"/>
      <w:sz w:val="24"/>
      <w:lang w:eastAsia="zh-CN"/>
    </w:rPr>
  </w:style>
  <w:style w:type="paragraph" w:customStyle="1" w:styleId="28">
    <w:name w:val="柴_标题2"/>
    <w:basedOn w:val="3"/>
    <w:next w:val="1"/>
    <w:qFormat/>
    <w:uiPriority w:val="0"/>
    <w:pPr>
      <w:spacing w:line="360" w:lineRule="auto"/>
    </w:pPr>
    <w:rPr>
      <w:rFonts w:ascii="Arial" w:hAnsi="Arial" w:eastAsia="宋体"/>
      <w:sz w:val="28"/>
    </w:rPr>
  </w:style>
  <w:style w:type="paragraph" w:customStyle="1" w:styleId="29">
    <w:name w:val="柴_标题3"/>
    <w:basedOn w:val="4"/>
    <w:next w:val="1"/>
    <w:qFormat/>
    <w:uiPriority w:val="0"/>
    <w:pPr>
      <w:spacing w:line="360" w:lineRule="auto"/>
      <w:ind w:left="0" w:firstLine="472" w:firstLineChars="200"/>
    </w:pPr>
    <w:rPr>
      <w:rFonts w:ascii="宋体" w:hAnsi="宋体" w:eastAsia="宋体" w:cs="宋体"/>
      <w:spacing w:val="-2"/>
      <w:sz w:val="24"/>
      <w:szCs w:val="24"/>
    </w:rPr>
  </w:style>
  <w:style w:type="paragraph" w:customStyle="1" w:styleId="30">
    <w:name w:val="柴_目录"/>
    <w:basedOn w:val="1"/>
    <w:next w:val="12"/>
    <w:qFormat/>
    <w:uiPriority w:val="0"/>
    <w:pPr>
      <w:tabs>
        <w:tab w:val="right" w:leader="dot" w:pos="8442"/>
      </w:tabs>
      <w:ind w:left="0" w:leftChars="0"/>
    </w:pPr>
    <w:rPr>
      <w:rFonts w:ascii="Arial" w:hAnsi="Arial" w:eastAsia="Microsoft JhengHei"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1707</Words>
  <Characters>1842</Characters>
  <Lines>0</Lines>
  <Paragraphs>0</Paragraphs>
  <TotalTime>0</TotalTime>
  <ScaleCrop>false</ScaleCrop>
  <LinksUpToDate>false</LinksUpToDate>
  <CharactersWithSpaces>1891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2025-09-03T14:43:00Z</dcterms:created>
  <dc:creator>郝宇</dc:creator>
  <cp:lastModifiedBy>郝宇</cp:lastModifiedBy>
  <dcterms:modified xsi:type="dcterms:W3CDTF">2025-09-05T17:17:14Z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5907E7FAB05F4C5D98AD5B6FF89DAF02_13</vt:lpwstr>
  </property>
  <property fmtid="{D5CDD505-2E9C-101B-9397-08002B2CF9AE}" pid="4" name="KSOTemplateDocerSaveRecord">
    <vt:lpwstr>eyJoZGlkIjoiMDY5NmFjMmM4ZTljMGJiZDAxN2JmYTc0NGI0NmFiNDgiLCJ1c2VySWQiOiIxMDc1MzgyOSJ9</vt:lpwstr>
  </property>
</Properties>
</file>