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keepLines w:val="0"/>
        <w:pageBreakBefore w:val="0"/>
        <w:widowControl/>
        <w:wordWrap/>
        <w:overflowPunct/>
        <w:topLinePunct/>
        <w:bidi w:val="0"/>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5</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-03</w:t>
      </w:r>
    </w:p>
    <w:p w14:paraId="20516D53">
      <w:pPr>
        <w:keepNext w:val="0"/>
        <w:keepLines w:val="0"/>
        <w:pageBreakBefore w:val="0"/>
        <w:widowControl/>
        <w:kinsoku/>
        <w:wordWrap/>
        <w:overflowPunct/>
        <w:topLinePunct/>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keepLines w:val="0"/>
        <w:pageBreakBefore w:val="0"/>
        <w:widowControl/>
        <w:wordWrap/>
        <w:overflowPunct/>
        <w:topLinePunct/>
        <w:bidi w:val="0"/>
      </w:pPr>
      <w:bookmarkStart w:id="0" w:name="_Toc26680"/>
      <w:r>
        <w:rPr>
          <w:rFonts w:hint="eastAsia"/>
          <w:lang w:val="en-US" w:eastAsia="zh-CN"/>
        </w:rPr>
        <w:t>万洲奇智（青岛）信息科技有限</w:t>
      </w:r>
      <w:r>
        <w:t>公司</w:t>
      </w:r>
      <w:bookmarkEnd w:id="0"/>
    </w:p>
    <w:p w14:paraId="3D74D20A">
      <w:pPr>
        <w:pStyle w:val="25"/>
        <w:keepLines w:val="0"/>
        <w:pageBreakBefore w:val="0"/>
        <w:widowControl/>
        <w:wordWrap/>
        <w:overflowPunct/>
        <w:topLinePunct/>
        <w:bidi w:val="0"/>
        <w:rPr>
          <w:rFonts w:hint="default" w:eastAsia="黑体"/>
          <w:lang w:val="en-US" w:eastAsia="zh-CN"/>
        </w:rPr>
      </w:pPr>
      <w:bookmarkStart w:id="1" w:name="_Toc18469"/>
      <w:r>
        <w:rPr>
          <w:rFonts w:hint="eastAsia"/>
          <w:lang w:val="en-US" w:eastAsia="zh-CN"/>
        </w:rPr>
        <w:t>人员培训管理制度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keepLines w:val="0"/>
              <w:pageBreakBefore w:val="0"/>
              <w:widowControl/>
              <w:wordWrap/>
              <w:overflowPunct/>
              <w:topLine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王琼</w:t>
            </w:r>
          </w:p>
        </w:tc>
        <w:tc>
          <w:tcPr>
            <w:tcW w:w="4261" w:type="dxa"/>
          </w:tcPr>
          <w:p w14:paraId="7554A84C">
            <w:pPr>
              <w:keepLines w:val="0"/>
              <w:pageBreakBefore w:val="0"/>
              <w:widowControl/>
              <w:wordWrap/>
              <w:overflowPunct/>
              <w:topLine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keepLines w:val="0"/>
              <w:pageBreakBefore w:val="0"/>
              <w:widowControl/>
              <w:wordWrap/>
              <w:overflowPunct/>
              <w:topLine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keepLines w:val="0"/>
              <w:pageBreakBefore w:val="0"/>
              <w:widowControl/>
              <w:wordWrap/>
              <w:overflowPunct/>
              <w:topLine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keepLines w:val="0"/>
              <w:pageBreakBefore w:val="0"/>
              <w:widowControl/>
              <w:wordWrap/>
              <w:overflowPunct/>
              <w:topLine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keepLines w:val="0"/>
              <w:pageBreakBefore w:val="0"/>
              <w:widowControl/>
              <w:wordWrap/>
              <w:overflowPunct/>
              <w:topLine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pPr>
        <w:keepLines w:val="0"/>
        <w:pageBreakBefore w:val="0"/>
        <w:widowControl/>
        <w:wordWrap/>
        <w:overflowPunct/>
        <w:topLinePunct/>
        <w:bidi w:val="0"/>
      </w:pPr>
      <w:r>
        <w:br w:type="page"/>
      </w:r>
    </w:p>
    <w:p w14:paraId="49DA19E5">
      <w:pPr>
        <w:keepLines w:val="0"/>
        <w:pageBreakBefore w:val="0"/>
        <w:widowControl/>
        <w:wordWrap/>
        <w:overflowPunct/>
        <w:topLine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keepLines w:val="0"/>
              <w:pageBreakBefore w:val="0"/>
              <w:widowControl/>
              <w:wordWrap/>
              <w:overflowPunct/>
              <w:topLine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keepLines w:val="0"/>
              <w:pageBreakBefore w:val="0"/>
              <w:widowControl/>
              <w:wordWrap/>
              <w:overflowPunct/>
              <w:topLine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keepLines w:val="0"/>
              <w:pageBreakBefore w:val="0"/>
              <w:widowControl/>
              <w:wordWrap/>
              <w:overflowPunct/>
              <w:topLine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keepLines w:val="0"/>
              <w:pageBreakBefore w:val="0"/>
              <w:widowControl/>
              <w:wordWrap/>
              <w:overflowPunct/>
              <w:topLine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keepLines w:val="0"/>
              <w:pageBreakBefore w:val="0"/>
              <w:widowControl/>
              <w:wordWrap/>
              <w:overflowPunct/>
              <w:topLine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keepLines w:val="0"/>
              <w:pageBreakBefore w:val="0"/>
              <w:widowControl/>
              <w:wordWrap/>
              <w:overflowPunct/>
              <w:topLine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keepLines w:val="0"/>
              <w:pageBreakBefore w:val="0"/>
              <w:widowControl/>
              <w:wordWrap/>
              <w:overflowPunct/>
              <w:topLine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keepLines w:val="0"/>
              <w:pageBreakBefore w:val="0"/>
              <w:widowControl/>
              <w:wordWrap/>
              <w:overflowPunct/>
              <w:topLine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keepLines w:val="0"/>
              <w:pageBreakBefore w:val="0"/>
              <w:widowControl/>
              <w:wordWrap/>
              <w:overflowPunct/>
              <w:topLine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keepLines w:val="0"/>
              <w:pageBreakBefore w:val="0"/>
              <w:widowControl/>
              <w:wordWrap/>
              <w:overflowPunct/>
              <w:topLinePunct/>
              <w:bidi w:val="0"/>
              <w:spacing w:before="172" w:line="228" w:lineRule="auto"/>
              <w:ind w:left="313"/>
              <w:rPr>
                <w:rFonts w:ascii="宋体" w:hAnsi="宋体" w:eastAsia="宋体" w:cs="宋体"/>
                <w:sz w:val="20"/>
                <w:szCs w:val="20"/>
              </w:rPr>
            </w:pPr>
            <w:r>
              <w:rPr>
                <w:rFonts w:hint="eastAsia" w:ascii="宋体" w:hAnsi="宋体" w:eastAsia="宋体" w:cs="宋体"/>
                <w:spacing w:val="5"/>
                <w:sz w:val="20"/>
                <w:szCs w:val="20"/>
                <w:lang w:val="en-US" w:eastAsia="zh-CN"/>
              </w:rPr>
              <w:t>王琼</w:t>
            </w:r>
          </w:p>
        </w:tc>
        <w:tc>
          <w:tcPr>
            <w:tcW w:w="1150" w:type="dxa"/>
            <w:vAlign w:val="top"/>
          </w:tcPr>
          <w:p w14:paraId="008FBE06">
            <w:pPr>
              <w:keepLines w:val="0"/>
              <w:pageBreakBefore w:val="0"/>
              <w:widowControl/>
              <w:wordWrap/>
              <w:overflowPunct/>
              <w:topLine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keepLines w:val="0"/>
              <w:pageBreakBefore w:val="0"/>
              <w:widowControl/>
              <w:wordWrap/>
              <w:overflowPunct/>
              <w:topLine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keepLines w:val="0"/>
              <w:pageBreakBefore w:val="0"/>
              <w:widowControl/>
              <w:wordWrap/>
              <w:overflowPunct/>
              <w:topLinePunct/>
              <w:bidi w:val="0"/>
            </w:pPr>
          </w:p>
        </w:tc>
        <w:tc>
          <w:tcPr>
            <w:tcW w:w="919" w:type="dxa"/>
            <w:vAlign w:val="top"/>
          </w:tcPr>
          <w:p w14:paraId="218F3AD4">
            <w:pPr>
              <w:pStyle w:val="27"/>
              <w:keepLines w:val="0"/>
              <w:pageBreakBefore w:val="0"/>
              <w:widowControl/>
              <w:wordWrap/>
              <w:overflowPunct/>
              <w:topLinePunct/>
              <w:bidi w:val="0"/>
            </w:pPr>
          </w:p>
        </w:tc>
        <w:tc>
          <w:tcPr>
            <w:tcW w:w="2289" w:type="dxa"/>
            <w:vAlign w:val="top"/>
          </w:tcPr>
          <w:p w14:paraId="15EFA507">
            <w:pPr>
              <w:pStyle w:val="27"/>
              <w:keepLines w:val="0"/>
              <w:pageBreakBefore w:val="0"/>
              <w:widowControl/>
              <w:wordWrap/>
              <w:overflowPunct/>
              <w:topLinePunct/>
              <w:bidi w:val="0"/>
            </w:pPr>
          </w:p>
        </w:tc>
        <w:tc>
          <w:tcPr>
            <w:tcW w:w="1148" w:type="dxa"/>
            <w:vAlign w:val="top"/>
          </w:tcPr>
          <w:p w14:paraId="70C086CB">
            <w:pPr>
              <w:keepLines w:val="0"/>
              <w:pageBreakBefore w:val="0"/>
              <w:widowControl/>
              <w:wordWrap/>
              <w:overflowPunct/>
              <w:topLinePunct/>
              <w:bidi w:val="0"/>
              <w:spacing w:before="172" w:line="228" w:lineRule="auto"/>
              <w:ind w:left="313"/>
            </w:pPr>
          </w:p>
        </w:tc>
        <w:tc>
          <w:tcPr>
            <w:tcW w:w="1150" w:type="dxa"/>
            <w:vAlign w:val="top"/>
          </w:tcPr>
          <w:p w14:paraId="35AEC507">
            <w:pPr>
              <w:keepLines w:val="0"/>
              <w:pageBreakBefore w:val="0"/>
              <w:widowControl/>
              <w:wordWrap/>
              <w:overflowPunct/>
              <w:topLinePunct/>
              <w:bidi w:val="0"/>
              <w:spacing w:before="172" w:line="228" w:lineRule="auto"/>
              <w:ind w:left="313"/>
            </w:pPr>
          </w:p>
        </w:tc>
        <w:tc>
          <w:tcPr>
            <w:tcW w:w="1240" w:type="dxa"/>
            <w:vAlign w:val="top"/>
          </w:tcPr>
          <w:p w14:paraId="6E8FD876">
            <w:pPr>
              <w:pStyle w:val="27"/>
              <w:keepLines w:val="0"/>
              <w:pageBreakBefore w:val="0"/>
              <w:widowControl/>
              <w:wordWrap/>
              <w:overflowPunct/>
              <w:topLinePunct/>
              <w:bidi w:val="0"/>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keepLines w:val="0"/>
              <w:pageBreakBefore w:val="0"/>
              <w:widowControl/>
              <w:wordWrap/>
              <w:overflowPunct/>
              <w:topLinePunct/>
              <w:bidi w:val="0"/>
            </w:pPr>
          </w:p>
        </w:tc>
        <w:tc>
          <w:tcPr>
            <w:tcW w:w="919" w:type="dxa"/>
            <w:vAlign w:val="top"/>
          </w:tcPr>
          <w:p w14:paraId="09634355">
            <w:pPr>
              <w:pStyle w:val="27"/>
              <w:keepLines w:val="0"/>
              <w:pageBreakBefore w:val="0"/>
              <w:widowControl/>
              <w:wordWrap/>
              <w:overflowPunct/>
              <w:topLinePunct/>
              <w:bidi w:val="0"/>
            </w:pPr>
          </w:p>
        </w:tc>
        <w:tc>
          <w:tcPr>
            <w:tcW w:w="2289" w:type="dxa"/>
            <w:vAlign w:val="top"/>
          </w:tcPr>
          <w:p w14:paraId="5EE6029F">
            <w:pPr>
              <w:pStyle w:val="27"/>
              <w:keepLines w:val="0"/>
              <w:pageBreakBefore w:val="0"/>
              <w:widowControl/>
              <w:wordWrap/>
              <w:overflowPunct/>
              <w:topLinePunct/>
              <w:bidi w:val="0"/>
            </w:pPr>
          </w:p>
        </w:tc>
        <w:tc>
          <w:tcPr>
            <w:tcW w:w="1148" w:type="dxa"/>
            <w:vAlign w:val="top"/>
          </w:tcPr>
          <w:p w14:paraId="38EDD11A">
            <w:pPr>
              <w:keepLines w:val="0"/>
              <w:pageBreakBefore w:val="0"/>
              <w:widowControl/>
              <w:wordWrap/>
              <w:overflowPunct/>
              <w:topLinePunct/>
              <w:bidi w:val="0"/>
              <w:spacing w:before="173" w:line="229" w:lineRule="auto"/>
              <w:ind w:left="314"/>
            </w:pPr>
          </w:p>
        </w:tc>
        <w:tc>
          <w:tcPr>
            <w:tcW w:w="1150" w:type="dxa"/>
            <w:vAlign w:val="top"/>
          </w:tcPr>
          <w:p w14:paraId="4B30AD5C">
            <w:pPr>
              <w:keepLines w:val="0"/>
              <w:pageBreakBefore w:val="0"/>
              <w:widowControl/>
              <w:wordWrap/>
              <w:overflowPunct/>
              <w:topLinePunct/>
              <w:bidi w:val="0"/>
              <w:spacing w:before="173" w:line="229" w:lineRule="auto"/>
              <w:ind w:left="314"/>
            </w:pPr>
          </w:p>
        </w:tc>
        <w:tc>
          <w:tcPr>
            <w:tcW w:w="1240" w:type="dxa"/>
            <w:vAlign w:val="top"/>
          </w:tcPr>
          <w:p w14:paraId="6FBCF8FF">
            <w:pPr>
              <w:pStyle w:val="27"/>
              <w:keepLines w:val="0"/>
              <w:pageBreakBefore w:val="0"/>
              <w:widowControl/>
              <w:wordWrap/>
              <w:overflowPunct/>
              <w:topLinePunct/>
              <w:bidi w:val="0"/>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keepLines w:val="0"/>
              <w:pageBreakBefore w:val="0"/>
              <w:widowControl/>
              <w:wordWrap/>
              <w:overflowPunct/>
              <w:topLinePunct/>
              <w:bidi w:val="0"/>
            </w:pPr>
          </w:p>
        </w:tc>
        <w:tc>
          <w:tcPr>
            <w:tcW w:w="919" w:type="dxa"/>
            <w:vAlign w:val="top"/>
          </w:tcPr>
          <w:p w14:paraId="1BBFCF07">
            <w:pPr>
              <w:pStyle w:val="27"/>
              <w:keepLines w:val="0"/>
              <w:pageBreakBefore w:val="0"/>
              <w:widowControl/>
              <w:wordWrap/>
              <w:overflowPunct/>
              <w:topLinePunct/>
              <w:bidi w:val="0"/>
            </w:pPr>
          </w:p>
        </w:tc>
        <w:tc>
          <w:tcPr>
            <w:tcW w:w="2289" w:type="dxa"/>
            <w:vAlign w:val="top"/>
          </w:tcPr>
          <w:p w14:paraId="238EACEC">
            <w:pPr>
              <w:pStyle w:val="27"/>
              <w:keepLines w:val="0"/>
              <w:pageBreakBefore w:val="0"/>
              <w:widowControl/>
              <w:wordWrap/>
              <w:overflowPunct/>
              <w:topLinePunct/>
              <w:bidi w:val="0"/>
            </w:pPr>
          </w:p>
        </w:tc>
        <w:tc>
          <w:tcPr>
            <w:tcW w:w="1148" w:type="dxa"/>
            <w:vAlign w:val="top"/>
          </w:tcPr>
          <w:p w14:paraId="75E51CC0">
            <w:pPr>
              <w:pStyle w:val="27"/>
              <w:keepLines w:val="0"/>
              <w:pageBreakBefore w:val="0"/>
              <w:widowControl/>
              <w:wordWrap/>
              <w:overflowPunct/>
              <w:topLinePunct/>
              <w:bidi w:val="0"/>
            </w:pPr>
          </w:p>
        </w:tc>
        <w:tc>
          <w:tcPr>
            <w:tcW w:w="1150" w:type="dxa"/>
            <w:vAlign w:val="top"/>
          </w:tcPr>
          <w:p w14:paraId="06FF3C1B">
            <w:pPr>
              <w:pStyle w:val="27"/>
              <w:keepLines w:val="0"/>
              <w:pageBreakBefore w:val="0"/>
              <w:widowControl/>
              <w:wordWrap/>
              <w:overflowPunct/>
              <w:topLinePunct/>
              <w:bidi w:val="0"/>
            </w:pPr>
          </w:p>
        </w:tc>
        <w:tc>
          <w:tcPr>
            <w:tcW w:w="1240" w:type="dxa"/>
            <w:vAlign w:val="top"/>
          </w:tcPr>
          <w:p w14:paraId="5C8B1A3D">
            <w:pPr>
              <w:pStyle w:val="27"/>
              <w:keepLines w:val="0"/>
              <w:pageBreakBefore w:val="0"/>
              <w:widowControl/>
              <w:wordWrap/>
              <w:overflowPunct/>
              <w:topLinePunct/>
              <w:bidi w:val="0"/>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keepLines w:val="0"/>
              <w:pageBreakBefore w:val="0"/>
              <w:widowControl/>
              <w:wordWrap/>
              <w:overflowPunct/>
              <w:topLinePunct/>
              <w:bidi w:val="0"/>
            </w:pPr>
          </w:p>
        </w:tc>
        <w:tc>
          <w:tcPr>
            <w:tcW w:w="919" w:type="dxa"/>
            <w:vAlign w:val="top"/>
          </w:tcPr>
          <w:p w14:paraId="22DED3EC">
            <w:pPr>
              <w:pStyle w:val="27"/>
              <w:keepLines w:val="0"/>
              <w:pageBreakBefore w:val="0"/>
              <w:widowControl/>
              <w:wordWrap/>
              <w:overflowPunct/>
              <w:topLinePunct/>
              <w:bidi w:val="0"/>
            </w:pPr>
          </w:p>
        </w:tc>
        <w:tc>
          <w:tcPr>
            <w:tcW w:w="2289" w:type="dxa"/>
            <w:vAlign w:val="top"/>
          </w:tcPr>
          <w:p w14:paraId="22279F68">
            <w:pPr>
              <w:pStyle w:val="27"/>
              <w:keepLines w:val="0"/>
              <w:pageBreakBefore w:val="0"/>
              <w:widowControl/>
              <w:wordWrap/>
              <w:overflowPunct/>
              <w:topLinePunct/>
              <w:bidi w:val="0"/>
            </w:pPr>
          </w:p>
        </w:tc>
        <w:tc>
          <w:tcPr>
            <w:tcW w:w="1148" w:type="dxa"/>
            <w:vAlign w:val="top"/>
          </w:tcPr>
          <w:p w14:paraId="451706B1">
            <w:pPr>
              <w:pStyle w:val="27"/>
              <w:keepLines w:val="0"/>
              <w:pageBreakBefore w:val="0"/>
              <w:widowControl/>
              <w:wordWrap/>
              <w:overflowPunct/>
              <w:topLinePunct/>
              <w:bidi w:val="0"/>
            </w:pPr>
          </w:p>
        </w:tc>
        <w:tc>
          <w:tcPr>
            <w:tcW w:w="1150" w:type="dxa"/>
            <w:vAlign w:val="top"/>
          </w:tcPr>
          <w:p w14:paraId="4C95703C">
            <w:pPr>
              <w:pStyle w:val="27"/>
              <w:keepLines w:val="0"/>
              <w:pageBreakBefore w:val="0"/>
              <w:widowControl/>
              <w:wordWrap/>
              <w:overflowPunct/>
              <w:topLinePunct/>
              <w:bidi w:val="0"/>
            </w:pPr>
          </w:p>
        </w:tc>
        <w:tc>
          <w:tcPr>
            <w:tcW w:w="1240" w:type="dxa"/>
            <w:vAlign w:val="top"/>
          </w:tcPr>
          <w:p w14:paraId="60889A79">
            <w:pPr>
              <w:pStyle w:val="27"/>
              <w:keepLines w:val="0"/>
              <w:pageBreakBefore w:val="0"/>
              <w:widowControl/>
              <w:wordWrap/>
              <w:overflowPunct/>
              <w:topLinePunct/>
              <w:bidi w:val="0"/>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keepLines w:val="0"/>
              <w:pageBreakBefore w:val="0"/>
              <w:widowControl/>
              <w:wordWrap/>
              <w:overflowPunct/>
              <w:topLinePunct/>
              <w:bidi w:val="0"/>
            </w:pPr>
          </w:p>
        </w:tc>
        <w:tc>
          <w:tcPr>
            <w:tcW w:w="919" w:type="dxa"/>
            <w:vAlign w:val="top"/>
          </w:tcPr>
          <w:p w14:paraId="68D2552E">
            <w:pPr>
              <w:pStyle w:val="27"/>
              <w:keepLines w:val="0"/>
              <w:pageBreakBefore w:val="0"/>
              <w:widowControl/>
              <w:wordWrap/>
              <w:overflowPunct/>
              <w:topLinePunct/>
              <w:bidi w:val="0"/>
            </w:pPr>
          </w:p>
        </w:tc>
        <w:tc>
          <w:tcPr>
            <w:tcW w:w="2289" w:type="dxa"/>
            <w:vAlign w:val="top"/>
          </w:tcPr>
          <w:p w14:paraId="1E79A586">
            <w:pPr>
              <w:pStyle w:val="27"/>
              <w:keepLines w:val="0"/>
              <w:pageBreakBefore w:val="0"/>
              <w:widowControl/>
              <w:wordWrap/>
              <w:overflowPunct/>
              <w:topLinePunct/>
              <w:bidi w:val="0"/>
            </w:pPr>
          </w:p>
        </w:tc>
        <w:tc>
          <w:tcPr>
            <w:tcW w:w="1148" w:type="dxa"/>
            <w:vAlign w:val="top"/>
          </w:tcPr>
          <w:p w14:paraId="17919EEC">
            <w:pPr>
              <w:pStyle w:val="27"/>
              <w:keepLines w:val="0"/>
              <w:pageBreakBefore w:val="0"/>
              <w:widowControl/>
              <w:wordWrap/>
              <w:overflowPunct/>
              <w:topLinePunct/>
              <w:bidi w:val="0"/>
            </w:pPr>
          </w:p>
        </w:tc>
        <w:tc>
          <w:tcPr>
            <w:tcW w:w="1150" w:type="dxa"/>
            <w:vAlign w:val="top"/>
          </w:tcPr>
          <w:p w14:paraId="2BB87D59">
            <w:pPr>
              <w:pStyle w:val="27"/>
              <w:keepLines w:val="0"/>
              <w:pageBreakBefore w:val="0"/>
              <w:widowControl/>
              <w:wordWrap/>
              <w:overflowPunct/>
              <w:topLinePunct/>
              <w:bidi w:val="0"/>
            </w:pPr>
          </w:p>
        </w:tc>
        <w:tc>
          <w:tcPr>
            <w:tcW w:w="1240" w:type="dxa"/>
            <w:vAlign w:val="top"/>
          </w:tcPr>
          <w:p w14:paraId="4CCAE5FE">
            <w:pPr>
              <w:pStyle w:val="27"/>
              <w:keepLines w:val="0"/>
              <w:pageBreakBefore w:val="0"/>
              <w:widowControl/>
              <w:wordWrap/>
              <w:overflowPunct/>
              <w:topLinePunct/>
              <w:bidi w:val="0"/>
            </w:pPr>
          </w:p>
        </w:tc>
      </w:tr>
    </w:tbl>
    <w:p w14:paraId="757D1BA6">
      <w:pPr>
        <w:keepLines w:val="0"/>
        <w:pageBreakBefore w:val="0"/>
        <w:widowControl/>
        <w:wordWrap/>
        <w:overflowPunct/>
        <w:topLinePunct/>
        <w:bidi w:val="0"/>
      </w:pPr>
      <w:r>
        <w:br w:type="page"/>
      </w:r>
    </w:p>
    <w:sdt>
      <w:sdtPr>
        <w:rPr>
          <w:rFonts w:ascii="宋体" w:hAnsi="宋体" w:eastAsia="宋体" w:cs="Arial"/>
          <w:snapToGrid w:val="0"/>
          <w:color w:val="000000"/>
          <w:kern w:val="0"/>
          <w:sz w:val="21"/>
          <w:szCs w:val="21"/>
          <w:lang w:val="en-US" w:eastAsia="en-US" w:bidi="ar-SA"/>
        </w:rPr>
        <w:id w:val="147469179"/>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35F0D2BC">
          <w:pPr>
            <w:keepLines w:val="0"/>
            <w:pageBreakBefore w:val="0"/>
            <w:widowControl/>
            <w:wordWrap/>
            <w:overflowPunct/>
            <w:topLine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019FFED3">
          <w:pPr>
            <w:pStyle w:val="17"/>
            <w:keepLines w:val="0"/>
            <w:pageBreakBefore w:val="0"/>
            <w:widowControl/>
            <w:tabs>
              <w:tab w:val="right" w:leader="dot" w:pos="8306"/>
            </w:tabs>
            <w:wordWrap/>
            <w:overflowPunct/>
            <w:bidi w:val="0"/>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_Toc26680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_Toc26680 \h </w:instrText>
          </w:r>
          <w:r>
            <w:fldChar w:fldCharType="separate"/>
          </w:r>
          <w:r>
            <w:t>1</w:t>
          </w:r>
          <w:r>
            <w:fldChar w:fldCharType="end"/>
          </w:r>
          <w:r>
            <w:rPr>
              <w:rFonts w:hint="eastAsia" w:ascii="宋体" w:hAnsi="宋体" w:eastAsia="宋体" w:cs="宋体"/>
              <w:szCs w:val="24"/>
            </w:rPr>
            <w:fldChar w:fldCharType="end"/>
          </w:r>
        </w:p>
        <w:p w14:paraId="7C931803">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_Toc18469 </w:instrText>
          </w:r>
          <w:r>
            <w:rPr>
              <w:rFonts w:hint="eastAsia" w:ascii="宋体" w:hAnsi="宋体" w:eastAsia="宋体" w:cs="宋体"/>
              <w:szCs w:val="24"/>
            </w:rPr>
            <w:fldChar w:fldCharType="separate"/>
          </w:r>
          <w:r>
            <w:rPr>
              <w:rFonts w:hint="eastAsia"/>
              <w:lang w:val="en-US" w:eastAsia="zh-CN"/>
            </w:rPr>
            <w:t>人员培训管理制度</w:t>
          </w:r>
          <w:r>
            <w:tab/>
          </w:r>
          <w:r>
            <w:fldChar w:fldCharType="begin"/>
          </w:r>
          <w:r>
            <w:instrText xml:space="preserve"> PAGEREF _Toc18469 \h </w:instrText>
          </w:r>
          <w:r>
            <w:fldChar w:fldCharType="separate"/>
          </w:r>
          <w:r>
            <w:t>1</w:t>
          </w:r>
          <w:r>
            <w:fldChar w:fldCharType="end"/>
          </w:r>
          <w:r>
            <w:rPr>
              <w:rFonts w:hint="eastAsia" w:ascii="宋体" w:hAnsi="宋体" w:eastAsia="宋体" w:cs="宋体"/>
              <w:szCs w:val="24"/>
            </w:rPr>
            <w:fldChar w:fldCharType="end"/>
          </w:r>
        </w:p>
        <w:p w14:paraId="6C0DB0DF">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_Toc8970 </w:instrText>
          </w:r>
          <w:r>
            <w:rPr>
              <w:rFonts w:hint="eastAsia" w:ascii="宋体" w:hAnsi="宋体" w:eastAsia="宋体" w:cs="宋体"/>
              <w:szCs w:val="24"/>
            </w:rPr>
            <w:fldChar w:fldCharType="separate"/>
          </w:r>
          <w:r>
            <w:rPr>
              <w:rFonts w:hint="default"/>
              <w:lang w:val="en-US" w:eastAsia="zh-CN"/>
            </w:rPr>
            <w:t xml:space="preserve">1. </w:t>
          </w:r>
          <w:r>
            <w:rPr>
              <w:rFonts w:hint="eastAsia"/>
              <w:lang w:val="en-US" w:eastAsia="zh-CN"/>
            </w:rPr>
            <w:t>目的</w:t>
          </w:r>
          <w:r>
            <w:tab/>
          </w:r>
          <w:r>
            <w:fldChar w:fldCharType="begin"/>
          </w:r>
          <w:r>
            <w:instrText xml:space="preserve"> PAGEREF _Toc8970 \h </w:instrText>
          </w:r>
          <w:r>
            <w:fldChar w:fldCharType="separate"/>
          </w:r>
          <w:r>
            <w:t>4</w:t>
          </w:r>
          <w:r>
            <w:fldChar w:fldCharType="end"/>
          </w:r>
          <w:r>
            <w:rPr>
              <w:rFonts w:hint="eastAsia" w:ascii="宋体" w:hAnsi="宋体" w:eastAsia="宋体" w:cs="宋体"/>
              <w:szCs w:val="24"/>
            </w:rPr>
            <w:fldChar w:fldCharType="end"/>
          </w:r>
        </w:p>
        <w:p w14:paraId="3E951D1E">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_Toc4360 </w:instrText>
          </w:r>
          <w:r>
            <w:rPr>
              <w:rFonts w:hint="eastAsia" w:ascii="宋体" w:hAnsi="宋体" w:eastAsia="宋体" w:cs="宋体"/>
              <w:szCs w:val="24"/>
            </w:rPr>
            <w:fldChar w:fldCharType="separate"/>
          </w:r>
          <w:r>
            <w:rPr>
              <w:rFonts w:hint="default"/>
            </w:rPr>
            <w:t xml:space="preserve">2. </w:t>
          </w:r>
          <w:r>
            <w:rPr>
              <w:rFonts w:hint="eastAsia"/>
              <w:lang w:val="en-US" w:eastAsia="zh-CN"/>
            </w:rPr>
            <w:t>原则</w:t>
          </w:r>
          <w:r>
            <w:tab/>
          </w:r>
          <w:r>
            <w:fldChar w:fldCharType="begin"/>
          </w:r>
          <w:r>
            <w:instrText xml:space="preserve"> PAGEREF _Toc4360 \h </w:instrText>
          </w:r>
          <w:r>
            <w:fldChar w:fldCharType="separate"/>
          </w:r>
          <w:r>
            <w:t>4</w:t>
          </w:r>
          <w:r>
            <w:fldChar w:fldCharType="end"/>
          </w:r>
          <w:r>
            <w:rPr>
              <w:rFonts w:hint="eastAsia" w:ascii="宋体" w:hAnsi="宋体" w:eastAsia="宋体" w:cs="宋体"/>
              <w:szCs w:val="24"/>
            </w:rPr>
            <w:fldChar w:fldCharType="end"/>
          </w:r>
        </w:p>
        <w:p w14:paraId="4271FF37">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_Toc16123 </w:instrText>
          </w:r>
          <w:r>
            <w:rPr>
              <w:rFonts w:hint="eastAsia" w:ascii="宋体" w:hAnsi="宋体" w:eastAsia="宋体" w:cs="宋体"/>
              <w:szCs w:val="24"/>
            </w:rPr>
            <w:fldChar w:fldCharType="separate"/>
          </w:r>
          <w:r>
            <w:rPr>
              <w:rFonts w:hint="default"/>
              <w:lang w:val="en-US" w:eastAsia="zh-CN"/>
            </w:rPr>
            <w:t xml:space="preserve">3. </w:t>
          </w:r>
          <w:r>
            <w:rPr>
              <w:rFonts w:hint="eastAsia"/>
              <w:lang w:val="en-US" w:eastAsia="zh-CN"/>
            </w:rPr>
            <w:t>适用范围</w:t>
          </w:r>
          <w:r>
            <w:tab/>
          </w:r>
          <w:r>
            <w:fldChar w:fldCharType="begin"/>
          </w:r>
          <w:r>
            <w:instrText xml:space="preserve"> PAGEREF _Toc16123 \h </w:instrText>
          </w:r>
          <w:r>
            <w:fldChar w:fldCharType="separate"/>
          </w:r>
          <w:r>
            <w:t>4</w:t>
          </w:r>
          <w:r>
            <w:fldChar w:fldCharType="end"/>
          </w:r>
          <w:r>
            <w:rPr>
              <w:rFonts w:hint="eastAsia" w:ascii="宋体" w:hAnsi="宋体" w:eastAsia="宋体" w:cs="宋体"/>
              <w:szCs w:val="24"/>
            </w:rPr>
            <w:fldChar w:fldCharType="end"/>
          </w:r>
        </w:p>
        <w:p w14:paraId="7E11C4A8">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_Toc12689 </w:instrText>
          </w:r>
          <w:r>
            <w:rPr>
              <w:rFonts w:hint="eastAsia" w:ascii="宋体" w:hAnsi="宋体" w:eastAsia="宋体" w:cs="宋体"/>
              <w:szCs w:val="24"/>
            </w:rPr>
            <w:fldChar w:fldCharType="separate"/>
          </w:r>
          <w:r>
            <w:rPr>
              <w:rFonts w:hint="default"/>
            </w:rPr>
            <w:t xml:space="preserve">4. </w:t>
          </w:r>
          <w:r>
            <w:rPr>
              <w:rFonts w:hint="eastAsia"/>
              <w:lang w:val="en-US" w:eastAsia="zh-CN"/>
            </w:rPr>
            <w:t>岗位</w:t>
          </w:r>
          <w:r>
            <w:t>职责</w:t>
          </w:r>
          <w:r>
            <w:tab/>
          </w:r>
          <w:r>
            <w:fldChar w:fldCharType="begin"/>
          </w:r>
          <w:r>
            <w:instrText xml:space="preserve"> PAGEREF _Toc12689 \h </w:instrText>
          </w:r>
          <w:r>
            <w:fldChar w:fldCharType="separate"/>
          </w:r>
          <w:r>
            <w:t>4</w:t>
          </w:r>
          <w:r>
            <w:fldChar w:fldCharType="end"/>
          </w:r>
          <w:r>
            <w:rPr>
              <w:rFonts w:hint="eastAsia" w:ascii="宋体" w:hAnsi="宋体" w:eastAsia="宋体" w:cs="宋体"/>
              <w:szCs w:val="24"/>
            </w:rPr>
            <w:fldChar w:fldCharType="end"/>
          </w:r>
        </w:p>
        <w:p w14:paraId="5F6E5929">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_Toc30708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总经理：</w:t>
          </w:r>
          <w:r>
            <w:tab/>
          </w:r>
          <w:r>
            <w:fldChar w:fldCharType="begin"/>
          </w:r>
          <w:r>
            <w:instrText xml:space="preserve"> PAGEREF _Toc30708 \h </w:instrText>
          </w:r>
          <w:r>
            <w:fldChar w:fldCharType="separate"/>
          </w:r>
          <w:r>
            <w:t>4</w:t>
          </w:r>
          <w:r>
            <w:fldChar w:fldCharType="end"/>
          </w:r>
          <w:r>
            <w:rPr>
              <w:rFonts w:hint="eastAsia" w:ascii="宋体" w:hAnsi="宋体" w:eastAsia="宋体" w:cs="宋体"/>
              <w:szCs w:val="24"/>
            </w:rPr>
            <w:fldChar w:fldCharType="end"/>
          </w:r>
        </w:p>
        <w:p w14:paraId="07B380B1">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_Toc20489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人力部：</w:t>
          </w:r>
          <w:r>
            <w:tab/>
          </w:r>
          <w:r>
            <w:fldChar w:fldCharType="begin"/>
          </w:r>
          <w:r>
            <w:instrText xml:space="preserve"> PAGEREF _Toc20489 \h </w:instrText>
          </w:r>
          <w:r>
            <w:fldChar w:fldCharType="separate"/>
          </w:r>
          <w:r>
            <w:t>4</w:t>
          </w:r>
          <w:r>
            <w:fldChar w:fldCharType="end"/>
          </w:r>
          <w:r>
            <w:rPr>
              <w:rFonts w:hint="eastAsia" w:ascii="宋体" w:hAnsi="宋体" w:eastAsia="宋体" w:cs="宋体"/>
              <w:szCs w:val="24"/>
            </w:rPr>
            <w:fldChar w:fldCharType="end"/>
          </w:r>
        </w:p>
        <w:p w14:paraId="147530E2">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_Toc29950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其他运维相关部门</w:t>
          </w:r>
          <w:r>
            <w:tab/>
          </w:r>
          <w:r>
            <w:fldChar w:fldCharType="begin"/>
          </w:r>
          <w:r>
            <w:instrText xml:space="preserve"> PAGEREF _Toc29950 \h </w:instrText>
          </w:r>
          <w:r>
            <w:fldChar w:fldCharType="separate"/>
          </w:r>
          <w:r>
            <w:t>5</w:t>
          </w:r>
          <w:r>
            <w:fldChar w:fldCharType="end"/>
          </w:r>
          <w:r>
            <w:rPr>
              <w:rFonts w:hint="eastAsia" w:ascii="宋体" w:hAnsi="宋体" w:eastAsia="宋体" w:cs="宋体"/>
              <w:szCs w:val="24"/>
            </w:rPr>
            <w:fldChar w:fldCharType="end"/>
          </w:r>
        </w:p>
        <w:p w14:paraId="71BF5A3D">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_Toc12726 </w:instrText>
          </w:r>
          <w:r>
            <w:rPr>
              <w:rFonts w:hint="eastAsia" w:ascii="宋体" w:hAnsi="宋体" w:eastAsia="宋体" w:cs="宋体"/>
              <w:szCs w:val="24"/>
            </w:rPr>
            <w:fldChar w:fldCharType="separate"/>
          </w:r>
          <w:r>
            <w:rPr>
              <w:rFonts w:hint="default" w:eastAsia="宋体"/>
              <w:lang w:val="en-US" w:eastAsia="zh-CN"/>
            </w:rPr>
            <w:t xml:space="preserve">5. </w:t>
          </w:r>
          <w:r>
            <w:t>培训</w:t>
          </w:r>
          <w:r>
            <w:rPr>
              <w:rFonts w:hint="eastAsia"/>
              <w:lang w:val="en-US" w:eastAsia="zh-CN"/>
            </w:rPr>
            <w:t>计划</w:t>
          </w:r>
          <w:r>
            <w:t>实施</w:t>
          </w:r>
          <w:r>
            <w:tab/>
          </w:r>
          <w:r>
            <w:fldChar w:fldCharType="begin"/>
          </w:r>
          <w:r>
            <w:instrText xml:space="preserve"> PAGEREF _Toc12726 \h </w:instrText>
          </w:r>
          <w:r>
            <w:fldChar w:fldCharType="separate"/>
          </w:r>
          <w:r>
            <w:t>5</w:t>
          </w:r>
          <w:r>
            <w:fldChar w:fldCharType="end"/>
          </w:r>
          <w:r>
            <w:rPr>
              <w:rFonts w:hint="eastAsia" w:ascii="宋体" w:hAnsi="宋体" w:eastAsia="宋体" w:cs="宋体"/>
              <w:szCs w:val="24"/>
            </w:rPr>
            <w:fldChar w:fldCharType="end"/>
          </w:r>
        </w:p>
        <w:p w14:paraId="55918B0A">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_Toc7993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培训目的</w:t>
          </w:r>
          <w:r>
            <w:tab/>
          </w:r>
          <w:r>
            <w:fldChar w:fldCharType="begin"/>
          </w:r>
          <w:r>
            <w:instrText xml:space="preserve"> PAGEREF _Toc7993 \h </w:instrText>
          </w:r>
          <w:r>
            <w:fldChar w:fldCharType="separate"/>
          </w:r>
          <w:r>
            <w:t>5</w:t>
          </w:r>
          <w:r>
            <w:fldChar w:fldCharType="end"/>
          </w:r>
          <w:r>
            <w:rPr>
              <w:rFonts w:hint="eastAsia" w:ascii="宋体" w:hAnsi="宋体" w:eastAsia="宋体" w:cs="宋体"/>
              <w:szCs w:val="24"/>
            </w:rPr>
            <w:fldChar w:fldCharType="end"/>
          </w:r>
        </w:p>
        <w:p w14:paraId="0B69CE58">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_Toc14430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培训方式、性质</w:t>
          </w:r>
          <w:r>
            <w:tab/>
          </w:r>
          <w:r>
            <w:fldChar w:fldCharType="begin"/>
          </w:r>
          <w:r>
            <w:instrText xml:space="preserve"> PAGEREF _Toc14430 \h </w:instrText>
          </w:r>
          <w:r>
            <w:fldChar w:fldCharType="separate"/>
          </w:r>
          <w:r>
            <w:t>5</w:t>
          </w:r>
          <w:r>
            <w:fldChar w:fldCharType="end"/>
          </w:r>
          <w:r>
            <w:rPr>
              <w:rFonts w:hint="eastAsia" w:ascii="宋体" w:hAnsi="宋体" w:eastAsia="宋体" w:cs="宋体"/>
              <w:szCs w:val="24"/>
            </w:rPr>
            <w:fldChar w:fldCharType="end"/>
          </w:r>
        </w:p>
        <w:p w14:paraId="184E2C93">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_Toc8660 </w:instrText>
          </w:r>
          <w:r>
            <w:rPr>
              <w:rFonts w:hint="eastAsia" w:ascii="宋体" w:hAnsi="宋体" w:eastAsia="宋体" w:cs="宋体"/>
              <w:szCs w:val="24"/>
            </w:rPr>
            <w:fldChar w:fldCharType="separate"/>
          </w:r>
          <w:r>
            <w:rPr>
              <w:rFonts w:hint="default"/>
            </w:rPr>
            <w:t xml:space="preserve">5.3. </w:t>
          </w:r>
          <w:r>
            <w:t>培训计划的编制</w:t>
          </w:r>
          <w:r>
            <w:tab/>
          </w:r>
          <w:r>
            <w:fldChar w:fldCharType="begin"/>
          </w:r>
          <w:r>
            <w:instrText xml:space="preserve"> PAGEREF _Toc8660 \h </w:instrText>
          </w:r>
          <w:r>
            <w:fldChar w:fldCharType="separate"/>
          </w:r>
          <w:r>
            <w:t>6</w:t>
          </w:r>
          <w:r>
            <w:fldChar w:fldCharType="end"/>
          </w:r>
          <w:r>
            <w:rPr>
              <w:rFonts w:hint="eastAsia" w:ascii="宋体" w:hAnsi="宋体" w:eastAsia="宋体" w:cs="宋体"/>
              <w:szCs w:val="24"/>
            </w:rPr>
            <w:fldChar w:fldCharType="end"/>
          </w:r>
        </w:p>
        <w:p w14:paraId="6A5EB5AD">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_Toc30958 </w:instrText>
          </w:r>
          <w:r>
            <w:rPr>
              <w:rFonts w:hint="eastAsia" w:ascii="宋体" w:hAnsi="宋体" w:eastAsia="宋体" w:cs="宋体"/>
              <w:szCs w:val="24"/>
            </w:rPr>
            <w:fldChar w:fldCharType="separate"/>
          </w:r>
          <w:r>
            <w:rPr>
              <w:rFonts w:hint="default"/>
            </w:rPr>
            <w:t xml:space="preserve">5.4. </w:t>
          </w:r>
          <w:r>
            <w:t>新员工培训</w:t>
          </w:r>
          <w:r>
            <w:tab/>
          </w:r>
          <w:r>
            <w:fldChar w:fldCharType="begin"/>
          </w:r>
          <w:r>
            <w:instrText xml:space="preserve"> PAGEREF _Toc30958 \h </w:instrText>
          </w:r>
          <w:r>
            <w:fldChar w:fldCharType="separate"/>
          </w:r>
          <w:r>
            <w:t>6</w:t>
          </w:r>
          <w:r>
            <w:fldChar w:fldCharType="end"/>
          </w:r>
          <w:r>
            <w:rPr>
              <w:rFonts w:hint="eastAsia" w:ascii="宋体" w:hAnsi="宋体" w:eastAsia="宋体" w:cs="宋体"/>
              <w:szCs w:val="24"/>
            </w:rPr>
            <w:fldChar w:fldCharType="end"/>
          </w:r>
        </w:p>
        <w:p w14:paraId="74CC2859">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_Toc25247 </w:instrText>
          </w:r>
          <w:r>
            <w:rPr>
              <w:rFonts w:hint="eastAsia" w:ascii="宋体" w:hAnsi="宋体" w:eastAsia="宋体" w:cs="宋体"/>
              <w:szCs w:val="24"/>
            </w:rPr>
            <w:fldChar w:fldCharType="separate"/>
          </w:r>
          <w:r>
            <w:rPr>
              <w:rFonts w:hint="default"/>
            </w:rPr>
            <w:t xml:space="preserve">5.4.1. </w:t>
          </w:r>
          <w:r>
            <w:t>培训内容</w:t>
          </w:r>
          <w:r>
            <w:tab/>
          </w:r>
          <w:r>
            <w:fldChar w:fldCharType="begin"/>
          </w:r>
          <w:r>
            <w:instrText xml:space="preserve"> PAGEREF _Toc25247 \h </w:instrText>
          </w:r>
          <w:r>
            <w:fldChar w:fldCharType="separate"/>
          </w:r>
          <w:r>
            <w:t>6</w:t>
          </w:r>
          <w:r>
            <w:fldChar w:fldCharType="end"/>
          </w:r>
          <w:r>
            <w:rPr>
              <w:rFonts w:hint="eastAsia" w:ascii="宋体" w:hAnsi="宋体" w:eastAsia="宋体" w:cs="宋体"/>
              <w:szCs w:val="24"/>
            </w:rPr>
            <w:fldChar w:fldCharType="end"/>
          </w:r>
        </w:p>
        <w:p w14:paraId="7CA7050C">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_Toc7236 </w:instrText>
          </w:r>
          <w:r>
            <w:rPr>
              <w:rFonts w:hint="eastAsia" w:ascii="宋体" w:hAnsi="宋体" w:eastAsia="宋体" w:cs="宋体"/>
              <w:szCs w:val="24"/>
            </w:rPr>
            <w:fldChar w:fldCharType="separate"/>
          </w:r>
          <w:r>
            <w:rPr>
              <w:rFonts w:hint="default"/>
            </w:rPr>
            <w:t xml:space="preserve">5.4.2. </w:t>
          </w:r>
          <w:r>
            <w:t>培训形式</w:t>
          </w:r>
          <w:r>
            <w:tab/>
          </w:r>
          <w:r>
            <w:fldChar w:fldCharType="begin"/>
          </w:r>
          <w:r>
            <w:instrText xml:space="preserve"> PAGEREF _Toc7236 \h </w:instrText>
          </w:r>
          <w:r>
            <w:fldChar w:fldCharType="separate"/>
          </w:r>
          <w:r>
            <w:t>6</w:t>
          </w:r>
          <w:r>
            <w:fldChar w:fldCharType="end"/>
          </w:r>
          <w:r>
            <w:rPr>
              <w:rFonts w:hint="eastAsia" w:ascii="宋体" w:hAnsi="宋体" w:eastAsia="宋体" w:cs="宋体"/>
              <w:szCs w:val="24"/>
            </w:rPr>
            <w:fldChar w:fldCharType="end"/>
          </w:r>
        </w:p>
        <w:p w14:paraId="75077DA4">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 </w:instrText>
          </w:r>
          <w:r>
            <w:rPr>
              <w:rFonts w:hint="eastAsia" w:ascii="宋体" w:hAnsi="宋体" w:eastAsia="宋体" w:cs="宋体"/>
              <w:szCs w:val="24"/>
            </w:rPr>
            <w:fldChar w:fldCharType="separate"/>
          </w:r>
          <w:r>
            <w:rPr>
              <w:rFonts w:hint="default"/>
            </w:rPr>
            <w:t xml:space="preserve">5.4.3. </w:t>
          </w:r>
          <w:r>
            <w:t>培训实施</w:t>
          </w:r>
          <w:r>
            <w:tab/>
          </w:r>
          <w:r>
            <w:fldChar w:fldCharType="begin"/>
          </w:r>
          <w:r>
            <w:instrText xml:space="preserve"> PAGEREF _Toc26 \h </w:instrText>
          </w:r>
          <w:r>
            <w:fldChar w:fldCharType="separate"/>
          </w:r>
          <w:r>
            <w:t>6</w:t>
          </w:r>
          <w:r>
            <w:fldChar w:fldCharType="end"/>
          </w:r>
          <w:r>
            <w:rPr>
              <w:rFonts w:hint="eastAsia" w:ascii="宋体" w:hAnsi="宋体" w:eastAsia="宋体" w:cs="宋体"/>
              <w:szCs w:val="24"/>
            </w:rPr>
            <w:fldChar w:fldCharType="end"/>
          </w:r>
        </w:p>
        <w:p w14:paraId="739A023B">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_Toc885 </w:instrText>
          </w:r>
          <w:r>
            <w:rPr>
              <w:rFonts w:hint="eastAsia" w:ascii="宋体" w:hAnsi="宋体" w:eastAsia="宋体" w:cs="宋体"/>
              <w:szCs w:val="24"/>
            </w:rPr>
            <w:fldChar w:fldCharType="separate"/>
          </w:r>
          <w:r>
            <w:rPr>
              <w:rFonts w:hint="default"/>
            </w:rPr>
            <w:t xml:space="preserve">5.5. </w:t>
          </w:r>
          <w:r>
            <w:t>在岗员工、转岗员工培训</w:t>
          </w:r>
          <w:r>
            <w:tab/>
          </w:r>
          <w:r>
            <w:fldChar w:fldCharType="begin"/>
          </w:r>
          <w:r>
            <w:instrText xml:space="preserve"> PAGEREF _Toc885 \h </w:instrText>
          </w:r>
          <w:r>
            <w:fldChar w:fldCharType="separate"/>
          </w:r>
          <w:r>
            <w:t>7</w:t>
          </w:r>
          <w:r>
            <w:fldChar w:fldCharType="end"/>
          </w:r>
          <w:r>
            <w:rPr>
              <w:rFonts w:hint="eastAsia" w:ascii="宋体" w:hAnsi="宋体" w:eastAsia="宋体" w:cs="宋体"/>
              <w:szCs w:val="24"/>
            </w:rPr>
            <w:fldChar w:fldCharType="end"/>
          </w:r>
        </w:p>
        <w:p w14:paraId="50CCA0AA">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_Toc2368 </w:instrText>
          </w:r>
          <w:r>
            <w:rPr>
              <w:rFonts w:hint="eastAsia" w:ascii="宋体" w:hAnsi="宋体" w:eastAsia="宋体" w:cs="宋体"/>
              <w:szCs w:val="24"/>
            </w:rPr>
            <w:fldChar w:fldCharType="separate"/>
          </w:r>
          <w:r>
            <w:rPr>
              <w:rFonts w:hint="default"/>
            </w:rPr>
            <w:t xml:space="preserve">5.5.1. </w:t>
          </w:r>
          <w:r>
            <w:t>培训内容</w:t>
          </w:r>
          <w:r>
            <w:tab/>
          </w:r>
          <w:r>
            <w:fldChar w:fldCharType="begin"/>
          </w:r>
          <w:r>
            <w:instrText xml:space="preserve"> PAGEREF _Toc2368 \h </w:instrText>
          </w:r>
          <w:r>
            <w:fldChar w:fldCharType="separate"/>
          </w:r>
          <w:r>
            <w:t>7</w:t>
          </w:r>
          <w:r>
            <w:fldChar w:fldCharType="end"/>
          </w:r>
          <w:r>
            <w:rPr>
              <w:rFonts w:hint="eastAsia" w:ascii="宋体" w:hAnsi="宋体" w:eastAsia="宋体" w:cs="宋体"/>
              <w:szCs w:val="24"/>
            </w:rPr>
            <w:fldChar w:fldCharType="end"/>
          </w:r>
        </w:p>
        <w:p w14:paraId="46B6C83F">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_Toc13053 </w:instrText>
          </w:r>
          <w:r>
            <w:rPr>
              <w:rFonts w:hint="eastAsia" w:ascii="宋体" w:hAnsi="宋体" w:eastAsia="宋体" w:cs="宋体"/>
              <w:szCs w:val="24"/>
            </w:rPr>
            <w:fldChar w:fldCharType="separate"/>
          </w:r>
          <w:r>
            <w:rPr>
              <w:rFonts w:hint="default"/>
            </w:rPr>
            <w:t xml:space="preserve">5.5.2. </w:t>
          </w:r>
          <w:r>
            <w:t>培训形式</w:t>
          </w:r>
          <w:r>
            <w:tab/>
          </w:r>
          <w:r>
            <w:fldChar w:fldCharType="begin"/>
          </w:r>
          <w:r>
            <w:instrText xml:space="preserve"> PAGEREF _Toc13053 \h </w:instrText>
          </w:r>
          <w:r>
            <w:fldChar w:fldCharType="separate"/>
          </w:r>
          <w:r>
            <w:t>7</w:t>
          </w:r>
          <w:r>
            <w:fldChar w:fldCharType="end"/>
          </w:r>
          <w:r>
            <w:rPr>
              <w:rFonts w:hint="eastAsia" w:ascii="宋体" w:hAnsi="宋体" w:eastAsia="宋体" w:cs="宋体"/>
              <w:szCs w:val="24"/>
            </w:rPr>
            <w:fldChar w:fldCharType="end"/>
          </w:r>
        </w:p>
        <w:p w14:paraId="2AB3E8AE">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_Toc1112 </w:instrText>
          </w:r>
          <w:r>
            <w:rPr>
              <w:rFonts w:hint="eastAsia" w:ascii="宋体" w:hAnsi="宋体" w:eastAsia="宋体" w:cs="宋体"/>
              <w:szCs w:val="24"/>
            </w:rPr>
            <w:fldChar w:fldCharType="separate"/>
          </w:r>
          <w:r>
            <w:rPr>
              <w:rFonts w:hint="default"/>
            </w:rPr>
            <w:t xml:space="preserve">5.5.3. </w:t>
          </w:r>
          <w:r>
            <w:t>培训实施</w:t>
          </w:r>
          <w:r>
            <w:tab/>
          </w:r>
          <w:r>
            <w:fldChar w:fldCharType="begin"/>
          </w:r>
          <w:r>
            <w:instrText xml:space="preserve"> PAGEREF _Toc1112 \h </w:instrText>
          </w:r>
          <w:r>
            <w:fldChar w:fldCharType="separate"/>
          </w:r>
          <w:r>
            <w:t>7</w:t>
          </w:r>
          <w:r>
            <w:fldChar w:fldCharType="end"/>
          </w:r>
          <w:r>
            <w:rPr>
              <w:rFonts w:hint="eastAsia" w:ascii="宋体" w:hAnsi="宋体" w:eastAsia="宋体" w:cs="宋体"/>
              <w:szCs w:val="24"/>
            </w:rPr>
            <w:fldChar w:fldCharType="end"/>
          </w:r>
        </w:p>
        <w:p w14:paraId="7C5180DF">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_Toc25792 </w:instrText>
          </w:r>
          <w:r>
            <w:rPr>
              <w:rFonts w:hint="eastAsia" w:ascii="宋体" w:hAnsi="宋体" w:eastAsia="宋体" w:cs="宋体"/>
              <w:szCs w:val="24"/>
            </w:rPr>
            <w:fldChar w:fldCharType="separate"/>
          </w:r>
          <w:r>
            <w:rPr>
              <w:rFonts w:hint="default"/>
            </w:rPr>
            <w:t xml:space="preserve">5.6. </w:t>
          </w:r>
          <w:r>
            <w:t>基层管理人员培训</w:t>
          </w:r>
          <w:r>
            <w:tab/>
          </w:r>
          <w:r>
            <w:fldChar w:fldCharType="begin"/>
          </w:r>
          <w:r>
            <w:instrText xml:space="preserve"> PAGEREF _Toc25792 \h </w:instrText>
          </w:r>
          <w:r>
            <w:fldChar w:fldCharType="separate"/>
          </w:r>
          <w:r>
            <w:t>8</w:t>
          </w:r>
          <w:r>
            <w:fldChar w:fldCharType="end"/>
          </w:r>
          <w:r>
            <w:rPr>
              <w:rFonts w:hint="eastAsia" w:ascii="宋体" w:hAnsi="宋体" w:eastAsia="宋体" w:cs="宋体"/>
              <w:szCs w:val="24"/>
            </w:rPr>
            <w:fldChar w:fldCharType="end"/>
          </w:r>
        </w:p>
        <w:p w14:paraId="1567127B">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_Toc17806 </w:instrText>
          </w:r>
          <w:r>
            <w:rPr>
              <w:rFonts w:hint="eastAsia" w:ascii="宋体" w:hAnsi="宋体" w:eastAsia="宋体" w:cs="宋体"/>
              <w:szCs w:val="24"/>
            </w:rPr>
            <w:fldChar w:fldCharType="separate"/>
          </w:r>
          <w:r>
            <w:rPr>
              <w:rFonts w:hint="default"/>
            </w:rPr>
            <w:t xml:space="preserve">5.6.1. </w:t>
          </w:r>
          <w:r>
            <w:t>培训内容</w:t>
          </w:r>
          <w:r>
            <w:tab/>
          </w:r>
          <w:r>
            <w:fldChar w:fldCharType="begin"/>
          </w:r>
          <w:r>
            <w:instrText xml:space="preserve"> PAGEREF _Toc17806 \h </w:instrText>
          </w:r>
          <w:r>
            <w:fldChar w:fldCharType="separate"/>
          </w:r>
          <w:r>
            <w:t>8</w:t>
          </w:r>
          <w:r>
            <w:fldChar w:fldCharType="end"/>
          </w:r>
          <w:r>
            <w:rPr>
              <w:rFonts w:hint="eastAsia" w:ascii="宋体" w:hAnsi="宋体" w:eastAsia="宋体" w:cs="宋体"/>
              <w:szCs w:val="24"/>
            </w:rPr>
            <w:fldChar w:fldCharType="end"/>
          </w:r>
        </w:p>
        <w:p w14:paraId="4CAE03B7">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_Toc24261 </w:instrText>
          </w:r>
          <w:r>
            <w:rPr>
              <w:rFonts w:hint="eastAsia" w:ascii="宋体" w:hAnsi="宋体" w:eastAsia="宋体" w:cs="宋体"/>
              <w:szCs w:val="24"/>
            </w:rPr>
            <w:fldChar w:fldCharType="separate"/>
          </w:r>
          <w:r>
            <w:rPr>
              <w:rFonts w:hint="default"/>
            </w:rPr>
            <w:t xml:space="preserve">5.6.2. </w:t>
          </w:r>
          <w:r>
            <w:t>培训形式</w:t>
          </w:r>
          <w:r>
            <w:tab/>
          </w:r>
          <w:r>
            <w:fldChar w:fldCharType="begin"/>
          </w:r>
          <w:r>
            <w:instrText xml:space="preserve"> PAGEREF _Toc24261 \h </w:instrText>
          </w:r>
          <w:r>
            <w:fldChar w:fldCharType="separate"/>
          </w:r>
          <w:r>
            <w:t>8</w:t>
          </w:r>
          <w:r>
            <w:fldChar w:fldCharType="end"/>
          </w:r>
          <w:r>
            <w:rPr>
              <w:rFonts w:hint="eastAsia" w:ascii="宋体" w:hAnsi="宋体" w:eastAsia="宋体" w:cs="宋体"/>
              <w:szCs w:val="24"/>
            </w:rPr>
            <w:fldChar w:fldCharType="end"/>
          </w:r>
        </w:p>
        <w:p w14:paraId="35AE0D94">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_Toc23337 </w:instrText>
          </w:r>
          <w:r>
            <w:rPr>
              <w:rFonts w:hint="eastAsia" w:ascii="宋体" w:hAnsi="宋体" w:eastAsia="宋体" w:cs="宋体"/>
              <w:szCs w:val="24"/>
            </w:rPr>
            <w:fldChar w:fldCharType="separate"/>
          </w:r>
          <w:r>
            <w:rPr>
              <w:rFonts w:hint="default"/>
            </w:rPr>
            <w:t xml:space="preserve">5.6.3. </w:t>
          </w:r>
          <w:r>
            <w:t>培训实施</w:t>
          </w:r>
          <w:r>
            <w:tab/>
          </w:r>
          <w:r>
            <w:fldChar w:fldCharType="begin"/>
          </w:r>
          <w:r>
            <w:instrText xml:space="preserve"> PAGEREF _Toc23337 \h </w:instrText>
          </w:r>
          <w:r>
            <w:fldChar w:fldCharType="separate"/>
          </w:r>
          <w:r>
            <w:t>8</w:t>
          </w:r>
          <w:r>
            <w:fldChar w:fldCharType="end"/>
          </w:r>
          <w:r>
            <w:rPr>
              <w:rFonts w:hint="eastAsia" w:ascii="宋体" w:hAnsi="宋体" w:eastAsia="宋体" w:cs="宋体"/>
              <w:szCs w:val="24"/>
            </w:rPr>
            <w:fldChar w:fldCharType="end"/>
          </w:r>
        </w:p>
        <w:p w14:paraId="52A5070D">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_Toc23824 </w:instrText>
          </w:r>
          <w:r>
            <w:rPr>
              <w:rFonts w:hint="eastAsia" w:ascii="宋体" w:hAnsi="宋体" w:eastAsia="宋体" w:cs="宋体"/>
              <w:szCs w:val="24"/>
            </w:rPr>
            <w:fldChar w:fldCharType="separate"/>
          </w:r>
          <w:r>
            <w:rPr>
              <w:rFonts w:hint="default"/>
            </w:rPr>
            <w:t xml:space="preserve">5.7. </w:t>
          </w:r>
          <w:r>
            <w:t>中高层管理人员培训</w:t>
          </w:r>
          <w:r>
            <w:tab/>
          </w:r>
          <w:r>
            <w:fldChar w:fldCharType="begin"/>
          </w:r>
          <w:r>
            <w:instrText xml:space="preserve"> PAGEREF _Toc23824 \h </w:instrText>
          </w:r>
          <w:r>
            <w:fldChar w:fldCharType="separate"/>
          </w:r>
          <w:r>
            <w:t>8</w:t>
          </w:r>
          <w:r>
            <w:fldChar w:fldCharType="end"/>
          </w:r>
          <w:r>
            <w:rPr>
              <w:rFonts w:hint="eastAsia" w:ascii="宋体" w:hAnsi="宋体" w:eastAsia="宋体" w:cs="宋体"/>
              <w:szCs w:val="24"/>
            </w:rPr>
            <w:fldChar w:fldCharType="end"/>
          </w:r>
        </w:p>
        <w:p w14:paraId="3D432953">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_Toc17557 </w:instrText>
          </w:r>
          <w:r>
            <w:rPr>
              <w:rFonts w:hint="eastAsia" w:ascii="宋体" w:hAnsi="宋体" w:eastAsia="宋体" w:cs="宋体"/>
              <w:szCs w:val="24"/>
            </w:rPr>
            <w:fldChar w:fldCharType="separate"/>
          </w:r>
          <w:r>
            <w:rPr>
              <w:rFonts w:hint="default"/>
            </w:rPr>
            <w:t xml:space="preserve">5.7.1. </w:t>
          </w:r>
          <w:r>
            <w:t>培训内容</w:t>
          </w:r>
          <w:r>
            <w:tab/>
          </w:r>
          <w:r>
            <w:fldChar w:fldCharType="begin"/>
          </w:r>
          <w:r>
            <w:instrText xml:space="preserve"> PAGEREF _Toc17557 \h </w:instrText>
          </w:r>
          <w:r>
            <w:fldChar w:fldCharType="separate"/>
          </w:r>
          <w:r>
            <w:t>8</w:t>
          </w:r>
          <w:r>
            <w:fldChar w:fldCharType="end"/>
          </w:r>
          <w:r>
            <w:rPr>
              <w:rFonts w:hint="eastAsia" w:ascii="宋体" w:hAnsi="宋体" w:eastAsia="宋体" w:cs="宋体"/>
              <w:szCs w:val="24"/>
            </w:rPr>
            <w:fldChar w:fldCharType="end"/>
          </w:r>
        </w:p>
        <w:p w14:paraId="1BEEEC43">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_Toc3848 </w:instrText>
          </w:r>
          <w:r>
            <w:rPr>
              <w:rFonts w:hint="eastAsia" w:ascii="宋体" w:hAnsi="宋体" w:eastAsia="宋体" w:cs="宋体"/>
              <w:szCs w:val="24"/>
            </w:rPr>
            <w:fldChar w:fldCharType="separate"/>
          </w:r>
          <w:r>
            <w:rPr>
              <w:rFonts w:hint="default"/>
            </w:rPr>
            <w:t xml:space="preserve">5.7.2. </w:t>
          </w:r>
          <w:r>
            <w:t>培训形式</w:t>
          </w:r>
          <w:r>
            <w:tab/>
          </w:r>
          <w:r>
            <w:fldChar w:fldCharType="begin"/>
          </w:r>
          <w:r>
            <w:instrText xml:space="preserve"> PAGEREF _Toc3848 \h </w:instrText>
          </w:r>
          <w:r>
            <w:fldChar w:fldCharType="separate"/>
          </w:r>
          <w:r>
            <w:t>9</w:t>
          </w:r>
          <w:r>
            <w:fldChar w:fldCharType="end"/>
          </w:r>
          <w:r>
            <w:rPr>
              <w:rFonts w:hint="eastAsia" w:ascii="宋体" w:hAnsi="宋体" w:eastAsia="宋体" w:cs="宋体"/>
              <w:szCs w:val="24"/>
            </w:rPr>
            <w:fldChar w:fldCharType="end"/>
          </w:r>
        </w:p>
        <w:p w14:paraId="0EBD67A3">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_Toc4764 </w:instrText>
          </w:r>
          <w:r>
            <w:rPr>
              <w:rFonts w:hint="eastAsia" w:ascii="宋体" w:hAnsi="宋体" w:eastAsia="宋体" w:cs="宋体"/>
              <w:szCs w:val="24"/>
            </w:rPr>
            <w:fldChar w:fldCharType="separate"/>
          </w:r>
          <w:r>
            <w:rPr>
              <w:rFonts w:hint="default"/>
            </w:rPr>
            <w:t xml:space="preserve">5.7.3. </w:t>
          </w:r>
          <w:r>
            <w:t>培训实施</w:t>
          </w:r>
          <w:r>
            <w:tab/>
          </w:r>
          <w:r>
            <w:fldChar w:fldCharType="begin"/>
          </w:r>
          <w:r>
            <w:instrText xml:space="preserve"> PAGEREF _Toc4764 \h </w:instrText>
          </w:r>
          <w:r>
            <w:fldChar w:fldCharType="separate"/>
          </w:r>
          <w:r>
            <w:t>9</w:t>
          </w:r>
          <w:r>
            <w:fldChar w:fldCharType="end"/>
          </w:r>
          <w:r>
            <w:rPr>
              <w:rFonts w:hint="eastAsia" w:ascii="宋体" w:hAnsi="宋体" w:eastAsia="宋体" w:cs="宋体"/>
              <w:szCs w:val="24"/>
            </w:rPr>
            <w:fldChar w:fldCharType="end"/>
          </w:r>
        </w:p>
        <w:p w14:paraId="7FC013E1">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_Toc27976 </w:instrText>
          </w:r>
          <w:r>
            <w:rPr>
              <w:rFonts w:hint="eastAsia" w:ascii="宋体" w:hAnsi="宋体" w:eastAsia="宋体" w:cs="宋体"/>
              <w:szCs w:val="24"/>
            </w:rPr>
            <w:fldChar w:fldCharType="separate"/>
          </w:r>
          <w:r>
            <w:rPr>
              <w:rFonts w:hint="default"/>
            </w:rPr>
            <w:t xml:space="preserve">5.8. </w:t>
          </w:r>
          <w:r>
            <w:t>外派培训</w:t>
          </w:r>
          <w:r>
            <w:tab/>
          </w:r>
          <w:r>
            <w:fldChar w:fldCharType="begin"/>
          </w:r>
          <w:r>
            <w:instrText xml:space="preserve"> PAGEREF _Toc27976 \h </w:instrText>
          </w:r>
          <w:r>
            <w:fldChar w:fldCharType="separate"/>
          </w:r>
          <w:r>
            <w:t>9</w:t>
          </w:r>
          <w:r>
            <w:fldChar w:fldCharType="end"/>
          </w:r>
          <w:r>
            <w:rPr>
              <w:rFonts w:hint="eastAsia" w:ascii="宋体" w:hAnsi="宋体" w:eastAsia="宋体" w:cs="宋体"/>
              <w:szCs w:val="24"/>
            </w:rPr>
            <w:fldChar w:fldCharType="end"/>
          </w:r>
        </w:p>
        <w:p w14:paraId="780ECB8C">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_Toc17024 </w:instrText>
          </w:r>
          <w:r>
            <w:rPr>
              <w:rFonts w:hint="eastAsia" w:ascii="宋体" w:hAnsi="宋体" w:eastAsia="宋体" w:cs="宋体"/>
              <w:szCs w:val="24"/>
            </w:rPr>
            <w:fldChar w:fldCharType="separate"/>
          </w:r>
          <w:r>
            <w:rPr>
              <w:rFonts w:hint="default"/>
            </w:rPr>
            <w:t xml:space="preserve">5.8.1. </w:t>
          </w:r>
          <w:r>
            <w:rPr>
              <w:rFonts w:hint="eastAsia"/>
              <w:lang w:val="en-US" w:eastAsia="zh-CN"/>
            </w:rPr>
            <w:t>培训内容</w:t>
          </w:r>
          <w:r>
            <w:tab/>
          </w:r>
          <w:r>
            <w:fldChar w:fldCharType="begin"/>
          </w:r>
          <w:r>
            <w:instrText xml:space="preserve"> PAGEREF _Toc17024 \h </w:instrText>
          </w:r>
          <w:r>
            <w:fldChar w:fldCharType="separate"/>
          </w:r>
          <w:r>
            <w:t>9</w:t>
          </w:r>
          <w:r>
            <w:fldChar w:fldCharType="end"/>
          </w:r>
          <w:r>
            <w:rPr>
              <w:rFonts w:hint="eastAsia" w:ascii="宋体" w:hAnsi="宋体" w:eastAsia="宋体" w:cs="宋体"/>
              <w:szCs w:val="24"/>
            </w:rPr>
            <w:fldChar w:fldCharType="end"/>
          </w:r>
        </w:p>
        <w:p w14:paraId="27B63639">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_Toc4818 </w:instrText>
          </w:r>
          <w:r>
            <w:rPr>
              <w:rFonts w:hint="eastAsia" w:ascii="宋体" w:hAnsi="宋体" w:eastAsia="宋体" w:cs="宋体"/>
              <w:szCs w:val="24"/>
            </w:rPr>
            <w:fldChar w:fldCharType="separate"/>
          </w:r>
          <w:r>
            <w:rPr>
              <w:rFonts w:hint="default"/>
            </w:rPr>
            <w:t xml:space="preserve">5.8.2. </w:t>
          </w:r>
          <w:r>
            <w:rPr>
              <w:rFonts w:hint="eastAsia"/>
              <w:lang w:val="en-US" w:eastAsia="zh-CN"/>
            </w:rPr>
            <w:t>培训形式</w:t>
          </w:r>
          <w:r>
            <w:tab/>
          </w:r>
          <w:r>
            <w:fldChar w:fldCharType="begin"/>
          </w:r>
          <w:r>
            <w:instrText xml:space="preserve"> PAGEREF _Toc4818 \h </w:instrText>
          </w:r>
          <w:r>
            <w:fldChar w:fldCharType="separate"/>
          </w:r>
          <w:r>
            <w:t>9</w:t>
          </w:r>
          <w:r>
            <w:fldChar w:fldCharType="end"/>
          </w:r>
          <w:r>
            <w:rPr>
              <w:rFonts w:hint="eastAsia" w:ascii="宋体" w:hAnsi="宋体" w:eastAsia="宋体" w:cs="宋体"/>
              <w:szCs w:val="24"/>
            </w:rPr>
            <w:fldChar w:fldCharType="end"/>
          </w:r>
        </w:p>
        <w:p w14:paraId="6DB634F1">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_Toc29401 </w:instrText>
          </w:r>
          <w:r>
            <w:rPr>
              <w:rFonts w:hint="eastAsia" w:ascii="宋体" w:hAnsi="宋体" w:eastAsia="宋体" w:cs="宋体"/>
              <w:szCs w:val="24"/>
            </w:rPr>
            <w:fldChar w:fldCharType="separate"/>
          </w:r>
          <w:r>
            <w:rPr>
              <w:rFonts w:hint="default"/>
            </w:rPr>
            <w:t xml:space="preserve">5.8.3. </w:t>
          </w:r>
          <w:r>
            <w:t>培训实施</w:t>
          </w:r>
          <w:r>
            <w:tab/>
          </w:r>
          <w:r>
            <w:fldChar w:fldCharType="begin"/>
          </w:r>
          <w:r>
            <w:instrText xml:space="preserve"> PAGEREF _Toc29401 \h </w:instrText>
          </w:r>
          <w:r>
            <w:fldChar w:fldCharType="separate"/>
          </w:r>
          <w:r>
            <w:t>9</w:t>
          </w:r>
          <w:r>
            <w:fldChar w:fldCharType="end"/>
          </w:r>
          <w:r>
            <w:rPr>
              <w:rFonts w:hint="eastAsia" w:ascii="宋体" w:hAnsi="宋体" w:eastAsia="宋体" w:cs="宋体"/>
              <w:szCs w:val="24"/>
            </w:rPr>
            <w:fldChar w:fldCharType="end"/>
          </w:r>
        </w:p>
        <w:p w14:paraId="1199EC7C">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_Toc23803 </w:instrText>
          </w:r>
          <w:r>
            <w:rPr>
              <w:rFonts w:hint="eastAsia" w:ascii="宋体" w:hAnsi="宋体" w:eastAsia="宋体" w:cs="宋体"/>
              <w:szCs w:val="24"/>
            </w:rPr>
            <w:fldChar w:fldCharType="separate"/>
          </w:r>
          <w:r>
            <w:rPr>
              <w:rFonts w:hint="default"/>
            </w:rPr>
            <w:t xml:space="preserve">5.9. </w:t>
          </w:r>
          <w:r>
            <w:t>外聘讲师培训</w:t>
          </w:r>
          <w:r>
            <w:tab/>
          </w:r>
          <w:r>
            <w:fldChar w:fldCharType="begin"/>
          </w:r>
          <w:r>
            <w:instrText xml:space="preserve"> PAGEREF _Toc23803 \h </w:instrText>
          </w:r>
          <w:r>
            <w:fldChar w:fldCharType="separate"/>
          </w:r>
          <w:r>
            <w:t>11</w:t>
          </w:r>
          <w:r>
            <w:fldChar w:fldCharType="end"/>
          </w:r>
          <w:r>
            <w:rPr>
              <w:rFonts w:hint="eastAsia" w:ascii="宋体" w:hAnsi="宋体" w:eastAsia="宋体" w:cs="宋体"/>
              <w:szCs w:val="24"/>
            </w:rPr>
            <w:fldChar w:fldCharType="end"/>
          </w:r>
        </w:p>
        <w:p w14:paraId="710CEB5C">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_Toc18527 </w:instrText>
          </w:r>
          <w:r>
            <w:rPr>
              <w:rFonts w:hint="eastAsia" w:ascii="宋体" w:hAnsi="宋体" w:eastAsia="宋体" w:cs="宋体"/>
              <w:szCs w:val="24"/>
            </w:rPr>
            <w:fldChar w:fldCharType="separate"/>
          </w:r>
          <w:r>
            <w:rPr>
              <w:rFonts w:hint="default"/>
              <w:lang w:val="en-US" w:eastAsia="zh-CN"/>
            </w:rPr>
            <w:t xml:space="preserve">5.9.1. </w:t>
          </w:r>
          <w:r>
            <w:rPr>
              <w:rFonts w:hint="eastAsia"/>
              <w:lang w:val="en-US" w:eastAsia="zh-CN"/>
            </w:rPr>
            <w:t>培训内容</w:t>
          </w:r>
          <w:r>
            <w:tab/>
          </w:r>
          <w:r>
            <w:fldChar w:fldCharType="begin"/>
          </w:r>
          <w:r>
            <w:instrText xml:space="preserve"> PAGEREF _Toc18527 \h </w:instrText>
          </w:r>
          <w:r>
            <w:fldChar w:fldCharType="separate"/>
          </w:r>
          <w:r>
            <w:t>11</w:t>
          </w:r>
          <w:r>
            <w:fldChar w:fldCharType="end"/>
          </w:r>
          <w:r>
            <w:rPr>
              <w:rFonts w:hint="eastAsia" w:ascii="宋体" w:hAnsi="宋体" w:eastAsia="宋体" w:cs="宋体"/>
              <w:szCs w:val="24"/>
            </w:rPr>
            <w:fldChar w:fldCharType="end"/>
          </w:r>
        </w:p>
        <w:p w14:paraId="5902EC00">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_Toc28551 </w:instrText>
          </w:r>
          <w:r>
            <w:rPr>
              <w:rFonts w:hint="eastAsia" w:ascii="宋体" w:hAnsi="宋体" w:eastAsia="宋体" w:cs="宋体"/>
              <w:szCs w:val="24"/>
            </w:rPr>
            <w:fldChar w:fldCharType="separate"/>
          </w:r>
          <w:r>
            <w:rPr>
              <w:rFonts w:hint="default"/>
              <w:lang w:val="en-US" w:eastAsia="zh-CN"/>
            </w:rPr>
            <w:t xml:space="preserve">5.9.2. </w:t>
          </w:r>
          <w:r>
            <w:rPr>
              <w:rFonts w:hint="eastAsia"/>
              <w:lang w:val="en-US" w:eastAsia="zh-CN"/>
            </w:rPr>
            <w:t>培训形式</w:t>
          </w:r>
          <w:r>
            <w:tab/>
          </w:r>
          <w:r>
            <w:fldChar w:fldCharType="begin"/>
          </w:r>
          <w:r>
            <w:instrText xml:space="preserve"> PAGEREF _Toc28551 \h </w:instrText>
          </w:r>
          <w:r>
            <w:fldChar w:fldCharType="separate"/>
          </w:r>
          <w:r>
            <w:t>11</w:t>
          </w:r>
          <w:r>
            <w:fldChar w:fldCharType="end"/>
          </w:r>
          <w:r>
            <w:rPr>
              <w:rFonts w:hint="eastAsia" w:ascii="宋体" w:hAnsi="宋体" w:eastAsia="宋体" w:cs="宋体"/>
              <w:szCs w:val="24"/>
            </w:rPr>
            <w:fldChar w:fldCharType="end"/>
          </w:r>
        </w:p>
        <w:p w14:paraId="18AFF1B5">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_Toc18952 </w:instrText>
          </w:r>
          <w:r>
            <w:rPr>
              <w:rFonts w:hint="eastAsia" w:ascii="宋体" w:hAnsi="宋体" w:eastAsia="宋体" w:cs="宋体"/>
              <w:szCs w:val="24"/>
            </w:rPr>
            <w:fldChar w:fldCharType="separate"/>
          </w:r>
          <w:r>
            <w:rPr>
              <w:rFonts w:hint="default"/>
              <w:lang w:val="en-US" w:eastAsia="zh-CN"/>
            </w:rPr>
            <w:t xml:space="preserve">5.9.3. </w:t>
          </w:r>
          <w:r>
            <w:rPr>
              <w:rFonts w:hint="eastAsia"/>
              <w:lang w:val="en-US" w:eastAsia="zh-CN"/>
            </w:rPr>
            <w:t>培训实施</w:t>
          </w:r>
          <w:r>
            <w:tab/>
          </w:r>
          <w:r>
            <w:fldChar w:fldCharType="begin"/>
          </w:r>
          <w:r>
            <w:instrText xml:space="preserve"> PAGEREF _Toc18952 \h </w:instrText>
          </w:r>
          <w:r>
            <w:fldChar w:fldCharType="separate"/>
          </w:r>
          <w:r>
            <w:t>11</w:t>
          </w:r>
          <w:r>
            <w:fldChar w:fldCharType="end"/>
          </w:r>
          <w:r>
            <w:rPr>
              <w:rFonts w:hint="eastAsia" w:ascii="宋体" w:hAnsi="宋体" w:eastAsia="宋体" w:cs="宋体"/>
              <w:szCs w:val="24"/>
            </w:rPr>
            <w:fldChar w:fldCharType="end"/>
          </w:r>
        </w:p>
        <w:p w14:paraId="6006395A">
          <w:pPr>
            <w:pStyle w:val="18"/>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_Toc26314 </w:instrText>
          </w:r>
          <w:r>
            <w:rPr>
              <w:rFonts w:hint="eastAsia" w:ascii="宋体" w:hAnsi="宋体" w:eastAsia="宋体" w:cs="宋体"/>
              <w:szCs w:val="24"/>
            </w:rPr>
            <w:fldChar w:fldCharType="separate"/>
          </w:r>
          <w:r>
            <w:rPr>
              <w:rFonts w:hint="default"/>
            </w:rPr>
            <w:t xml:space="preserve">5.10. </w:t>
          </w:r>
          <w:r>
            <w:t>培训的考核</w:t>
          </w:r>
          <w:r>
            <w:tab/>
          </w:r>
          <w:r>
            <w:fldChar w:fldCharType="begin"/>
          </w:r>
          <w:r>
            <w:instrText xml:space="preserve"> PAGEREF _Toc26314 \h </w:instrText>
          </w:r>
          <w:r>
            <w:fldChar w:fldCharType="separate"/>
          </w:r>
          <w:r>
            <w:t>12</w:t>
          </w:r>
          <w:r>
            <w:fldChar w:fldCharType="end"/>
          </w:r>
          <w:r>
            <w:rPr>
              <w:rFonts w:hint="eastAsia" w:ascii="宋体" w:hAnsi="宋体" w:eastAsia="宋体" w:cs="宋体"/>
              <w:szCs w:val="24"/>
            </w:rPr>
            <w:fldChar w:fldCharType="end"/>
          </w:r>
        </w:p>
        <w:p w14:paraId="16719A98">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_Toc30503 </w:instrText>
          </w:r>
          <w:r>
            <w:rPr>
              <w:rFonts w:hint="eastAsia" w:ascii="宋体" w:hAnsi="宋体" w:eastAsia="宋体" w:cs="宋体"/>
              <w:szCs w:val="24"/>
            </w:rPr>
            <w:fldChar w:fldCharType="separate"/>
          </w:r>
          <w:r>
            <w:rPr>
              <w:rFonts w:hint="default"/>
            </w:rPr>
            <w:t xml:space="preserve">5.10.1. </w:t>
          </w:r>
          <w:r>
            <w:t>考勤要求</w:t>
          </w:r>
          <w:r>
            <w:tab/>
          </w:r>
          <w:r>
            <w:fldChar w:fldCharType="begin"/>
          </w:r>
          <w:r>
            <w:instrText xml:space="preserve"> PAGEREF _Toc30503 \h </w:instrText>
          </w:r>
          <w:r>
            <w:fldChar w:fldCharType="separate"/>
          </w:r>
          <w:r>
            <w:t>12</w:t>
          </w:r>
          <w:r>
            <w:fldChar w:fldCharType="end"/>
          </w:r>
          <w:r>
            <w:rPr>
              <w:rFonts w:hint="eastAsia" w:ascii="宋体" w:hAnsi="宋体" w:eastAsia="宋体" w:cs="宋体"/>
              <w:szCs w:val="24"/>
            </w:rPr>
            <w:fldChar w:fldCharType="end"/>
          </w:r>
        </w:p>
        <w:p w14:paraId="16C332F4">
          <w:pPr>
            <w:pStyle w:val="14"/>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_Toc4052 </w:instrText>
          </w:r>
          <w:r>
            <w:rPr>
              <w:rFonts w:hint="eastAsia" w:ascii="宋体" w:hAnsi="宋体" w:eastAsia="宋体" w:cs="宋体"/>
              <w:szCs w:val="24"/>
            </w:rPr>
            <w:fldChar w:fldCharType="separate"/>
          </w:r>
          <w:r>
            <w:rPr>
              <w:rFonts w:hint="default"/>
            </w:rPr>
            <w:t xml:space="preserve">5.10.2. </w:t>
          </w:r>
          <w:r>
            <w:t>考核要求</w:t>
          </w:r>
          <w:r>
            <w:tab/>
          </w:r>
          <w:r>
            <w:fldChar w:fldCharType="begin"/>
          </w:r>
          <w:r>
            <w:instrText xml:space="preserve"> PAGEREF _Toc4052 \h </w:instrText>
          </w:r>
          <w:r>
            <w:fldChar w:fldCharType="separate"/>
          </w:r>
          <w:r>
            <w:t>12</w:t>
          </w:r>
          <w:r>
            <w:fldChar w:fldCharType="end"/>
          </w:r>
          <w:r>
            <w:rPr>
              <w:rFonts w:hint="eastAsia" w:ascii="宋体" w:hAnsi="宋体" w:eastAsia="宋体" w:cs="宋体"/>
              <w:szCs w:val="24"/>
            </w:rPr>
            <w:fldChar w:fldCharType="end"/>
          </w:r>
        </w:p>
        <w:p w14:paraId="1C968EFB">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_Toc12142 </w:instrText>
          </w:r>
          <w:r>
            <w:rPr>
              <w:rFonts w:hint="eastAsia" w:ascii="宋体" w:hAnsi="宋体" w:eastAsia="宋体" w:cs="宋体"/>
              <w:szCs w:val="24"/>
            </w:rPr>
            <w:fldChar w:fldCharType="separate"/>
          </w:r>
          <w:r>
            <w:rPr>
              <w:rFonts w:hint="default"/>
            </w:rPr>
            <w:t xml:space="preserve">6. </w:t>
          </w:r>
          <w:r>
            <w:t>附则</w:t>
          </w:r>
          <w:r>
            <w:tab/>
          </w:r>
          <w:r>
            <w:fldChar w:fldCharType="begin"/>
          </w:r>
          <w:r>
            <w:instrText xml:space="preserve"> PAGEREF _Toc12142 \h </w:instrText>
          </w:r>
          <w:r>
            <w:fldChar w:fldCharType="separate"/>
          </w:r>
          <w:r>
            <w:t>12</w:t>
          </w:r>
          <w:r>
            <w:fldChar w:fldCharType="end"/>
          </w:r>
          <w:r>
            <w:rPr>
              <w:rFonts w:hint="eastAsia" w:ascii="宋体" w:hAnsi="宋体" w:eastAsia="宋体" w:cs="宋体"/>
              <w:szCs w:val="24"/>
            </w:rPr>
            <w:fldChar w:fldCharType="end"/>
          </w:r>
        </w:p>
        <w:p w14:paraId="73CF8665">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_Toc32493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_Toc32493 \h </w:instrText>
          </w:r>
          <w:r>
            <w:fldChar w:fldCharType="separate"/>
          </w:r>
          <w:r>
            <w:t>12</w:t>
          </w:r>
          <w:r>
            <w:fldChar w:fldCharType="end"/>
          </w:r>
          <w:r>
            <w:rPr>
              <w:rFonts w:hint="eastAsia" w:ascii="宋体" w:hAnsi="宋体" w:eastAsia="宋体" w:cs="宋体"/>
              <w:szCs w:val="24"/>
            </w:rPr>
            <w:fldChar w:fldCharType="end"/>
          </w:r>
        </w:p>
        <w:p w14:paraId="47D9B07F">
          <w:pPr>
            <w:pStyle w:val="17"/>
            <w:keepLines w:val="0"/>
            <w:pageBreakBefore w:val="0"/>
            <w:widowControl/>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_Toc1018 </w:instrText>
          </w:r>
          <w:r>
            <w:rPr>
              <w:rFonts w:hint="eastAsia" w:ascii="宋体" w:hAnsi="宋体" w:eastAsia="宋体" w:cs="宋体"/>
              <w:szCs w:val="24"/>
            </w:rPr>
            <w:fldChar w:fldCharType="separate"/>
          </w:r>
          <w:r>
            <w:rPr>
              <w:rFonts w:hint="default"/>
            </w:rPr>
            <w:t xml:space="preserve">8. </w:t>
          </w:r>
          <w:r>
            <w:t>记录</w:t>
          </w:r>
          <w:r>
            <w:tab/>
          </w:r>
          <w:r>
            <w:fldChar w:fldCharType="begin"/>
          </w:r>
          <w:r>
            <w:instrText xml:space="preserve"> PAGEREF _Toc1018 \h </w:instrText>
          </w:r>
          <w:r>
            <w:fldChar w:fldCharType="separate"/>
          </w:r>
          <w:r>
            <w:t>12</w:t>
          </w:r>
          <w:r>
            <w:fldChar w:fldCharType="end"/>
          </w:r>
          <w:r>
            <w:rPr>
              <w:rFonts w:hint="eastAsia" w:ascii="宋体" w:hAnsi="宋体" w:eastAsia="宋体" w:cs="宋体"/>
              <w:szCs w:val="24"/>
            </w:rPr>
            <w:fldChar w:fldCharType="end"/>
          </w:r>
        </w:p>
        <w:p w14:paraId="63DA692D">
          <w:pPr>
            <w:keepLines w:val="0"/>
            <w:pageBreakBefore w:val="0"/>
            <w:widowControl/>
            <w:wordWrap/>
            <w:overflowPunct/>
            <w:topLinePunct/>
            <w:bidi w:val="0"/>
          </w:pPr>
          <w:r>
            <w:rPr>
              <w:rFonts w:hint="eastAsia" w:ascii="宋体" w:hAnsi="宋体" w:eastAsia="宋体" w:cs="宋体"/>
              <w:szCs w:val="24"/>
            </w:rPr>
            <w:fldChar w:fldCharType="end"/>
          </w:r>
        </w:p>
      </w:sdtContent>
    </w:sdt>
    <w:p w14:paraId="3FF9E524">
      <w:pPr>
        <w:pStyle w:val="28"/>
        <w:keepLines w:val="0"/>
        <w:pageBreakBefore w:val="0"/>
        <w:widowControl/>
        <w:wordWrap/>
        <w:overflowPunct/>
        <w:topLinePunct/>
        <w:bidi w:val="0"/>
        <w:rPr>
          <w:rFonts w:hint="eastAsia"/>
          <w:lang w:val="en-US" w:eastAsia="zh-CN"/>
        </w:rPr>
      </w:pPr>
      <w:bookmarkStart w:id="2" w:name="_Toc8970"/>
      <w:r>
        <w:rPr>
          <w:rFonts w:hint="eastAsia"/>
          <w:lang w:val="en-US" w:eastAsia="zh-CN"/>
        </w:rPr>
        <w:t>目的</w:t>
      </w:r>
      <w:bookmarkEnd w:id="2"/>
    </w:p>
    <w:p w14:paraId="0B56859E">
      <w:pPr>
        <w:keepLines w:val="0"/>
        <w:pageBreakBefore w:val="0"/>
        <w:widowControl/>
        <w:wordWrap/>
        <w:overflowPunct/>
        <w:topLinePunct/>
        <w:bidi w:val="0"/>
        <w:spacing w:before="112" w:line="361" w:lineRule="auto"/>
        <w:ind w:left="22" w:right="63" w:firstLine="543"/>
        <w:jc w:val="both"/>
        <w:rPr>
          <w:rFonts w:ascii="宋体" w:hAnsi="宋体" w:eastAsia="宋体" w:cs="宋体"/>
          <w:sz w:val="24"/>
          <w:szCs w:val="24"/>
        </w:rPr>
      </w:pPr>
      <w:r>
        <w:rPr>
          <w:rFonts w:ascii="宋体" w:hAnsi="宋体" w:eastAsia="宋体" w:cs="宋体"/>
          <w:spacing w:val="2"/>
          <w:sz w:val="24"/>
          <w:szCs w:val="24"/>
        </w:rPr>
        <w:t>为使员工的技能和管理素质不断适应岗位要求和企业发展需要，不断增强</w:t>
      </w:r>
      <w:r>
        <w:rPr>
          <w:rFonts w:ascii="宋体" w:hAnsi="宋体" w:eastAsia="宋体" w:cs="宋体"/>
          <w:spacing w:val="-3"/>
          <w:sz w:val="24"/>
          <w:szCs w:val="24"/>
        </w:rPr>
        <w:t>企业的管理水平和劳动生产率，给公司的培训管理工作提供全面的准则和重要依据，结合企业实际情况，特制定本制度。公司所有与培训相关的制度、活动和行</w:t>
      </w:r>
      <w:r>
        <w:rPr>
          <w:rFonts w:ascii="宋体" w:hAnsi="宋体" w:eastAsia="宋体" w:cs="宋体"/>
          <w:spacing w:val="-1"/>
          <w:sz w:val="24"/>
          <w:szCs w:val="24"/>
        </w:rPr>
        <w:t>为都必须遵照并服从于本管理制度。</w:t>
      </w:r>
    </w:p>
    <w:p w14:paraId="6E3D16ED">
      <w:pPr>
        <w:pStyle w:val="28"/>
        <w:keepLines w:val="0"/>
        <w:pageBreakBefore w:val="0"/>
        <w:widowControl/>
        <w:wordWrap/>
        <w:overflowPunct/>
        <w:topLinePunct/>
        <w:bidi w:val="0"/>
      </w:pPr>
      <w:bookmarkStart w:id="3" w:name="bookmark1"/>
      <w:bookmarkEnd w:id="3"/>
      <w:bookmarkStart w:id="4" w:name="_Toc4360"/>
      <w:r>
        <w:rPr>
          <w:rFonts w:hint="eastAsia"/>
          <w:lang w:val="en-US" w:eastAsia="zh-CN"/>
        </w:rPr>
        <w:t>原则</w:t>
      </w:r>
      <w:bookmarkEnd w:id="4"/>
    </w:p>
    <w:p w14:paraId="57E151A1">
      <w:pPr>
        <w:pStyle w:val="29"/>
        <w:keepLines w:val="0"/>
        <w:pageBreakBefore w:val="0"/>
        <w:widowControl/>
        <w:wordWrap/>
        <w:overflowPunct/>
        <w:topLinePunct/>
        <w:bidi w:val="0"/>
        <w:rPr>
          <w:rFonts w:hint="default"/>
        </w:rPr>
      </w:pPr>
      <w:r>
        <w:t>培训管理工作遵循</w:t>
      </w:r>
      <w:r>
        <w:rPr>
          <w:rFonts w:hint="default"/>
        </w:rPr>
        <w:t> ‘战略导向、按需施教、学以致用’ 的核心原则，旨在通过系统性的培养，提升员工履职能力与职业素养，支持公司战略目标的实现与可持续发展。</w:t>
      </w:r>
    </w:p>
    <w:p w14:paraId="5574B436">
      <w:pPr>
        <w:pStyle w:val="28"/>
        <w:keepLines w:val="0"/>
        <w:pageBreakBefore w:val="0"/>
        <w:widowControl/>
        <w:wordWrap/>
        <w:overflowPunct/>
        <w:topLinePunct/>
        <w:bidi w:val="0"/>
        <w:rPr>
          <w:rFonts w:hint="default"/>
          <w:lang w:val="en-US" w:eastAsia="zh-CN"/>
        </w:rPr>
      </w:pPr>
      <w:bookmarkStart w:id="5" w:name="_Toc16123"/>
      <w:r>
        <w:rPr>
          <w:rFonts w:hint="eastAsia"/>
          <w:lang w:val="en-US" w:eastAsia="zh-CN"/>
        </w:rPr>
        <w:t>适用范围</w:t>
      </w:r>
      <w:bookmarkEnd w:id="5"/>
    </w:p>
    <w:p w14:paraId="409EAF95">
      <w:pPr>
        <w:keepNext w:val="0"/>
        <w:keepLines w:val="0"/>
        <w:pageBreakBefore w:val="0"/>
        <w:widowControl/>
        <w:kinsoku w:val="0"/>
        <w:wordWrap/>
        <w:overflowPunct/>
        <w:topLinePunct/>
        <w:autoSpaceDE w:val="0"/>
        <w:autoSpaceDN w:val="0"/>
        <w:bidi w:val="0"/>
        <w:adjustRightInd w:val="0"/>
        <w:snapToGrid w:val="0"/>
        <w:spacing w:line="360" w:lineRule="auto"/>
        <w:ind w:left="0" w:firstLine="464" w:firstLineChars="200"/>
        <w:textAlignment w:val="baseline"/>
        <w:rPr>
          <w:rFonts w:hint="eastAsia" w:ascii="宋体" w:hAnsi="宋体" w:eastAsia="宋体" w:cs="宋体"/>
          <w:spacing w:val="-4"/>
          <w:sz w:val="24"/>
          <w:szCs w:val="24"/>
          <w:lang w:val="en-US" w:eastAsia="zh-CN"/>
        </w:rPr>
      </w:pPr>
      <w:r>
        <w:rPr>
          <w:rFonts w:hint="eastAsia" w:ascii="宋体" w:hAnsi="宋体" w:eastAsia="宋体" w:cs="宋体"/>
          <w:spacing w:val="-4"/>
          <w:sz w:val="24"/>
          <w:szCs w:val="24"/>
          <w:lang w:val="en-US" w:eastAsia="zh-CN"/>
        </w:rPr>
        <w:t>本制度适用于公司全体员工，包括：普通职员、运维工程师、管理人员，中层管理人员和公司高管等。</w:t>
      </w:r>
    </w:p>
    <w:p w14:paraId="2CF0142B">
      <w:pPr>
        <w:pStyle w:val="28"/>
        <w:keepLines w:val="0"/>
        <w:pageBreakBefore w:val="0"/>
        <w:widowControl/>
        <w:wordWrap/>
        <w:overflowPunct/>
        <w:topLinePunct/>
        <w:bidi w:val="0"/>
      </w:pPr>
      <w:bookmarkStart w:id="6" w:name="_Toc12689"/>
      <w:r>
        <w:rPr>
          <w:rFonts w:hint="eastAsia"/>
          <w:lang w:val="en-US" w:eastAsia="zh-CN"/>
        </w:rPr>
        <w:t>岗位</w:t>
      </w:r>
      <w:r>
        <w:t>职责</w:t>
      </w:r>
      <w:bookmarkEnd w:id="6"/>
    </w:p>
    <w:p w14:paraId="2D163C58">
      <w:pPr>
        <w:pStyle w:val="30"/>
        <w:keepLines w:val="0"/>
        <w:pageBreakBefore w:val="0"/>
        <w:widowControl/>
        <w:wordWrap/>
        <w:overflowPunct/>
        <w:topLinePunct/>
        <w:bidi w:val="0"/>
        <w:rPr>
          <w:rFonts w:hint="eastAsia"/>
          <w:lang w:val="en-US" w:eastAsia="zh-CN"/>
        </w:rPr>
      </w:pPr>
      <w:bookmarkStart w:id="7" w:name="_Toc30708"/>
      <w:r>
        <w:rPr>
          <w:rFonts w:hint="eastAsia"/>
          <w:lang w:val="en-US" w:eastAsia="zh-CN"/>
        </w:rPr>
        <w:t>总经理：</w:t>
      </w:r>
      <w:bookmarkEnd w:id="7"/>
    </w:p>
    <w:p w14:paraId="2026C0EE">
      <w:pPr>
        <w:keepNext w:val="0"/>
        <w:keepLines w:val="0"/>
        <w:pageBreakBefore w:val="0"/>
        <w:widowControl/>
        <w:numPr>
          <w:ilvl w:val="0"/>
          <w:numId w:val="3"/>
        </w:numPr>
        <w:kinsoku w:val="0"/>
        <w:wordWrap/>
        <w:overflowPunct/>
        <w:topLinePunct/>
        <w:autoSpaceDE w:val="0"/>
        <w:autoSpaceDN w:val="0"/>
        <w:bidi w:val="0"/>
        <w:adjustRightInd w:val="0"/>
        <w:snapToGrid w:val="0"/>
        <w:spacing w:line="240" w:lineRule="auto"/>
        <w:ind w:left="425" w:leftChars="0" w:hanging="425" w:firstLineChars="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负责培训计划的批准。</w:t>
      </w:r>
    </w:p>
    <w:p w14:paraId="6C72B516">
      <w:pPr>
        <w:pStyle w:val="30"/>
        <w:keepLines w:val="0"/>
        <w:pageBreakBefore w:val="0"/>
        <w:widowControl/>
        <w:wordWrap/>
        <w:overflowPunct/>
        <w:topLinePunct/>
        <w:bidi w:val="0"/>
        <w:rPr>
          <w:rFonts w:hint="eastAsia"/>
          <w:lang w:val="en-US" w:eastAsia="zh-CN"/>
        </w:rPr>
      </w:pPr>
      <w:bookmarkStart w:id="8" w:name="_Toc20489"/>
      <w:r>
        <w:rPr>
          <w:rFonts w:hint="eastAsia"/>
          <w:lang w:val="en-US" w:eastAsia="zh-CN"/>
        </w:rPr>
        <w:t>人力部：</w:t>
      </w:r>
      <w:bookmarkEnd w:id="8"/>
    </w:p>
    <w:p w14:paraId="3537E671">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负责培训工作的总监控，对各</w:t>
      </w:r>
      <w:r>
        <w:rPr>
          <w:rFonts w:ascii="宋体" w:hAnsi="宋体" w:eastAsia="宋体" w:cs="宋体"/>
          <w:spacing w:val="-1"/>
          <w:sz w:val="24"/>
          <w:szCs w:val="24"/>
        </w:rPr>
        <w:t>部门的培训工作进行督导检查</w:t>
      </w:r>
    </w:p>
    <w:p w14:paraId="2ECE7BDB">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负责新员工岗前培训工作</w:t>
      </w:r>
    </w:p>
    <w:p w14:paraId="7EE05A6A">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1"/>
          <w:sz w:val="24"/>
          <w:szCs w:val="24"/>
        </w:rPr>
        <w:t>负责外聘讲师培训和外出培</w:t>
      </w:r>
      <w:r>
        <w:rPr>
          <w:rFonts w:ascii="宋体" w:hAnsi="宋体" w:eastAsia="宋体" w:cs="宋体"/>
          <w:spacing w:val="-3"/>
          <w:sz w:val="24"/>
          <w:szCs w:val="24"/>
        </w:rPr>
        <w:t>训事宜</w:t>
      </w:r>
    </w:p>
    <w:p w14:paraId="1B934AA7">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负责特殊作业人员的岗位资格认可</w:t>
      </w:r>
    </w:p>
    <w:p w14:paraId="5F934783">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负责公司年度培训计划和专项培训计划的编制，并监督、指导各部门培训计划的实施和对培训效果的评估</w:t>
      </w:r>
    </w:p>
    <w:p w14:paraId="37DB04DB">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负责培</w:t>
      </w:r>
      <w:r>
        <w:rPr>
          <w:rFonts w:ascii="宋体" w:hAnsi="宋体" w:eastAsia="宋体" w:cs="宋体"/>
          <w:spacing w:val="-1"/>
          <w:sz w:val="24"/>
          <w:szCs w:val="24"/>
        </w:rPr>
        <w:t>训资料、案例的收集并指导有关部门正确使用。</w:t>
      </w:r>
    </w:p>
    <w:p w14:paraId="08DB8B4E">
      <w:pPr>
        <w:pStyle w:val="30"/>
        <w:keepLines w:val="0"/>
        <w:pageBreakBefore w:val="0"/>
        <w:widowControl/>
        <w:wordWrap/>
        <w:overflowPunct/>
        <w:topLinePunct/>
        <w:bidi w:val="0"/>
        <w:rPr>
          <w:rFonts w:hint="default"/>
          <w:lang w:val="en-US" w:eastAsia="zh-CN"/>
        </w:rPr>
      </w:pPr>
      <w:bookmarkStart w:id="9" w:name="_Toc29950"/>
      <w:r>
        <w:rPr>
          <w:rFonts w:hint="eastAsia"/>
          <w:lang w:val="en-US" w:eastAsia="zh-CN"/>
        </w:rPr>
        <w:t>其他运维相关部门</w:t>
      </w:r>
      <w:bookmarkEnd w:id="9"/>
    </w:p>
    <w:p w14:paraId="6E59FAEE">
      <w:pPr>
        <w:keepLines w:val="0"/>
        <w:pageBreakBefore w:val="0"/>
        <w:widowControl/>
        <w:wordWrap/>
        <w:overflowPunct/>
        <w:topLinePunct/>
        <w:bidi w:val="0"/>
        <w:spacing w:before="113" w:line="360" w:lineRule="auto"/>
        <w:ind w:right="18"/>
        <w:rPr>
          <w:rFonts w:ascii="宋体" w:hAnsi="宋体" w:eastAsia="宋体" w:cs="宋体"/>
          <w:spacing w:val="-8"/>
          <w:sz w:val="24"/>
          <w:szCs w:val="24"/>
        </w:rPr>
      </w:pPr>
      <w:r>
        <w:rPr>
          <w:rFonts w:ascii="宋体" w:hAnsi="宋体" w:eastAsia="宋体" w:cs="宋体"/>
          <w:spacing w:val="1"/>
          <w:sz w:val="24"/>
          <w:szCs w:val="24"/>
        </w:rPr>
        <w:t>负责本部门培训工</w:t>
      </w:r>
      <w:r>
        <w:rPr>
          <w:rFonts w:ascii="宋体" w:hAnsi="宋体" w:eastAsia="宋体" w:cs="宋体"/>
          <w:spacing w:val="-8"/>
          <w:sz w:val="24"/>
          <w:szCs w:val="24"/>
        </w:rPr>
        <w:t>作的监控，包括培训计划的制定，</w:t>
      </w:r>
    </w:p>
    <w:p w14:paraId="2C494860">
      <w:pPr>
        <w:keepLines w:val="0"/>
        <w:pageBreakBefore w:val="0"/>
        <w:widowControl/>
        <w:wordWrap/>
        <w:overflowPunct/>
        <w:topLinePunct/>
        <w:bidi w:val="0"/>
        <w:spacing w:before="113" w:line="360" w:lineRule="auto"/>
        <w:ind w:right="18"/>
        <w:rPr>
          <w:rFonts w:ascii="宋体" w:hAnsi="宋体" w:eastAsia="宋体" w:cs="宋体"/>
          <w:spacing w:val="-1"/>
          <w:sz w:val="24"/>
          <w:szCs w:val="24"/>
        </w:rPr>
      </w:pPr>
      <w:r>
        <w:rPr>
          <w:rFonts w:ascii="宋体" w:hAnsi="宋体" w:eastAsia="宋体" w:cs="宋体"/>
          <w:spacing w:val="-8"/>
          <w:sz w:val="24"/>
          <w:szCs w:val="24"/>
        </w:rPr>
        <w:t>检查所管辖部门的培训工作的实施并给予指导，</w:t>
      </w:r>
      <w:r>
        <w:rPr>
          <w:rFonts w:ascii="宋体" w:hAnsi="宋体" w:eastAsia="宋体" w:cs="宋体"/>
          <w:spacing w:val="-1"/>
          <w:sz w:val="24"/>
          <w:szCs w:val="24"/>
        </w:rPr>
        <w:t>对本部门的培训效果负责。</w:t>
      </w:r>
    </w:p>
    <w:p w14:paraId="7B72FCD9">
      <w:pPr>
        <w:keepLines w:val="0"/>
        <w:pageBreakBefore w:val="0"/>
        <w:widowControl/>
        <w:wordWrap/>
        <w:overflowPunct/>
        <w:topLinePunct/>
        <w:bidi w:val="0"/>
        <w:spacing w:before="113" w:line="360" w:lineRule="auto"/>
        <w:ind w:right="18"/>
        <w:rPr>
          <w:rFonts w:ascii="宋体" w:hAnsi="宋体" w:eastAsia="宋体" w:cs="宋体"/>
          <w:spacing w:val="-4"/>
          <w:sz w:val="24"/>
          <w:szCs w:val="24"/>
        </w:rPr>
      </w:pPr>
      <w:r>
        <w:rPr>
          <w:rFonts w:ascii="宋体" w:hAnsi="宋体" w:eastAsia="宋体" w:cs="宋体"/>
          <w:spacing w:val="1"/>
          <w:sz w:val="24"/>
          <w:szCs w:val="24"/>
        </w:rPr>
        <w:t>各部门负责人根据</w:t>
      </w:r>
      <w:r>
        <w:rPr>
          <w:rFonts w:hint="eastAsia" w:ascii="宋体" w:hAnsi="宋体" w:eastAsia="宋体" w:cs="宋体"/>
          <w:spacing w:val="1"/>
          <w:sz w:val="24"/>
          <w:szCs w:val="24"/>
          <w:lang w:val="en-US" w:eastAsia="zh-CN"/>
        </w:rPr>
        <w:t>人力部</w:t>
      </w:r>
      <w:r>
        <w:rPr>
          <w:rFonts w:ascii="宋体" w:hAnsi="宋体" w:eastAsia="宋体" w:cs="宋体"/>
          <w:spacing w:val="1"/>
          <w:sz w:val="24"/>
          <w:szCs w:val="24"/>
        </w:rPr>
        <w:t>的安排，负有对全公司</w:t>
      </w:r>
      <w:commentRangeStart w:id="0"/>
      <w:r>
        <w:rPr>
          <w:rFonts w:ascii="宋体" w:hAnsi="宋体" w:eastAsia="宋体" w:cs="宋体"/>
          <w:spacing w:val="1"/>
          <w:sz w:val="24"/>
          <w:szCs w:val="24"/>
        </w:rPr>
        <w:t>督导层</w:t>
      </w:r>
      <w:commentRangeEnd w:id="0"/>
      <w:r>
        <w:commentReference w:id="0"/>
      </w:r>
      <w:r>
        <w:rPr>
          <w:rFonts w:ascii="宋体" w:hAnsi="宋体" w:eastAsia="宋体" w:cs="宋体"/>
          <w:spacing w:val="1"/>
          <w:sz w:val="24"/>
          <w:szCs w:val="24"/>
        </w:rPr>
        <w:t>人员培训的</w:t>
      </w:r>
      <w:r>
        <w:rPr>
          <w:rFonts w:ascii="宋体" w:hAnsi="宋体" w:eastAsia="宋体" w:cs="宋体"/>
          <w:spacing w:val="-4"/>
          <w:sz w:val="24"/>
          <w:szCs w:val="24"/>
        </w:rPr>
        <w:t>职责。</w:t>
      </w:r>
    </w:p>
    <w:p w14:paraId="7B5D8227">
      <w:pPr>
        <w:pStyle w:val="28"/>
        <w:keepLines w:val="0"/>
        <w:pageBreakBefore w:val="0"/>
        <w:widowControl/>
        <w:wordWrap/>
        <w:overflowPunct/>
        <w:topLinePunct/>
        <w:bidi w:val="0"/>
        <w:rPr>
          <w:rFonts w:hint="default" w:eastAsia="宋体"/>
          <w:lang w:val="en-US" w:eastAsia="zh-CN"/>
        </w:rPr>
      </w:pPr>
      <w:bookmarkStart w:id="10" w:name="bookmark4"/>
      <w:bookmarkEnd w:id="10"/>
      <w:bookmarkStart w:id="11" w:name="bookmark2"/>
      <w:bookmarkEnd w:id="11"/>
      <w:bookmarkStart w:id="12" w:name="_Toc12726"/>
      <w:r>
        <w:t>培训</w:t>
      </w:r>
      <w:r>
        <w:rPr>
          <w:rFonts w:hint="eastAsia"/>
          <w:lang w:val="en-US" w:eastAsia="zh-CN"/>
        </w:rPr>
        <w:t>计划</w:t>
      </w:r>
      <w:r>
        <w:t>实施</w:t>
      </w:r>
      <w:bookmarkEnd w:id="12"/>
    </w:p>
    <w:p w14:paraId="20CEEADC">
      <w:pPr>
        <w:keepNext w:val="0"/>
        <w:keepLines w:val="0"/>
        <w:pageBreakBefore w:val="0"/>
        <w:widowControl/>
        <w:kinsoku w:val="0"/>
        <w:wordWrap/>
        <w:overflowPunct/>
        <w:topLinePunct/>
        <w:autoSpaceDE w:val="0"/>
        <w:autoSpaceDN w:val="0"/>
        <w:bidi w:val="0"/>
        <w:adjustRightInd w:val="0"/>
        <w:snapToGrid w:val="0"/>
        <w:spacing w:line="360" w:lineRule="auto"/>
        <w:ind w:left="0" w:firstLine="464" w:firstLineChars="200"/>
        <w:textAlignment w:val="baseline"/>
        <w:rPr>
          <w:rFonts w:hint="eastAsia"/>
          <w:lang w:val="en-US" w:eastAsia="zh-CN"/>
        </w:rPr>
      </w:pP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是公司实施培训管理的责任部门。</w:t>
      </w: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经理负责具体业务；</w:t>
      </w:r>
      <w:r>
        <w:rPr>
          <w:rFonts w:ascii="宋体" w:hAnsi="宋体" w:eastAsia="宋体" w:cs="宋体"/>
          <w:spacing w:val="-1"/>
          <w:sz w:val="24"/>
          <w:szCs w:val="24"/>
        </w:rPr>
        <w:t>各部门制订专业培训计划、课程及相关的教材。</w:t>
      </w:r>
    </w:p>
    <w:p w14:paraId="35BF4943">
      <w:pPr>
        <w:pStyle w:val="29"/>
        <w:keepLines w:val="0"/>
        <w:pageBreakBefore w:val="0"/>
        <w:widowControl/>
        <w:wordWrap/>
        <w:overflowPunct/>
        <w:topLinePunct/>
        <w:bidi w:val="0"/>
        <w:rPr>
          <w:rFonts w:hint="eastAsia"/>
          <w:lang w:val="en-US" w:eastAsia="zh-CN"/>
        </w:rPr>
      </w:pPr>
      <w:r>
        <w:rPr>
          <w:rFonts w:hint="eastAsia"/>
          <w:lang w:val="en-US" w:eastAsia="zh-CN"/>
        </w:rPr>
        <w:t>针对新员工、在岗员工、转岗员工、基层管理人员和中高层管理人员量身定制差异化的培训方案，确保培训的精准性和时效性，系统化赋能组织人才梯队建设。</w:t>
      </w:r>
    </w:p>
    <w:p w14:paraId="38D5B447">
      <w:pPr>
        <w:pStyle w:val="30"/>
        <w:keepLines w:val="0"/>
        <w:pageBreakBefore w:val="0"/>
        <w:widowControl/>
        <w:wordWrap/>
        <w:overflowPunct/>
        <w:topLinePunct/>
        <w:bidi w:val="0"/>
        <w:rPr>
          <w:rFonts w:hint="default"/>
          <w:lang w:val="en-US" w:eastAsia="zh-CN"/>
        </w:rPr>
      </w:pPr>
      <w:bookmarkStart w:id="13" w:name="_Toc7993"/>
      <w:r>
        <w:rPr>
          <w:rFonts w:hint="eastAsia"/>
          <w:lang w:val="en-US" w:eastAsia="zh-CN"/>
        </w:rPr>
        <w:t>培训目的</w:t>
      </w:r>
      <w:bookmarkEnd w:id="13"/>
    </w:p>
    <w:p w14:paraId="5F59F6F1">
      <w:pPr>
        <w:keepNext w:val="0"/>
        <w:keepLines w:val="0"/>
        <w:pageBreakBefore w:val="0"/>
        <w:widowControl/>
        <w:kinsoku w:val="0"/>
        <w:wordWrap/>
        <w:overflowPunct/>
        <w:topLinePunct/>
        <w:autoSpaceDE w:val="0"/>
        <w:autoSpaceDN w:val="0"/>
        <w:bidi w:val="0"/>
        <w:adjustRightInd w:val="0"/>
        <w:snapToGrid w:val="0"/>
        <w:spacing w:line="360" w:lineRule="auto"/>
        <w:ind w:left="0" w:firstLine="472" w:firstLineChars="200"/>
        <w:textAlignment w:val="baseline"/>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培训的主要目的是为优化运维团队构成，激发员工的工作积极性，实现规范化管理。提现在以下几个方面：</w:t>
      </w:r>
    </w:p>
    <w:p w14:paraId="3741E576">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加强人事管理，不断提高员工素质，改善公</w:t>
      </w:r>
      <w:r>
        <w:rPr>
          <w:rFonts w:ascii="宋体" w:hAnsi="宋体" w:eastAsia="宋体" w:cs="宋体"/>
          <w:spacing w:val="-3"/>
          <w:sz w:val="24"/>
          <w:szCs w:val="24"/>
        </w:rPr>
        <w:t>司人才结构；</w:t>
      </w:r>
    </w:p>
    <w:p w14:paraId="6FE74BC4">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激发员工求知欲、创造力，奠定公司人才基础；</w:t>
      </w:r>
    </w:p>
    <w:p w14:paraId="0FC05DCB">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给公司的培训管理工作提供全面的准则和重要依据。</w:t>
      </w:r>
    </w:p>
    <w:p w14:paraId="6CCD1F33">
      <w:pPr>
        <w:pStyle w:val="30"/>
        <w:keepLines w:val="0"/>
        <w:pageBreakBefore w:val="0"/>
        <w:widowControl/>
        <w:wordWrap/>
        <w:overflowPunct/>
        <w:topLinePunct/>
        <w:bidi w:val="0"/>
        <w:rPr>
          <w:rFonts w:hint="default"/>
          <w:lang w:val="en-US" w:eastAsia="zh-CN"/>
        </w:rPr>
      </w:pPr>
      <w:bookmarkStart w:id="14" w:name="_Toc14430"/>
      <w:r>
        <w:rPr>
          <w:rFonts w:hint="eastAsia"/>
          <w:lang w:val="en-US" w:eastAsia="zh-CN"/>
        </w:rPr>
        <w:t>培训方式、性质</w:t>
      </w:r>
      <w:bookmarkEnd w:id="14"/>
    </w:p>
    <w:p w14:paraId="425784DE">
      <w:pPr>
        <w:keepNext w:val="0"/>
        <w:keepLines w:val="0"/>
        <w:pageBreakBefore w:val="0"/>
        <w:widowControl/>
        <w:kinsoku w:val="0"/>
        <w:wordWrap/>
        <w:overflowPunct/>
        <w:topLinePunct/>
        <w:autoSpaceDE w:val="0"/>
        <w:autoSpaceDN w:val="0"/>
        <w:bidi w:val="0"/>
        <w:adjustRightInd w:val="0"/>
        <w:snapToGrid w:val="0"/>
        <w:spacing w:line="360" w:lineRule="auto"/>
        <w:ind w:left="0" w:right="0" w:firstLine="484" w:firstLineChars="200"/>
        <w:textAlignment w:val="baseline"/>
        <w:rPr>
          <w:rFonts w:hint="eastAsia" w:asciiTheme="minorEastAsia" w:hAnsiTheme="minorEastAsia" w:eastAsiaTheme="minorEastAsia" w:cstheme="minorEastAsia"/>
          <w:spacing w:val="1"/>
          <w:sz w:val="24"/>
          <w:szCs w:val="24"/>
          <w:lang w:val="en-US" w:eastAsia="zh-CN"/>
        </w:rPr>
      </w:pPr>
      <w:r>
        <w:rPr>
          <w:rFonts w:hint="eastAsia" w:asciiTheme="minorEastAsia" w:hAnsiTheme="minorEastAsia" w:eastAsiaTheme="minorEastAsia" w:cstheme="minorEastAsia"/>
          <w:spacing w:val="1"/>
          <w:sz w:val="24"/>
          <w:szCs w:val="24"/>
          <w:lang w:val="en-US" w:eastAsia="zh-CN"/>
        </w:rPr>
        <w:t>为提高员工业务技能、开拓思路，结合公司实际情况,现提供如下培训方式：</w:t>
      </w:r>
    </w:p>
    <w:p w14:paraId="480F7ADC">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出国考察</w:t>
      </w:r>
    </w:p>
    <w:p w14:paraId="777DA1B7">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各种展览会</w:t>
      </w:r>
    </w:p>
    <w:p w14:paraId="3631275D">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1"/>
          <w:sz w:val="24"/>
          <w:szCs w:val="24"/>
        </w:rPr>
        <w:t>技术研讨会</w:t>
      </w:r>
    </w:p>
    <w:p w14:paraId="10115D28">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外聘讲师来公司进行培训</w:t>
      </w:r>
    </w:p>
    <w:p w14:paraId="0A03D218">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外培机构的专业知识培训</w:t>
      </w:r>
    </w:p>
    <w:p w14:paraId="6249B2CB">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hint="eastAsia" w:ascii="楷体" w:hAnsi="楷体" w:eastAsia="楷体" w:cs="楷体"/>
          <w:spacing w:val="1"/>
          <w:sz w:val="24"/>
          <w:szCs w:val="24"/>
          <w:lang w:val="en-US" w:eastAsia="zh-CN"/>
        </w:rPr>
      </w:pPr>
      <w:r>
        <w:rPr>
          <w:rFonts w:ascii="宋体" w:hAnsi="宋体" w:eastAsia="宋体" w:cs="宋体"/>
          <w:spacing w:val="-1"/>
          <w:sz w:val="24"/>
          <w:szCs w:val="24"/>
        </w:rPr>
        <w:t>由公司承担费用的各类</w:t>
      </w:r>
      <w:r>
        <w:rPr>
          <w:rFonts w:ascii="宋体" w:hAnsi="宋体" w:eastAsia="宋体" w:cs="宋体"/>
          <w:spacing w:val="-2"/>
          <w:sz w:val="24"/>
          <w:szCs w:val="24"/>
        </w:rPr>
        <w:t>自修及其他特殊岗位的实习</w:t>
      </w:r>
    </w:p>
    <w:p w14:paraId="0BD0DEA8">
      <w:pPr>
        <w:keepNext w:val="0"/>
        <w:keepLines w:val="0"/>
        <w:pageBreakBefore w:val="0"/>
        <w:widowControl/>
        <w:kinsoku w:val="0"/>
        <w:wordWrap/>
        <w:overflowPunct/>
        <w:topLinePunct/>
        <w:autoSpaceDE w:val="0"/>
        <w:autoSpaceDN w:val="0"/>
        <w:bidi w:val="0"/>
        <w:adjustRightInd w:val="0"/>
        <w:snapToGrid w:val="0"/>
        <w:spacing w:line="360" w:lineRule="auto"/>
        <w:ind w:left="0" w:firstLine="472" w:firstLineChars="200"/>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按照培训性质分为以下三类：</w:t>
      </w:r>
    </w:p>
    <w:p w14:paraId="2A44E47B">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岗前培训：</w:t>
      </w:r>
    </w:p>
    <w:p w14:paraId="25CD94A7">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在职培训</w:t>
      </w:r>
    </w:p>
    <w:p w14:paraId="6F6862CE">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专业培训</w:t>
      </w:r>
    </w:p>
    <w:p w14:paraId="4D12ADBE">
      <w:pPr>
        <w:pStyle w:val="30"/>
        <w:keepLines w:val="0"/>
        <w:pageBreakBefore w:val="0"/>
        <w:widowControl/>
        <w:wordWrap/>
        <w:overflowPunct/>
        <w:topLinePunct/>
        <w:bidi w:val="0"/>
      </w:pPr>
      <w:bookmarkStart w:id="15" w:name="_Toc8660"/>
      <w:r>
        <w:t>培训计划的编制</w:t>
      </w:r>
      <w:bookmarkEnd w:id="15"/>
    </w:p>
    <w:p w14:paraId="2C9D16B9">
      <w:pPr>
        <w:pStyle w:val="29"/>
        <w:keepLines w:val="0"/>
        <w:pageBreakBefore w:val="0"/>
        <w:widowControl/>
        <w:wordWrap/>
        <w:overflowPunct/>
        <w:topLinePunct/>
        <w:bidi w:val="0"/>
      </w:pPr>
      <w:r>
        <w:rPr>
          <w:rFonts w:hint="eastAsia"/>
          <w:lang w:val="en-US" w:eastAsia="zh-CN"/>
        </w:rPr>
        <w:t>公</w:t>
      </w:r>
      <w:r>
        <w:t>司年度培训计划：</w:t>
      </w:r>
      <w:r>
        <w:rPr>
          <w:rFonts w:hint="eastAsia"/>
          <w:lang w:val="en-US" w:eastAsia="zh-CN"/>
        </w:rPr>
        <w:t>人力部</w:t>
      </w:r>
      <w:r>
        <w:t>每年十一月份发放“员工培训需求调查表 ”，员工根据自身的培训需求提出申请，由部门统一报至</w:t>
      </w:r>
      <w:r>
        <w:rPr>
          <w:rFonts w:hint="eastAsia"/>
          <w:lang w:eastAsia="zh-CN"/>
        </w:rPr>
        <w:t>人力部</w:t>
      </w:r>
      <w:r>
        <w:t>。</w:t>
      </w:r>
      <w:r>
        <w:rPr>
          <w:rFonts w:hint="eastAsia"/>
          <w:lang w:eastAsia="zh-CN"/>
        </w:rPr>
        <w:t>人力部</w:t>
      </w:r>
      <w:r>
        <w:t>根据上报情况，结合公司经营管理需要及日常质量检查中发现的薄弱环节，以及各部门实际工作情况，调查、了解员工的培训需求，进行下一年度的培训需求分析并据此于每年的十二月底之前编制好年度培训计划上报公司领导审核。</w:t>
      </w:r>
    </w:p>
    <w:p w14:paraId="5D1949DF">
      <w:pPr>
        <w:pStyle w:val="29"/>
        <w:keepLines w:val="0"/>
        <w:pageBreakBefore w:val="0"/>
        <w:widowControl/>
        <w:wordWrap/>
        <w:overflowPunct/>
        <w:topLinePunct/>
        <w:bidi w:val="0"/>
      </w:pPr>
      <w:r>
        <w:t>培训反馈：凡重要的专项培训（如：新员工入职培训等），结束时</w:t>
      </w:r>
      <w:r>
        <w:rPr>
          <w:rFonts w:hint="eastAsia"/>
          <w:lang w:eastAsia="zh-CN"/>
        </w:rPr>
        <w:t>，</w:t>
      </w:r>
      <w:r>
        <w:rPr>
          <w:rFonts w:hint="eastAsia"/>
          <w:lang w:val="en-US" w:eastAsia="zh-CN"/>
        </w:rPr>
        <w:t>其他运维相关部门</w:t>
      </w:r>
      <w:r>
        <w:t>均应做好每位学员的培训反馈，并将学员考核成绩及反馈意见传递到各相关部门。</w:t>
      </w:r>
    </w:p>
    <w:p w14:paraId="22882C9C">
      <w:pPr>
        <w:pStyle w:val="30"/>
        <w:keepLines w:val="0"/>
        <w:pageBreakBefore w:val="0"/>
        <w:widowControl/>
        <w:wordWrap/>
        <w:overflowPunct/>
        <w:topLinePunct/>
        <w:bidi w:val="0"/>
      </w:pPr>
      <w:bookmarkStart w:id="16" w:name="_Toc30958"/>
      <w:r>
        <w:t>新员工培训</w:t>
      </w:r>
      <w:bookmarkEnd w:id="16"/>
    </w:p>
    <w:p w14:paraId="77E6BD77">
      <w:pPr>
        <w:pStyle w:val="31"/>
        <w:keepLines w:val="0"/>
        <w:pageBreakBefore w:val="0"/>
        <w:widowControl/>
        <w:wordWrap/>
        <w:overflowPunct/>
        <w:topLinePunct/>
        <w:bidi w:val="0"/>
      </w:pPr>
      <w:bookmarkStart w:id="17" w:name="_Toc25247"/>
      <w:r>
        <w:t>培训内容</w:t>
      </w:r>
      <w:bookmarkEnd w:id="17"/>
    </w:p>
    <w:p w14:paraId="3A3476A2">
      <w:pPr>
        <w:pStyle w:val="29"/>
        <w:keepLines w:val="0"/>
        <w:pageBreakBefore w:val="0"/>
        <w:widowControl/>
        <w:numPr>
          <w:ilvl w:val="0"/>
          <w:numId w:val="8"/>
        </w:numPr>
        <w:wordWrap/>
        <w:overflowPunct/>
        <w:topLinePunct/>
        <w:bidi w:val="0"/>
        <w:ind w:left="425" w:leftChars="0" w:hanging="425" w:firstLineChars="0"/>
      </w:pPr>
      <w:r>
        <w:t>公共部分</w:t>
      </w:r>
      <w:r>
        <w:rPr>
          <w:rFonts w:hint="eastAsia"/>
          <w:lang w:eastAsia="zh-CN"/>
        </w:rPr>
        <w:t>：</w:t>
      </w:r>
      <w:r>
        <w:t>公司概况、消防安全、企业文化、各项规章制度，员工手册等。</w:t>
      </w:r>
    </w:p>
    <w:p w14:paraId="3F2C4970">
      <w:pPr>
        <w:pStyle w:val="29"/>
        <w:keepLines w:val="0"/>
        <w:pageBreakBefore w:val="0"/>
        <w:widowControl/>
        <w:numPr>
          <w:ilvl w:val="0"/>
          <w:numId w:val="8"/>
        </w:numPr>
        <w:wordWrap/>
        <w:overflowPunct/>
        <w:topLinePunct/>
        <w:bidi w:val="0"/>
        <w:ind w:left="425" w:leftChars="0" w:hanging="425" w:firstLineChars="0"/>
      </w:pPr>
      <w:r>
        <w:t>岗位业务技能培训</w:t>
      </w:r>
      <w:r>
        <w:rPr>
          <w:rFonts w:hint="eastAsia"/>
          <w:lang w:eastAsia="zh-CN"/>
        </w:rPr>
        <w:t>：</w:t>
      </w:r>
      <w:r>
        <w:t>含岗位职责、工作流程、岗位涉及到的沟通关系、应知应会、岗位专业知识、操作技能、行为规范、岗位设施设备及常用工具的使用等。</w:t>
      </w:r>
    </w:p>
    <w:p w14:paraId="56D33CA1">
      <w:pPr>
        <w:pStyle w:val="31"/>
        <w:keepLines w:val="0"/>
        <w:pageBreakBefore w:val="0"/>
        <w:widowControl/>
        <w:wordWrap/>
        <w:overflowPunct/>
        <w:topLinePunct/>
        <w:bidi w:val="0"/>
      </w:pPr>
      <w:bookmarkStart w:id="18" w:name="_Toc7236"/>
      <w:r>
        <w:t>培训形式</w:t>
      </w:r>
      <w:bookmarkEnd w:id="18"/>
    </w:p>
    <w:p w14:paraId="475EF6B7">
      <w:pPr>
        <w:keepLines w:val="0"/>
        <w:pageBreakBefore w:val="0"/>
        <w:widowControl/>
        <w:wordWrap/>
        <w:overflowPunct/>
        <w:topLinePunct/>
        <w:bidi w:val="0"/>
        <w:spacing w:before="153" w:line="219" w:lineRule="auto"/>
        <w:ind w:left="383"/>
        <w:rPr>
          <w:rFonts w:ascii="宋体" w:hAnsi="宋体" w:eastAsia="宋体" w:cs="宋体"/>
          <w:sz w:val="24"/>
          <w:szCs w:val="24"/>
        </w:rPr>
      </w:pPr>
      <w:r>
        <w:rPr>
          <w:rStyle w:val="33"/>
        </w:rPr>
        <w:t>讲授法、案例法、操作示范法、视听教学法等</w:t>
      </w:r>
      <w:r>
        <w:rPr>
          <w:rFonts w:ascii="宋体" w:hAnsi="宋体" w:eastAsia="宋体" w:cs="宋体"/>
          <w:spacing w:val="-1"/>
          <w:sz w:val="24"/>
          <w:szCs w:val="24"/>
        </w:rPr>
        <w:t>。</w:t>
      </w:r>
    </w:p>
    <w:p w14:paraId="195710A5">
      <w:pPr>
        <w:pStyle w:val="31"/>
        <w:keepLines w:val="0"/>
        <w:pageBreakBefore w:val="0"/>
        <w:widowControl/>
        <w:wordWrap/>
        <w:overflowPunct/>
        <w:topLinePunct/>
        <w:bidi w:val="0"/>
      </w:pPr>
      <w:bookmarkStart w:id="19" w:name="_Toc26"/>
      <w:r>
        <w:t>培训实施</w:t>
      </w:r>
      <w:bookmarkEnd w:id="19"/>
    </w:p>
    <w:p w14:paraId="3FFD3595">
      <w:pPr>
        <w:pStyle w:val="29"/>
        <w:keepLines w:val="0"/>
        <w:pageBreakBefore w:val="0"/>
        <w:widowControl/>
        <w:wordWrap/>
        <w:overflowPunct/>
        <w:topLinePunct/>
        <w:bidi w:val="0"/>
      </w:pPr>
      <w:r>
        <w:t>每位新员工均必须参加公司举办的新员工入职培训，从而对公司情况有整体的了解，适应公司文化及价值观，统一思想，规范行为，让新员工尽快适应工作环境，达到上岗要求。</w:t>
      </w:r>
    </w:p>
    <w:p w14:paraId="530E3C48">
      <w:pPr>
        <w:pStyle w:val="29"/>
        <w:keepLines w:val="0"/>
        <w:pageBreakBefore w:val="0"/>
        <w:widowControl/>
        <w:wordWrap/>
        <w:overflowPunct/>
        <w:topLinePunct/>
        <w:bidi w:val="0"/>
      </w:pPr>
      <w:r>
        <w:t>新员工入职培训是员工所属部门经理及</w:t>
      </w:r>
      <w:r>
        <w:rPr>
          <w:rFonts w:hint="eastAsia"/>
          <w:lang w:eastAsia="zh-CN"/>
        </w:rPr>
        <w:t>人力部</w:t>
      </w:r>
      <w:r>
        <w:t>的共同责任，部门要按照</w:t>
      </w:r>
      <w:r>
        <w:rPr>
          <w:rFonts w:hint="eastAsia"/>
          <w:lang w:eastAsia="zh-CN"/>
        </w:rPr>
        <w:t>人力部</w:t>
      </w:r>
      <w:r>
        <w:t>制定的培训计划督促新员工参加培训，不得以值班或加班为理由延误新员工培训，</w:t>
      </w:r>
      <w:r>
        <w:rPr>
          <w:rFonts w:hint="eastAsia"/>
          <w:lang w:eastAsia="zh-CN"/>
        </w:rPr>
        <w:t>人力部</w:t>
      </w:r>
      <w:r>
        <w:t>有责任对不参与培训的新员工所在部门做出考核。</w:t>
      </w:r>
    </w:p>
    <w:p w14:paraId="7FBB7203">
      <w:pPr>
        <w:pStyle w:val="29"/>
        <w:keepLines w:val="0"/>
        <w:pageBreakBefore w:val="0"/>
        <w:widowControl/>
        <w:wordWrap/>
        <w:overflowPunct/>
        <w:topLinePunct/>
        <w:bidi w:val="0"/>
      </w:pPr>
      <w:r>
        <w:t>公司新员工入职培训在每月度的中旬组织实施，若当月或前期新入职员工累计不超过5人，可顺延至下一月度。至少每季度应组织一次新员工培训。</w:t>
      </w:r>
    </w:p>
    <w:p w14:paraId="2B2715E8">
      <w:pPr>
        <w:pStyle w:val="29"/>
        <w:keepLines w:val="0"/>
        <w:pageBreakBefore w:val="0"/>
        <w:widowControl/>
        <w:wordWrap/>
        <w:overflowPunct/>
        <w:topLinePunct/>
        <w:bidi w:val="0"/>
      </w:pPr>
      <w:r>
        <w:rPr>
          <w:rFonts w:hint="eastAsia"/>
          <w:lang w:eastAsia="zh-CN"/>
        </w:rPr>
        <w:t>人力部</w:t>
      </w:r>
      <w:r>
        <w:t>培训前编制《新员工入职培训计划》，培训人由公司</w:t>
      </w:r>
      <w:r>
        <w:rPr>
          <w:rFonts w:hint="eastAsia"/>
          <w:lang w:eastAsia="zh-CN"/>
        </w:rPr>
        <w:t>人力部</w:t>
      </w:r>
      <w:r>
        <w:t>统一安排，由主管以上人员担任。</w:t>
      </w:r>
    </w:p>
    <w:p w14:paraId="211BAA7B">
      <w:pPr>
        <w:pStyle w:val="29"/>
        <w:keepLines w:val="0"/>
        <w:pageBreakBefore w:val="0"/>
        <w:widowControl/>
        <w:wordWrap/>
        <w:overflowPunct/>
        <w:topLinePunct/>
        <w:bidi w:val="0"/>
      </w:pPr>
      <w:r>
        <w:t>培训结束后，新员工均应通过考核，若未通过需跟随下一批新员工重新进行培训考核，若补考仍不合格者，建议部门不予录用。</w:t>
      </w:r>
      <w:r>
        <w:rPr>
          <w:rFonts w:hint="eastAsia"/>
          <w:lang w:eastAsia="zh-CN"/>
        </w:rPr>
        <w:t>人力部</w:t>
      </w:r>
      <w:r>
        <w:t>将对每位新员工的培训情况进行评估，并将结果反馈给部门。</w:t>
      </w:r>
    </w:p>
    <w:p w14:paraId="34191242">
      <w:pPr>
        <w:pStyle w:val="29"/>
        <w:keepLines w:val="0"/>
        <w:pageBreakBefore w:val="0"/>
        <w:widowControl/>
        <w:wordWrap/>
        <w:overflowPunct/>
        <w:topLinePunct/>
        <w:bidi w:val="0"/>
      </w:pPr>
      <w:r>
        <w:t>培训过程中如有请假缺课超过三课时的将不予考核，待下期培训时补完相应课程后再进行考核。</w:t>
      </w:r>
    </w:p>
    <w:p w14:paraId="52C1D1DC">
      <w:pPr>
        <w:pStyle w:val="29"/>
        <w:keepLines w:val="0"/>
        <w:pageBreakBefore w:val="0"/>
        <w:widowControl/>
        <w:wordWrap/>
        <w:overflowPunct/>
        <w:topLinePunct/>
        <w:bidi w:val="0"/>
      </w:pPr>
      <w:r>
        <w:t>未经过新员工入职培训的员工，不得参加试用期转正考试，成为公司正式员工。</w:t>
      </w:r>
    </w:p>
    <w:p w14:paraId="3A08A1BA">
      <w:pPr>
        <w:pStyle w:val="29"/>
        <w:keepLines w:val="0"/>
        <w:pageBreakBefore w:val="0"/>
        <w:widowControl/>
        <w:wordWrap/>
        <w:overflowPunct/>
        <w:topLinePunct/>
        <w:bidi w:val="0"/>
        <w:rPr>
          <w:rFonts w:hint="eastAsia"/>
          <w:lang w:eastAsia="zh-CN"/>
        </w:rPr>
      </w:pPr>
      <w:r>
        <w:t>新员工的岗位业务技能培训由用人部门具体负责。可采用的形式有：指定专人、以老带新或将新员工岗位业务技能培训纳入部门的日常培训，统一组织。实行分阶段培训、分阶段考核。经考核不合格的可退回</w:t>
      </w:r>
      <w:r>
        <w:rPr>
          <w:rFonts w:hint="eastAsia"/>
          <w:lang w:eastAsia="zh-CN"/>
        </w:rPr>
        <w:t>人力部</w:t>
      </w:r>
    </w:p>
    <w:p w14:paraId="179537CD">
      <w:pPr>
        <w:pStyle w:val="30"/>
        <w:keepLines w:val="0"/>
        <w:pageBreakBefore w:val="0"/>
        <w:widowControl/>
        <w:wordWrap/>
        <w:overflowPunct/>
        <w:topLinePunct/>
        <w:bidi w:val="0"/>
      </w:pPr>
      <w:bookmarkStart w:id="20" w:name="_Toc885"/>
      <w:r>
        <w:t>在岗员工、转岗员工培训</w:t>
      </w:r>
      <w:bookmarkEnd w:id="20"/>
    </w:p>
    <w:p w14:paraId="40194FDE">
      <w:pPr>
        <w:pStyle w:val="31"/>
        <w:keepLines w:val="0"/>
        <w:pageBreakBefore w:val="0"/>
        <w:widowControl/>
        <w:wordWrap/>
        <w:overflowPunct/>
        <w:topLinePunct/>
        <w:bidi w:val="0"/>
      </w:pPr>
      <w:bookmarkStart w:id="21" w:name="_Toc2368"/>
      <w:r>
        <w:t>培训内容</w:t>
      </w:r>
      <w:bookmarkEnd w:id="21"/>
    </w:p>
    <w:p w14:paraId="5CC306DF">
      <w:pPr>
        <w:pStyle w:val="29"/>
        <w:keepLines w:val="0"/>
        <w:pageBreakBefore w:val="0"/>
        <w:widowControl/>
        <w:wordWrap/>
        <w:overflowPunct/>
        <w:topLinePunct/>
        <w:bidi w:val="0"/>
      </w:pPr>
      <w:r>
        <w:t>部门应知应会内容，主要为业务知识和操作技能培训。</w:t>
      </w:r>
    </w:p>
    <w:p w14:paraId="247CEC7D">
      <w:pPr>
        <w:pStyle w:val="31"/>
        <w:keepLines w:val="0"/>
        <w:pageBreakBefore w:val="0"/>
        <w:widowControl/>
        <w:wordWrap/>
        <w:overflowPunct/>
        <w:topLinePunct/>
        <w:bidi w:val="0"/>
      </w:pPr>
      <w:bookmarkStart w:id="22" w:name="_Toc13053"/>
      <w:r>
        <w:t>培训形式</w:t>
      </w:r>
      <w:bookmarkEnd w:id="22"/>
    </w:p>
    <w:p w14:paraId="00F572C9">
      <w:pPr>
        <w:pStyle w:val="29"/>
        <w:keepLines w:val="0"/>
        <w:pageBreakBefore w:val="0"/>
        <w:widowControl/>
        <w:wordWrap/>
        <w:overflowPunct/>
        <w:topLinePunct/>
        <w:bidi w:val="0"/>
      </w:pPr>
      <w:r>
        <w:t>讲授法、案例法、操作示范法、视听教学法和讨论法等。</w:t>
      </w:r>
    </w:p>
    <w:p w14:paraId="1B993FA9">
      <w:pPr>
        <w:pStyle w:val="31"/>
        <w:keepLines w:val="0"/>
        <w:pageBreakBefore w:val="0"/>
        <w:widowControl/>
        <w:wordWrap/>
        <w:overflowPunct/>
        <w:topLinePunct/>
        <w:bidi w:val="0"/>
      </w:pPr>
      <w:bookmarkStart w:id="23" w:name="_Toc1112"/>
      <w:r>
        <w:t>培训实施</w:t>
      </w:r>
      <w:bookmarkEnd w:id="23"/>
    </w:p>
    <w:p w14:paraId="224AA889">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试用期满且正式录用的员工，为提升工作技能和综合素质，必须接受在岗培训，每位员工都最大程度地掌握应有的专业知识，也使公司的每个岗位上都有最适合该工作的员工，做到人尽其才。</w:t>
      </w:r>
    </w:p>
    <w:p w14:paraId="60CD9639">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在岗培训主要包括</w:t>
      </w:r>
      <w:r>
        <w:rPr>
          <w:rFonts w:hint="eastAsia"/>
          <w:lang w:eastAsia="zh-CN"/>
        </w:rPr>
        <w:t>人力部</w:t>
      </w:r>
      <w:r>
        <w:t>每个月举办的各项专题培训和各部门组织的岗位技能培训。</w:t>
      </w:r>
    </w:p>
    <w:p w14:paraId="00E7A577">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在岗培训由</w:t>
      </w:r>
      <w:r>
        <w:rPr>
          <w:rFonts w:hint="eastAsia"/>
          <w:lang w:eastAsia="zh-CN"/>
        </w:rPr>
        <w:t>人力部</w:t>
      </w:r>
      <w:r>
        <w:t>或各部门拟定培训计划，并按计划由</w:t>
      </w:r>
      <w:r>
        <w:rPr>
          <w:rFonts w:hint="eastAsia"/>
          <w:lang w:eastAsia="zh-CN"/>
        </w:rPr>
        <w:t>人力部</w:t>
      </w:r>
      <w:r>
        <w:t>或各部门的相关讲师执行，以期达到最佳效果。</w:t>
      </w:r>
    </w:p>
    <w:p w14:paraId="0DC11B79">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转岗员工新岗位的业务技能培训由所在部门负责，转岗后每月由</w:t>
      </w:r>
      <w:r>
        <w:rPr>
          <w:rFonts w:hint="eastAsia"/>
          <w:lang w:eastAsia="zh-CN"/>
        </w:rPr>
        <w:t>人力部</w:t>
      </w:r>
      <w:r>
        <w:t>与部门对其共同考核，超过二个月仍达不到新岗位要求的，退回原岗位。部门对转岗员工培训不到位的，</w:t>
      </w:r>
      <w:r>
        <w:rPr>
          <w:rFonts w:hint="eastAsia"/>
          <w:lang w:eastAsia="zh-CN"/>
        </w:rPr>
        <w:t>人力部</w:t>
      </w:r>
      <w:r>
        <w:t>做出考核。</w:t>
      </w:r>
    </w:p>
    <w:p w14:paraId="6111F1B2">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具体培训内容根据培训需求而定。</w:t>
      </w:r>
    </w:p>
    <w:p w14:paraId="462B418B">
      <w:pPr>
        <w:pStyle w:val="30"/>
        <w:keepLines w:val="0"/>
        <w:pageBreakBefore w:val="0"/>
        <w:widowControl/>
        <w:wordWrap/>
        <w:overflowPunct/>
        <w:topLinePunct/>
        <w:bidi w:val="0"/>
      </w:pPr>
      <w:bookmarkStart w:id="24" w:name="_Toc25792"/>
      <w:r>
        <w:t>基层管理人员培训</w:t>
      </w:r>
      <w:bookmarkEnd w:id="24"/>
    </w:p>
    <w:p w14:paraId="588A0253">
      <w:pPr>
        <w:pStyle w:val="31"/>
        <w:keepLines w:val="0"/>
        <w:pageBreakBefore w:val="0"/>
        <w:widowControl/>
        <w:wordWrap/>
        <w:overflowPunct/>
        <w:topLinePunct/>
        <w:bidi w:val="0"/>
      </w:pPr>
      <w:bookmarkStart w:id="25" w:name="_Toc17806"/>
      <w:r>
        <w:t>培训内容</w:t>
      </w:r>
      <w:bookmarkEnd w:id="25"/>
    </w:p>
    <w:p w14:paraId="06F16525">
      <w:pPr>
        <w:pStyle w:val="29"/>
        <w:keepLines w:val="0"/>
        <w:pageBreakBefore w:val="0"/>
        <w:widowControl/>
        <w:wordWrap/>
        <w:overflowPunct/>
        <w:topLinePunct/>
        <w:bidi w:val="0"/>
      </w:pPr>
      <w:r>
        <w:t>角色认知、沟通技巧、团队管理、时间管理、授权管理、情绪管理、面试技巧、自我更新、领导能力、班会的召开、工作计划的制定等。</w:t>
      </w:r>
    </w:p>
    <w:p w14:paraId="70587929">
      <w:pPr>
        <w:pStyle w:val="31"/>
        <w:keepLines w:val="0"/>
        <w:pageBreakBefore w:val="0"/>
        <w:widowControl/>
        <w:wordWrap/>
        <w:overflowPunct/>
        <w:topLinePunct/>
        <w:bidi w:val="0"/>
      </w:pPr>
      <w:bookmarkStart w:id="26" w:name="_Toc24261"/>
      <w:r>
        <w:t>培训形式</w:t>
      </w:r>
      <w:bookmarkEnd w:id="26"/>
    </w:p>
    <w:p w14:paraId="137AFB4B">
      <w:pPr>
        <w:pStyle w:val="29"/>
        <w:keepLines w:val="0"/>
        <w:pageBreakBefore w:val="0"/>
        <w:widowControl/>
        <w:wordWrap/>
        <w:overflowPunct/>
        <w:topLinePunct/>
        <w:bidi w:val="0"/>
      </w:pPr>
      <w:r>
        <w:t>讲授法、案例法、讨论法、自学法（发放资料）、管理游戏法、外出培训学习等。</w:t>
      </w:r>
    </w:p>
    <w:p w14:paraId="76B67CF7">
      <w:pPr>
        <w:pStyle w:val="31"/>
        <w:keepLines w:val="0"/>
        <w:pageBreakBefore w:val="0"/>
        <w:widowControl/>
        <w:wordWrap/>
        <w:overflowPunct/>
        <w:topLinePunct/>
        <w:bidi w:val="0"/>
      </w:pPr>
      <w:bookmarkStart w:id="27" w:name="_Toc23337"/>
      <w:r>
        <w:t>培训实施</w:t>
      </w:r>
      <w:bookmarkEnd w:id="27"/>
    </w:p>
    <w:p w14:paraId="4ED35394">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rPr>
          <w:rFonts w:hint="eastAsia"/>
          <w:lang w:eastAsia="zh-CN"/>
        </w:rPr>
        <w:t>人力部</w:t>
      </w:r>
      <w:r>
        <w:t>每年至少举办六期对督导人员的培训，授课人为部门经理以上人员。</w:t>
      </w:r>
    </w:p>
    <w:p w14:paraId="2F1B707B">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t>每位督导级人员必须接受培训，全年参与培训不足三分之二课程的人员将给予降级或降薪处理。</w:t>
      </w:r>
    </w:p>
    <w:p w14:paraId="4F281FEB">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t>每位受训人员均必须参加相应的考核，考核未通过可以有一次的补考机会，经过一次补考仍未能通过者管理处将建议部门给予降级或调职处理。</w:t>
      </w:r>
    </w:p>
    <w:p w14:paraId="7F595CE4">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t>负责授课的部门经理以上人员，必须认真准备书面（或电子）教案，并在培训前将教案交</w:t>
      </w:r>
      <w:r>
        <w:rPr>
          <w:rFonts w:hint="eastAsia"/>
          <w:lang w:eastAsia="zh-CN"/>
        </w:rPr>
        <w:t>人力部</w:t>
      </w:r>
      <w:r>
        <w:t>送总经理或执行总经理审核批准后讲授。</w:t>
      </w:r>
    </w:p>
    <w:p w14:paraId="5FE1C33D">
      <w:pPr>
        <w:pStyle w:val="30"/>
        <w:keepLines w:val="0"/>
        <w:pageBreakBefore w:val="0"/>
        <w:widowControl/>
        <w:wordWrap/>
        <w:overflowPunct/>
        <w:topLinePunct/>
        <w:bidi w:val="0"/>
      </w:pPr>
      <w:bookmarkStart w:id="28" w:name="_Toc23824"/>
      <w:r>
        <w:t>中高层管理人员培训</w:t>
      </w:r>
      <w:bookmarkEnd w:id="28"/>
    </w:p>
    <w:p w14:paraId="6E0FC068">
      <w:pPr>
        <w:pStyle w:val="31"/>
        <w:keepLines w:val="0"/>
        <w:pageBreakBefore w:val="0"/>
        <w:widowControl/>
        <w:wordWrap/>
        <w:overflowPunct/>
        <w:topLinePunct/>
        <w:bidi w:val="0"/>
      </w:pPr>
      <w:bookmarkStart w:id="29" w:name="_Toc17557"/>
      <w:r>
        <w:t>培训内容</w:t>
      </w:r>
      <w:bookmarkEnd w:id="29"/>
    </w:p>
    <w:p w14:paraId="6FCD5FAD">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本职位所需的专业理论知识和相关知识。</w:t>
      </w:r>
    </w:p>
    <w:p w14:paraId="4AAC1DF9">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本部门运行与管理、组织、控制、指挥</w:t>
      </w:r>
      <w:r>
        <w:rPr>
          <w:rFonts w:ascii="宋体" w:hAnsi="宋体" w:eastAsia="宋体" w:cs="宋体"/>
          <w:spacing w:val="-2"/>
          <w:sz w:val="24"/>
          <w:szCs w:val="24"/>
        </w:rPr>
        <w:t>能力的培养，尤其是沟通技巧和</w:t>
      </w:r>
      <w:r>
        <w:rPr>
          <w:rFonts w:ascii="宋体" w:hAnsi="宋体" w:eastAsia="宋体" w:cs="宋体"/>
          <w:spacing w:val="-3"/>
          <w:sz w:val="24"/>
          <w:szCs w:val="24"/>
        </w:rPr>
        <w:t>督导技巧。</w:t>
      </w:r>
    </w:p>
    <w:p w14:paraId="05E1DE42">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其它部门的一般知识。</w:t>
      </w:r>
    </w:p>
    <w:p w14:paraId="236408E8">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本部门员工的发展和培养。</w:t>
      </w:r>
    </w:p>
    <w:p w14:paraId="2B98BAC2">
      <w:pPr>
        <w:pStyle w:val="31"/>
        <w:keepLines w:val="0"/>
        <w:pageBreakBefore w:val="0"/>
        <w:widowControl/>
        <w:wordWrap/>
        <w:overflowPunct/>
        <w:topLinePunct/>
        <w:bidi w:val="0"/>
      </w:pPr>
      <w:bookmarkStart w:id="30" w:name="_Toc3848"/>
      <w:r>
        <w:t>培训形式</w:t>
      </w:r>
      <w:bookmarkEnd w:id="30"/>
    </w:p>
    <w:p w14:paraId="6D291A6E">
      <w:pPr>
        <w:keepLines w:val="0"/>
        <w:pageBreakBefore w:val="0"/>
        <w:widowControl/>
        <w:wordWrap/>
        <w:overflowPunct/>
        <w:topLinePunct/>
        <w:bidi w:val="0"/>
        <w:spacing w:before="183" w:line="290" w:lineRule="auto"/>
        <w:ind w:left="24" w:right="87" w:firstLine="372"/>
        <w:rPr>
          <w:rFonts w:ascii="宋体" w:hAnsi="宋体" w:eastAsia="宋体" w:cs="宋体"/>
          <w:spacing w:val="-4"/>
          <w:sz w:val="24"/>
          <w:szCs w:val="24"/>
        </w:rPr>
      </w:pPr>
      <w:r>
        <w:rPr>
          <w:rFonts w:ascii="宋体" w:hAnsi="宋体" w:eastAsia="宋体" w:cs="宋体"/>
          <w:spacing w:val="-1"/>
          <w:sz w:val="24"/>
          <w:szCs w:val="24"/>
        </w:rPr>
        <w:t>讲授法、讨论法、案例法、管理游戏法、外出观摩</w:t>
      </w:r>
      <w:r>
        <w:rPr>
          <w:rFonts w:ascii="宋体" w:hAnsi="宋体" w:eastAsia="宋体" w:cs="宋体"/>
          <w:spacing w:val="-2"/>
          <w:sz w:val="24"/>
          <w:szCs w:val="24"/>
        </w:rPr>
        <w:t>、外出培训学习、脱岗进</w:t>
      </w:r>
      <w:r>
        <w:rPr>
          <w:rFonts w:ascii="宋体" w:hAnsi="宋体" w:eastAsia="宋体" w:cs="宋体"/>
          <w:spacing w:val="-4"/>
          <w:sz w:val="24"/>
          <w:szCs w:val="24"/>
        </w:rPr>
        <w:t>修等</w:t>
      </w:r>
    </w:p>
    <w:p w14:paraId="03E1C2AC">
      <w:pPr>
        <w:pStyle w:val="31"/>
        <w:keepLines w:val="0"/>
        <w:pageBreakBefore w:val="0"/>
        <w:widowControl/>
        <w:wordWrap/>
        <w:overflowPunct/>
        <w:topLinePunct/>
        <w:bidi w:val="0"/>
      </w:pPr>
      <w:bookmarkStart w:id="31" w:name="_Toc4764"/>
      <w:r>
        <w:t>培训实施</w:t>
      </w:r>
      <w:bookmarkEnd w:id="31"/>
    </w:p>
    <w:p w14:paraId="5F2C9954">
      <w:pPr>
        <w:keepLines w:val="0"/>
        <w:pageBreakBefore w:val="0"/>
        <w:widowControl/>
        <w:wordWrap/>
        <w:overflowPunct/>
        <w:topLinePunct/>
        <w:bidi w:val="0"/>
        <w:spacing w:before="152" w:line="279" w:lineRule="auto"/>
        <w:ind w:left="30" w:right="13" w:firstLine="551"/>
        <w:rPr>
          <w:rFonts w:ascii="宋体" w:hAnsi="宋体" w:eastAsia="宋体" w:cs="宋体"/>
          <w:sz w:val="24"/>
          <w:szCs w:val="24"/>
        </w:rPr>
      </w:pPr>
      <w:r>
        <w:rPr>
          <w:rFonts w:ascii="宋体" w:hAnsi="宋体" w:eastAsia="宋体" w:cs="宋体"/>
          <w:spacing w:val="1"/>
          <w:sz w:val="24"/>
          <w:szCs w:val="24"/>
        </w:rPr>
        <w:t>1、</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每年组织管理人员内训不得低于四</w:t>
      </w:r>
      <w:r>
        <w:rPr>
          <w:rFonts w:ascii="宋体" w:hAnsi="宋体" w:eastAsia="宋体" w:cs="宋体"/>
          <w:sz w:val="24"/>
          <w:szCs w:val="24"/>
        </w:rPr>
        <w:t>次，外出培训不得低于</w:t>
      </w:r>
      <w:r>
        <w:rPr>
          <w:rFonts w:ascii="宋体" w:hAnsi="宋体" w:eastAsia="宋体" w:cs="宋体"/>
          <w:spacing w:val="-36"/>
          <w:sz w:val="24"/>
          <w:szCs w:val="24"/>
        </w:rPr>
        <w:t xml:space="preserve"> </w:t>
      </w:r>
      <w:r>
        <w:rPr>
          <w:rFonts w:ascii="宋体" w:hAnsi="宋体" w:eastAsia="宋体" w:cs="宋体"/>
          <w:sz w:val="24"/>
          <w:szCs w:val="24"/>
        </w:rPr>
        <w:t>20</w:t>
      </w:r>
      <w:r>
        <w:rPr>
          <w:rFonts w:ascii="宋体" w:hAnsi="宋体" w:eastAsia="宋体" w:cs="宋体"/>
          <w:spacing w:val="-46"/>
          <w:sz w:val="24"/>
          <w:szCs w:val="24"/>
        </w:rPr>
        <w:t xml:space="preserve"> </w:t>
      </w:r>
      <w:r>
        <w:rPr>
          <w:rFonts w:ascii="宋体" w:hAnsi="宋体" w:eastAsia="宋体" w:cs="宋体"/>
          <w:sz w:val="24"/>
          <w:szCs w:val="24"/>
        </w:rPr>
        <w:t>人</w:t>
      </w:r>
      <w:r>
        <w:rPr>
          <w:rFonts w:ascii="宋体" w:hAnsi="宋体" w:eastAsia="宋体" w:cs="宋体"/>
          <w:spacing w:val="-8"/>
          <w:sz w:val="24"/>
          <w:szCs w:val="24"/>
        </w:rPr>
        <w:t>次。</w:t>
      </w:r>
    </w:p>
    <w:p w14:paraId="6FD695D6">
      <w:pPr>
        <w:keepLines w:val="0"/>
        <w:pageBreakBefore w:val="0"/>
        <w:widowControl/>
        <w:wordWrap/>
        <w:overflowPunct/>
        <w:topLinePunct/>
        <w:bidi w:val="0"/>
        <w:spacing w:before="156" w:line="219" w:lineRule="auto"/>
        <w:ind w:left="566"/>
        <w:rPr>
          <w:rFonts w:ascii="宋体" w:hAnsi="宋体" w:eastAsia="宋体" w:cs="宋体"/>
          <w:sz w:val="24"/>
          <w:szCs w:val="24"/>
        </w:rPr>
      </w:pPr>
      <w:r>
        <w:rPr>
          <w:rFonts w:ascii="宋体" w:hAnsi="宋体" w:eastAsia="宋体" w:cs="宋体"/>
          <w:spacing w:val="-1"/>
          <w:sz w:val="24"/>
          <w:szCs w:val="24"/>
        </w:rPr>
        <w:t>2、各管理人员对于公司指定的培训不得推诿或拒绝参加。</w:t>
      </w:r>
    </w:p>
    <w:p w14:paraId="251F694E">
      <w:pPr>
        <w:keepLines w:val="0"/>
        <w:pageBreakBefore w:val="0"/>
        <w:widowControl/>
        <w:wordWrap/>
        <w:overflowPunct/>
        <w:topLinePunct/>
        <w:bidi w:val="0"/>
        <w:spacing w:before="153" w:line="279" w:lineRule="auto"/>
        <w:ind w:left="26" w:right="13" w:firstLine="541"/>
        <w:rPr>
          <w:rFonts w:ascii="宋体" w:hAnsi="宋体" w:eastAsia="宋体" w:cs="宋体"/>
          <w:sz w:val="24"/>
          <w:szCs w:val="24"/>
        </w:rPr>
      </w:pPr>
      <w:r>
        <w:rPr>
          <w:rFonts w:ascii="宋体" w:hAnsi="宋体" w:eastAsia="宋体" w:cs="宋体"/>
          <w:spacing w:val="-2"/>
          <w:sz w:val="24"/>
          <w:szCs w:val="24"/>
        </w:rPr>
        <w:t>3、参加培训人员在培训结束后，应在三日内将培训总结交至</w:t>
      </w:r>
      <w:r>
        <w:rPr>
          <w:rFonts w:hint="eastAsia" w:ascii="宋体" w:hAnsi="宋体" w:eastAsia="宋体" w:cs="宋体"/>
          <w:spacing w:val="-2"/>
          <w:sz w:val="24"/>
          <w:szCs w:val="24"/>
          <w:lang w:eastAsia="zh-CN"/>
        </w:rPr>
        <w:t>人力部</w:t>
      </w:r>
      <w:r>
        <w:rPr>
          <w:rFonts w:ascii="宋体" w:hAnsi="宋体" w:eastAsia="宋体" w:cs="宋体"/>
          <w:spacing w:val="-2"/>
          <w:sz w:val="24"/>
          <w:szCs w:val="24"/>
        </w:rPr>
        <w:t>，对于</w:t>
      </w:r>
      <w:r>
        <w:rPr>
          <w:rFonts w:ascii="宋体" w:hAnsi="宋体" w:eastAsia="宋体" w:cs="宋体"/>
          <w:spacing w:val="-1"/>
          <w:sz w:val="24"/>
          <w:szCs w:val="24"/>
        </w:rPr>
        <w:t>综合性培训课程，由</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安排培训人员在相应范围内进行授课。</w:t>
      </w:r>
    </w:p>
    <w:p w14:paraId="14E73BC0">
      <w:pPr>
        <w:pStyle w:val="30"/>
        <w:keepLines w:val="0"/>
        <w:pageBreakBefore w:val="0"/>
        <w:widowControl/>
        <w:wordWrap/>
        <w:overflowPunct/>
        <w:topLinePunct/>
        <w:bidi w:val="0"/>
      </w:pPr>
      <w:bookmarkStart w:id="32" w:name="_Toc27976"/>
      <w:r>
        <w:t>外派培训</w:t>
      </w:r>
      <w:bookmarkEnd w:id="32"/>
    </w:p>
    <w:p w14:paraId="726BC666">
      <w:pPr>
        <w:pStyle w:val="31"/>
        <w:keepLines w:val="0"/>
        <w:pageBreakBefore w:val="0"/>
        <w:widowControl/>
        <w:wordWrap/>
        <w:overflowPunct/>
        <w:topLinePunct/>
        <w:bidi w:val="0"/>
      </w:pPr>
      <w:bookmarkStart w:id="33" w:name="_Toc17024"/>
      <w:r>
        <w:rPr>
          <w:rFonts w:hint="eastAsia"/>
          <w:lang w:val="en-US" w:eastAsia="zh-CN"/>
        </w:rPr>
        <w:t>培训内容</w:t>
      </w:r>
      <w:bookmarkEnd w:id="33"/>
    </w:p>
    <w:p w14:paraId="1B731371">
      <w:pPr>
        <w:pStyle w:val="29"/>
        <w:keepLines w:val="0"/>
        <w:pageBreakBefore w:val="0"/>
        <w:widowControl/>
        <w:wordWrap/>
        <w:overflowPunct/>
        <w:topLinePunct/>
        <w:bidi w:val="0"/>
        <w:rPr>
          <w:rFonts w:hint="default"/>
          <w:lang w:val="en-US" w:eastAsia="zh-CN"/>
        </w:rPr>
      </w:pPr>
      <w:r>
        <w:rPr>
          <w:rFonts w:hint="eastAsia"/>
          <w:lang w:val="en-US" w:eastAsia="zh-CN"/>
        </w:rPr>
        <w:t>各部门经理主要学生部门管理方面内容，基层员工主要学习操作类专业技能。</w:t>
      </w:r>
    </w:p>
    <w:p w14:paraId="5BD1AB54">
      <w:pPr>
        <w:pStyle w:val="31"/>
        <w:keepLines w:val="0"/>
        <w:pageBreakBefore w:val="0"/>
        <w:widowControl/>
        <w:wordWrap/>
        <w:overflowPunct/>
        <w:topLinePunct/>
        <w:bidi w:val="0"/>
      </w:pPr>
      <w:bookmarkStart w:id="34" w:name="_Toc4818"/>
      <w:r>
        <w:rPr>
          <w:rFonts w:hint="eastAsia"/>
          <w:lang w:val="en-US" w:eastAsia="zh-CN"/>
        </w:rPr>
        <w:t>培训形式</w:t>
      </w:r>
      <w:bookmarkEnd w:id="34"/>
    </w:p>
    <w:p w14:paraId="5E1ADD8C">
      <w:pPr>
        <w:pStyle w:val="29"/>
        <w:keepLines w:val="0"/>
        <w:pageBreakBefore w:val="0"/>
        <w:widowControl/>
        <w:wordWrap/>
        <w:overflowPunct/>
        <w:topLinePunct/>
        <w:bidi w:val="0"/>
        <w:rPr>
          <w:rFonts w:hint="default"/>
          <w:lang w:val="en-US" w:eastAsia="zh-CN"/>
        </w:rPr>
      </w:pPr>
      <w:r>
        <w:rPr>
          <w:rFonts w:hint="eastAsia"/>
          <w:lang w:val="en-US" w:eastAsia="zh-CN"/>
        </w:rPr>
        <w:t>外部参观学习。</w:t>
      </w:r>
    </w:p>
    <w:p w14:paraId="098E709E">
      <w:pPr>
        <w:pStyle w:val="31"/>
        <w:keepLines w:val="0"/>
        <w:pageBreakBefore w:val="0"/>
        <w:widowControl/>
        <w:wordWrap/>
        <w:overflowPunct/>
        <w:topLinePunct/>
        <w:bidi w:val="0"/>
      </w:pPr>
      <w:bookmarkStart w:id="35" w:name="_Toc29401"/>
      <w:r>
        <w:t>培训实施</w:t>
      </w:r>
      <w:bookmarkEnd w:id="35"/>
    </w:p>
    <w:p w14:paraId="173C497D">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根据公司发展的规划及各部门的业务之需要，选择合适的培训机</w:t>
      </w:r>
      <w:r>
        <w:rPr>
          <w:rFonts w:ascii="宋体" w:hAnsi="宋体" w:eastAsia="宋体" w:cs="宋体"/>
          <w:spacing w:val="-2"/>
          <w:sz w:val="24"/>
          <w:szCs w:val="24"/>
        </w:rPr>
        <w:t>构派员工外出参加培训。</w:t>
      </w:r>
    </w:p>
    <w:p w14:paraId="56EB5F3C">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培训费用：指参加外派培训由公司支付的所有</w:t>
      </w:r>
      <w:r>
        <w:rPr>
          <w:rFonts w:ascii="宋体" w:hAnsi="宋体" w:eastAsia="宋体" w:cs="宋体"/>
          <w:spacing w:val="-1"/>
          <w:sz w:val="24"/>
          <w:szCs w:val="24"/>
        </w:rPr>
        <w:t>费用，如派送至外地的含</w:t>
      </w:r>
      <w:r>
        <w:rPr>
          <w:rFonts w:ascii="宋体" w:hAnsi="宋体" w:eastAsia="宋体" w:cs="宋体"/>
          <w:spacing w:val="-2"/>
          <w:sz w:val="24"/>
          <w:szCs w:val="24"/>
        </w:rPr>
        <w:t>食宿、交通等费用。</w:t>
      </w:r>
    </w:p>
    <w:p w14:paraId="73849F5D">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参加外派培训的员工必须与公司签订相应</w:t>
      </w:r>
      <w:r>
        <w:rPr>
          <w:rFonts w:ascii="宋体" w:hAnsi="宋体" w:eastAsia="宋体" w:cs="宋体"/>
          <w:spacing w:val="-1"/>
          <w:sz w:val="24"/>
          <w:szCs w:val="24"/>
        </w:rPr>
        <w:t>的培训协议书，经</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备案后，方能在财务部借出资金，执行相关的培训。</w:t>
      </w:r>
    </w:p>
    <w:p w14:paraId="0390C607">
      <w:pPr>
        <w:pStyle w:val="29"/>
        <w:keepLines w:val="0"/>
        <w:pageBreakBefore w:val="0"/>
        <w:widowControl/>
        <w:numPr>
          <w:ilvl w:val="0"/>
          <w:numId w:val="12"/>
        </w:numPr>
        <w:wordWrap/>
        <w:overflowPunct/>
        <w:topLinePunct/>
        <w:bidi w:val="0"/>
        <w:ind w:left="425" w:leftChars="0" w:hanging="425" w:firstLineChars="0"/>
      </w:pPr>
      <w:r>
        <w:t>对有考试任务（公司要求必须通过考试）的外派培训，受训员工必须在培训结束的第一时间参加考试。若该考试涉及到额外的考试费用，则费用处理方式如下：</w:t>
      </w:r>
    </w:p>
    <w:p w14:paraId="19903FDD">
      <w:pPr>
        <w:keepLines w:val="0"/>
        <w:pageBreakBefore w:val="0"/>
        <w:widowControl/>
        <w:numPr>
          <w:ilvl w:val="0"/>
          <w:numId w:val="13"/>
        </w:numPr>
        <w:wordWrap/>
        <w:overflowPunct/>
        <w:topLinePunct/>
        <w:bidi w:val="0"/>
        <w:spacing w:before="154" w:line="219" w:lineRule="auto"/>
        <w:ind w:left="845" w:leftChars="0" w:hanging="425" w:firstLineChars="0"/>
        <w:rPr>
          <w:rFonts w:ascii="宋体" w:hAnsi="宋体" w:eastAsia="宋体" w:cs="宋体"/>
          <w:sz w:val="24"/>
          <w:szCs w:val="24"/>
        </w:rPr>
      </w:pPr>
      <w:r>
        <w:rPr>
          <w:rFonts w:ascii="宋体" w:hAnsi="宋体" w:eastAsia="宋体" w:cs="宋体"/>
          <w:spacing w:val="-1"/>
          <w:sz w:val="24"/>
          <w:szCs w:val="24"/>
        </w:rPr>
        <w:t>第一次考试由公司承担所承诺的考试费用；</w:t>
      </w:r>
    </w:p>
    <w:p w14:paraId="7B33C943">
      <w:pPr>
        <w:keepLines w:val="0"/>
        <w:pageBreakBefore w:val="0"/>
        <w:widowControl/>
        <w:numPr>
          <w:ilvl w:val="0"/>
          <w:numId w:val="13"/>
        </w:numPr>
        <w:wordWrap/>
        <w:overflowPunct/>
        <w:topLinePunct/>
        <w:bidi w:val="0"/>
        <w:spacing w:before="153" w:line="280" w:lineRule="auto"/>
        <w:ind w:left="845" w:leftChars="0" w:right="13" w:hanging="425" w:firstLineChars="0"/>
        <w:rPr>
          <w:rFonts w:ascii="宋体" w:hAnsi="宋体" w:eastAsia="宋体" w:cs="宋体"/>
          <w:sz w:val="24"/>
          <w:szCs w:val="24"/>
        </w:rPr>
      </w:pPr>
      <w:r>
        <w:rPr>
          <w:rFonts w:ascii="宋体" w:hAnsi="宋体" w:eastAsia="宋体" w:cs="宋体"/>
          <w:spacing w:val="-3"/>
          <w:sz w:val="24"/>
          <w:szCs w:val="24"/>
        </w:rPr>
        <w:t>若第一次考试未通过，受训员工必须参加补考的，</w:t>
      </w:r>
      <w:r>
        <w:rPr>
          <w:rFonts w:ascii="宋体" w:hAnsi="宋体" w:eastAsia="宋体" w:cs="宋体"/>
          <w:spacing w:val="-4"/>
          <w:sz w:val="24"/>
          <w:szCs w:val="24"/>
        </w:rPr>
        <w:t>补考的费用由员工本</w:t>
      </w:r>
      <w:r>
        <w:rPr>
          <w:rFonts w:ascii="宋体" w:hAnsi="宋体" w:eastAsia="宋体" w:cs="宋体"/>
          <w:spacing w:val="-2"/>
          <w:sz w:val="24"/>
          <w:szCs w:val="24"/>
        </w:rPr>
        <w:t>人承担一半；</w:t>
      </w:r>
    </w:p>
    <w:p w14:paraId="7AD992BD">
      <w:pPr>
        <w:keepLines w:val="0"/>
        <w:pageBreakBefore w:val="0"/>
        <w:widowControl/>
        <w:numPr>
          <w:ilvl w:val="0"/>
          <w:numId w:val="13"/>
        </w:numPr>
        <w:wordWrap/>
        <w:overflowPunct/>
        <w:topLinePunct/>
        <w:bidi w:val="0"/>
        <w:spacing w:before="153" w:line="279" w:lineRule="auto"/>
        <w:ind w:left="845" w:leftChars="0" w:right="13" w:hanging="425" w:firstLineChars="0"/>
        <w:rPr>
          <w:rFonts w:ascii="宋体" w:hAnsi="宋体" w:eastAsia="宋体" w:cs="宋体"/>
          <w:sz w:val="24"/>
          <w:szCs w:val="24"/>
        </w:rPr>
      </w:pPr>
      <w:r>
        <w:rPr>
          <w:rFonts w:ascii="宋体" w:hAnsi="宋体" w:eastAsia="宋体" w:cs="宋体"/>
          <w:spacing w:val="-3"/>
          <w:sz w:val="24"/>
          <w:szCs w:val="24"/>
        </w:rPr>
        <w:t>若受训员工在参加培训后，无正当理由拒绝参加考</w:t>
      </w:r>
      <w:r>
        <w:rPr>
          <w:rFonts w:ascii="宋体" w:hAnsi="宋体" w:eastAsia="宋体" w:cs="宋体"/>
          <w:spacing w:val="-4"/>
          <w:sz w:val="24"/>
          <w:szCs w:val="24"/>
        </w:rPr>
        <w:t>试的，则该次培训的</w:t>
      </w:r>
      <w:r>
        <w:rPr>
          <w:rFonts w:ascii="宋体" w:hAnsi="宋体" w:eastAsia="宋体" w:cs="宋体"/>
          <w:spacing w:val="-1"/>
          <w:sz w:val="24"/>
          <w:szCs w:val="24"/>
        </w:rPr>
        <w:t>所有费用由受训员工承担。</w:t>
      </w:r>
    </w:p>
    <w:p w14:paraId="53BCE2FA">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公司员工参加各类外派培训除应遵守本公司的规章制度外，还应遵守培训单位的有关规定，维护本公司的良好形象，力争取得优异成绩。</w:t>
      </w:r>
    </w:p>
    <w:p w14:paraId="23DFE3CE">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公司员工参加外训取得的各种证书和成</w:t>
      </w:r>
      <w:r>
        <w:rPr>
          <w:rFonts w:ascii="宋体" w:hAnsi="宋体" w:eastAsia="宋体" w:cs="宋体"/>
          <w:spacing w:val="-1"/>
          <w:sz w:val="24"/>
          <w:szCs w:val="24"/>
        </w:rPr>
        <w:t>绩单应报</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备案，作为年度</w:t>
      </w:r>
      <w:r>
        <w:rPr>
          <w:rFonts w:ascii="宋体" w:hAnsi="宋体" w:eastAsia="宋体" w:cs="宋体"/>
          <w:spacing w:val="-2"/>
          <w:sz w:val="24"/>
          <w:szCs w:val="24"/>
        </w:rPr>
        <w:t>考核的依据。</w:t>
      </w:r>
    </w:p>
    <w:p w14:paraId="11D533A0">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公司员工参加主要由公司出资的学习</w:t>
      </w:r>
      <w:r>
        <w:rPr>
          <w:rFonts w:ascii="宋体" w:hAnsi="宋体" w:eastAsia="宋体" w:cs="宋体"/>
          <w:spacing w:val="-1"/>
          <w:sz w:val="24"/>
          <w:szCs w:val="24"/>
        </w:rPr>
        <w:t>、培训应视具体情况同时办理合同变更，培训结束后应服从公司的工作安排或岗位调整。</w:t>
      </w:r>
    </w:p>
    <w:p w14:paraId="05B23D8C">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1"/>
          <w:sz w:val="24"/>
          <w:szCs w:val="24"/>
        </w:rPr>
        <w:t>关于外派培训协议期限：凡公司出资的外派培训，按培训费用的额度定</w:t>
      </w:r>
      <w:r>
        <w:rPr>
          <w:rFonts w:ascii="宋体" w:hAnsi="宋体" w:eastAsia="宋体" w:cs="宋体"/>
          <w:spacing w:val="-3"/>
          <w:sz w:val="24"/>
          <w:szCs w:val="24"/>
        </w:rPr>
        <w:t>协议期限。</w:t>
      </w:r>
    </w:p>
    <w:p w14:paraId="1CEF2E68">
      <w:pPr>
        <w:keepLines w:val="0"/>
        <w:pageBreakBefore w:val="0"/>
        <w:widowControl/>
        <w:numPr>
          <w:ilvl w:val="0"/>
          <w:numId w:val="14"/>
        </w:numPr>
        <w:wordWrap/>
        <w:overflowPunct/>
        <w:topLinePunct/>
        <w:bidi w:val="0"/>
        <w:spacing w:before="147"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费用总计在1000元（含</w:t>
      </w:r>
      <w:r>
        <w:rPr>
          <w:rFonts w:ascii="宋体" w:hAnsi="宋体" w:eastAsia="宋体" w:cs="宋体"/>
          <w:spacing w:val="-46"/>
          <w:sz w:val="24"/>
          <w:szCs w:val="24"/>
        </w:rPr>
        <w:t xml:space="preserve"> </w:t>
      </w:r>
      <w:r>
        <w:rPr>
          <w:rFonts w:ascii="宋体" w:hAnsi="宋体" w:eastAsia="宋体" w:cs="宋体"/>
          <w:spacing w:val="-3"/>
          <w:sz w:val="24"/>
          <w:szCs w:val="24"/>
        </w:rPr>
        <w:t>500元）以内的，协议期为一年；</w:t>
      </w:r>
    </w:p>
    <w:p w14:paraId="121FDBAF">
      <w:pPr>
        <w:keepLines w:val="0"/>
        <w:pageBreakBefore w:val="0"/>
        <w:widowControl/>
        <w:numPr>
          <w:ilvl w:val="0"/>
          <w:numId w:val="14"/>
        </w:numPr>
        <w:wordWrap/>
        <w:overflowPunct/>
        <w:topLinePunct/>
        <w:bidi w:val="0"/>
        <w:spacing w:before="154"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费用总计1000-2000元（含1500元）以内的，协议期为两年；</w:t>
      </w:r>
    </w:p>
    <w:p w14:paraId="67FD128E">
      <w:pPr>
        <w:keepLines w:val="0"/>
        <w:pageBreakBefore w:val="0"/>
        <w:widowControl/>
        <w:numPr>
          <w:ilvl w:val="0"/>
          <w:numId w:val="14"/>
        </w:numPr>
        <w:wordWrap/>
        <w:overflowPunct/>
        <w:topLinePunct/>
        <w:bidi w:val="0"/>
        <w:spacing w:before="154" w:line="219" w:lineRule="auto"/>
        <w:ind w:left="845" w:leftChars="0" w:hanging="425" w:firstLineChars="0"/>
        <w:rPr>
          <w:rFonts w:ascii="宋体" w:hAnsi="宋体" w:eastAsia="宋体" w:cs="宋体"/>
          <w:sz w:val="24"/>
          <w:szCs w:val="24"/>
        </w:rPr>
      </w:pPr>
      <w:r>
        <w:rPr>
          <w:rFonts w:ascii="宋体" w:hAnsi="宋体" w:eastAsia="宋体" w:cs="宋体"/>
          <w:spacing w:val="-2"/>
          <w:sz w:val="24"/>
          <w:szCs w:val="24"/>
        </w:rPr>
        <w:t>费用总计在</w:t>
      </w:r>
      <w:r>
        <w:rPr>
          <w:rFonts w:ascii="宋体" w:hAnsi="宋体" w:eastAsia="宋体" w:cs="宋体"/>
          <w:spacing w:val="-41"/>
          <w:sz w:val="24"/>
          <w:szCs w:val="24"/>
        </w:rPr>
        <w:t xml:space="preserve"> </w:t>
      </w:r>
      <w:r>
        <w:rPr>
          <w:rFonts w:ascii="宋体" w:hAnsi="宋体" w:eastAsia="宋体" w:cs="宋体"/>
          <w:spacing w:val="-2"/>
          <w:sz w:val="24"/>
          <w:szCs w:val="24"/>
        </w:rPr>
        <w:t>3000元以上的，协议期为三年。</w:t>
      </w:r>
    </w:p>
    <w:p w14:paraId="2746B478">
      <w:pPr>
        <w:keepLines w:val="0"/>
        <w:pageBreakBefore w:val="0"/>
        <w:widowControl/>
        <w:numPr>
          <w:ilvl w:val="0"/>
          <w:numId w:val="14"/>
        </w:numPr>
        <w:wordWrap/>
        <w:overflowPunct/>
        <w:topLinePunct/>
        <w:bidi w:val="0"/>
        <w:spacing w:before="155" w:line="279" w:lineRule="auto"/>
        <w:ind w:left="845" w:leftChars="0" w:right="111" w:hanging="425" w:firstLineChars="0"/>
        <w:rPr>
          <w:rFonts w:ascii="宋体" w:hAnsi="宋体" w:eastAsia="宋体" w:cs="宋体"/>
          <w:sz w:val="24"/>
          <w:szCs w:val="24"/>
        </w:rPr>
      </w:pPr>
      <w:r>
        <w:rPr>
          <w:rFonts w:ascii="宋体" w:hAnsi="宋体" w:eastAsia="宋体" w:cs="宋体"/>
          <w:spacing w:val="-2"/>
          <w:sz w:val="24"/>
          <w:szCs w:val="24"/>
        </w:rPr>
        <w:t>费用总计在</w:t>
      </w:r>
      <w:r>
        <w:rPr>
          <w:rFonts w:ascii="宋体" w:hAnsi="宋体" w:eastAsia="宋体" w:cs="宋体"/>
          <w:spacing w:val="-46"/>
          <w:sz w:val="24"/>
          <w:szCs w:val="24"/>
        </w:rPr>
        <w:t xml:space="preserve"> </w:t>
      </w:r>
      <w:r>
        <w:rPr>
          <w:rFonts w:ascii="宋体" w:hAnsi="宋体" w:eastAsia="宋体" w:cs="宋体"/>
          <w:spacing w:val="-2"/>
          <w:sz w:val="24"/>
          <w:szCs w:val="24"/>
        </w:rPr>
        <w:t>5000元-6000元的，协议期为4年，6000元</w:t>
      </w:r>
      <w:r>
        <w:rPr>
          <w:rFonts w:ascii="宋体" w:hAnsi="宋体" w:eastAsia="宋体" w:cs="宋体"/>
          <w:spacing w:val="-3"/>
          <w:sz w:val="24"/>
          <w:szCs w:val="24"/>
        </w:rPr>
        <w:t>以上，每增加1000</w:t>
      </w:r>
      <w:r>
        <w:rPr>
          <w:rFonts w:ascii="宋体" w:hAnsi="宋体" w:eastAsia="宋体" w:cs="宋体"/>
          <w:spacing w:val="-49"/>
          <w:sz w:val="24"/>
          <w:szCs w:val="24"/>
        </w:rPr>
        <w:t xml:space="preserve"> </w:t>
      </w:r>
      <w:r>
        <w:rPr>
          <w:rFonts w:ascii="宋体" w:hAnsi="宋体" w:eastAsia="宋体" w:cs="宋体"/>
          <w:spacing w:val="-3"/>
          <w:sz w:val="24"/>
          <w:szCs w:val="24"/>
        </w:rPr>
        <w:t>元协议期增加一年。</w:t>
      </w:r>
    </w:p>
    <w:p w14:paraId="35C0A745">
      <w:pPr>
        <w:keepLines w:val="0"/>
        <w:pageBreakBefore w:val="0"/>
        <w:widowControl/>
        <w:numPr>
          <w:ilvl w:val="0"/>
          <w:numId w:val="12"/>
        </w:numPr>
        <w:wordWrap/>
        <w:overflowPunct/>
        <w:topLinePunct/>
        <w:bidi w:val="0"/>
        <w:spacing w:before="154" w:line="219" w:lineRule="auto"/>
        <w:ind w:left="425" w:leftChars="0" w:hanging="425" w:firstLineChars="0"/>
        <w:rPr>
          <w:rFonts w:ascii="宋体" w:hAnsi="宋体" w:eastAsia="宋体" w:cs="宋体"/>
          <w:sz w:val="24"/>
          <w:szCs w:val="24"/>
        </w:rPr>
      </w:pPr>
      <w:r>
        <w:rPr>
          <w:rFonts w:ascii="宋体" w:hAnsi="宋体" w:eastAsia="宋体" w:cs="宋体"/>
          <w:spacing w:val="-7"/>
          <w:sz w:val="24"/>
          <w:szCs w:val="24"/>
        </w:rPr>
        <w:t>违约赔偿：</w:t>
      </w:r>
    </w:p>
    <w:p w14:paraId="0D864D1C">
      <w:pPr>
        <w:keepLines w:val="0"/>
        <w:pageBreakBefore w:val="0"/>
        <w:widowControl/>
        <w:numPr>
          <w:ilvl w:val="0"/>
          <w:numId w:val="15"/>
        </w:numPr>
        <w:wordWrap/>
        <w:overflowPunct/>
        <w:topLinePunct/>
        <w:bidi w:val="0"/>
        <w:spacing w:before="183" w:line="290" w:lineRule="auto"/>
        <w:ind w:left="24" w:right="87" w:firstLine="372"/>
        <w:rPr>
          <w:rFonts w:ascii="宋体" w:hAnsi="宋体" w:eastAsia="宋体" w:cs="宋体"/>
          <w:spacing w:val="-1"/>
          <w:sz w:val="24"/>
          <w:szCs w:val="24"/>
        </w:rPr>
      </w:pPr>
      <w:r>
        <w:rPr>
          <w:rFonts w:ascii="宋体" w:hAnsi="宋体" w:eastAsia="宋体" w:cs="宋体"/>
          <w:spacing w:val="-8"/>
          <w:sz w:val="24"/>
          <w:szCs w:val="24"/>
        </w:rPr>
        <w:t>员工如在培训协议期内（以员工与公司签订的培训协议为准）自</w:t>
      </w:r>
      <w:r>
        <w:rPr>
          <w:rFonts w:ascii="宋体" w:hAnsi="宋体" w:eastAsia="宋体" w:cs="宋体"/>
          <w:spacing w:val="-9"/>
          <w:sz w:val="24"/>
          <w:szCs w:val="24"/>
        </w:rPr>
        <w:t>动辞职，</w:t>
      </w:r>
      <w:r>
        <w:rPr>
          <w:rFonts w:ascii="宋体" w:hAnsi="宋体" w:eastAsia="宋体" w:cs="宋体"/>
          <w:spacing w:val="-3"/>
          <w:sz w:val="24"/>
          <w:szCs w:val="24"/>
        </w:rPr>
        <w:t>或公司按公司规章制度提前解除与员工的劳动关系的，员工应赔偿公司的培训费</w:t>
      </w:r>
      <w:r>
        <w:rPr>
          <w:rFonts w:ascii="宋体" w:hAnsi="宋体" w:eastAsia="宋体" w:cs="宋体"/>
          <w:spacing w:val="-1"/>
          <w:sz w:val="24"/>
          <w:szCs w:val="24"/>
        </w:rPr>
        <w:t>用，赔偿金额的计算方法为：</w:t>
      </w:r>
    </w:p>
    <w:p w14:paraId="090D39D7">
      <w:pPr>
        <w:keepLines w:val="0"/>
        <w:pageBreakBefore w:val="0"/>
        <w:widowControl/>
        <w:numPr>
          <w:ilvl w:val="0"/>
          <w:numId w:val="0"/>
        </w:numPr>
        <w:kinsoku w:val="0"/>
        <w:wordWrap/>
        <w:overflowPunct/>
        <w:topLinePunct/>
        <w:autoSpaceDE w:val="0"/>
        <w:autoSpaceDN w:val="0"/>
        <w:bidi w:val="0"/>
        <w:adjustRightInd w:val="0"/>
        <w:snapToGrid w:val="0"/>
        <w:spacing w:before="183" w:line="290" w:lineRule="auto"/>
        <w:ind w:right="87" w:rightChars="0"/>
        <w:jc w:val="left"/>
        <w:textAlignment w:val="baseline"/>
        <w:rPr>
          <w:rFonts w:hint="default" w:ascii="宋体" w:hAnsi="宋体" w:eastAsia="宋体" w:cs="宋体"/>
          <w:spacing w:val="-1"/>
          <w:sz w:val="24"/>
          <w:szCs w:val="24"/>
          <w:lang w:val="en-US"/>
        </w:rPr>
      </w:pPr>
      <m:oMathPara>
        <m:oMath>
          <m:r>
            <m:rPr>
              <m:sty m:val="p"/>
            </m:rPr>
            <w:rPr>
              <w:rFonts w:hint="eastAsia" w:ascii="Cambria Math" w:hAnsi="Cambria Math" w:eastAsia="宋体" w:cs="宋体"/>
              <w:snapToGrid w:val="0"/>
              <w:color w:val="000000"/>
              <w:spacing w:val="-1"/>
              <w:kern w:val="0"/>
              <w:sz w:val="24"/>
              <w:szCs w:val="24"/>
              <w:lang w:val="en-US" w:eastAsia="zh-CN" w:bidi="ar-SA"/>
            </w:rPr>
            <m:t>赔偿金额</m:t>
          </m:r>
          <m:r>
            <m:rPr>
              <m:sty m:val="p"/>
            </m:rPr>
            <w:rPr>
              <w:rFonts w:hint="default" w:ascii="Cambria Math" w:hAnsi="Cambria Math" w:eastAsia="宋体" w:cs="宋体"/>
              <w:snapToGrid w:val="0"/>
              <w:color w:val="000000"/>
              <w:spacing w:val="-1"/>
              <w:kern w:val="0"/>
              <w:sz w:val="24"/>
              <w:szCs w:val="24"/>
              <w:lang w:val="en-US" w:eastAsia="zh-CN" w:bidi="ar-SA"/>
            </w:rPr>
            <m:t>=</m:t>
          </m:r>
          <m:f>
            <m:fPr>
              <m:ctrlPr>
                <w:rPr>
                  <w:rFonts w:hint="default" w:ascii="Cambria Math" w:hAnsi="Cambria Math" w:eastAsia="宋体" w:cs="宋体"/>
                  <w:snapToGrid w:val="0"/>
                  <w:color w:val="000000"/>
                  <w:spacing w:val="-1"/>
                  <w:kern w:val="0"/>
                  <w:sz w:val="24"/>
                  <w:szCs w:val="24"/>
                  <w:lang w:val="en-US" w:eastAsia="zh-CN" w:bidi="ar-SA"/>
                </w:rPr>
              </m:ctrlPr>
            </m:fPr>
            <m:num>
              <m:r>
                <m:rPr>
                  <m:sty m:val="p"/>
                </m:rPr>
                <w:rPr>
                  <w:rFonts w:hint="eastAsia" w:ascii="Cambria Math" w:hAnsi="Cambria Math" w:eastAsia="宋体" w:cs="宋体"/>
                  <w:snapToGrid w:val="0"/>
                  <w:color w:val="000000"/>
                  <w:spacing w:val="-1"/>
                  <w:kern w:val="0"/>
                  <w:sz w:val="24"/>
                  <w:szCs w:val="24"/>
                  <w:lang w:val="en-US" w:eastAsia="zh-CN" w:bidi="ar-SA"/>
                </w:rPr>
                <m:t>培训期间公司字符的所有费用</m:t>
              </m:r>
              <m:ctrlPr>
                <w:rPr>
                  <w:rFonts w:hint="default" w:ascii="Cambria Math" w:hAnsi="Cambria Math" w:eastAsia="宋体" w:cs="宋体"/>
                  <w:snapToGrid w:val="0"/>
                  <w:color w:val="000000"/>
                  <w:spacing w:val="-1"/>
                  <w:kern w:val="0"/>
                  <w:sz w:val="24"/>
                  <w:szCs w:val="24"/>
                  <w:lang w:val="en-US" w:eastAsia="zh-CN" w:bidi="ar-SA"/>
                </w:rPr>
              </m:ctrlPr>
            </m:num>
            <m:den>
              <m:r>
                <m:rPr>
                  <m:sty m:val="p"/>
                </m:rPr>
                <w:rPr>
                  <w:rFonts w:hint="eastAsia" w:ascii="Cambria Math" w:hAnsi="Cambria Math" w:eastAsia="宋体" w:cs="宋体"/>
                  <w:snapToGrid w:val="0"/>
                  <w:color w:val="000000"/>
                  <w:spacing w:val="-1"/>
                  <w:kern w:val="0"/>
                  <w:sz w:val="24"/>
                  <w:szCs w:val="24"/>
                  <w:lang w:val="en-US" w:eastAsia="zh-CN" w:bidi="ar-SA"/>
                </w:rPr>
                <m:t>培训协议期的月份数</m:t>
              </m:r>
              <m:ctrlPr>
                <w:rPr>
                  <w:rFonts w:hint="default" w:ascii="Cambria Math" w:hAnsi="Cambria Math" w:eastAsia="宋体" w:cs="宋体"/>
                  <w:snapToGrid w:val="0"/>
                  <w:color w:val="000000"/>
                  <w:spacing w:val="-1"/>
                  <w:kern w:val="0"/>
                  <w:sz w:val="24"/>
                  <w:szCs w:val="24"/>
                  <w:lang w:val="en-US" w:eastAsia="zh-CN" w:bidi="ar-SA"/>
                </w:rPr>
              </m:ctrlPr>
            </m:den>
          </m:f>
          <m:r>
            <m:rPr>
              <m:sty m:val="p"/>
            </m:rPr>
            <w:rPr>
              <w:rFonts w:hint="eastAsia" w:ascii="Cambria Math" w:hAnsi="Cambria Math" w:eastAsia="宋体" w:cs="宋体"/>
              <w:snapToGrid w:val="0"/>
              <w:color w:val="000000"/>
              <w:spacing w:val="-1"/>
              <w:kern w:val="0"/>
              <w:sz w:val="24"/>
              <w:szCs w:val="24"/>
              <w:lang w:val="en-US" w:eastAsia="zh-CN" w:bidi="ar-SA"/>
            </w:rPr>
            <m:t>x协议期未履行完的月份数</m:t>
          </m:r>
        </m:oMath>
      </m:oMathPara>
    </w:p>
    <w:p w14:paraId="6CA3AD52">
      <w:pPr>
        <w:keepLines w:val="0"/>
        <w:pageBreakBefore w:val="0"/>
        <w:widowControl/>
        <w:wordWrap/>
        <w:overflowPunct/>
        <w:topLinePunct/>
        <w:bidi w:val="0"/>
        <w:spacing w:before="79" w:line="339" w:lineRule="auto"/>
        <w:ind w:left="22" w:right="85" w:firstLine="367"/>
        <w:rPr>
          <w:rFonts w:ascii="宋体" w:hAnsi="宋体" w:eastAsia="宋体" w:cs="宋体"/>
          <w:sz w:val="24"/>
          <w:szCs w:val="24"/>
        </w:rPr>
      </w:pPr>
      <w:r>
        <w:rPr>
          <w:rFonts w:ascii="宋体" w:hAnsi="宋体" w:eastAsia="宋体" w:cs="宋体"/>
          <w:spacing w:val="-3"/>
          <w:sz w:val="24"/>
          <w:szCs w:val="24"/>
        </w:rPr>
        <w:t>（2）员工在学习培训期间因违反本制度给公司造成损失</w:t>
      </w:r>
      <w:r>
        <w:rPr>
          <w:rFonts w:ascii="宋体" w:hAnsi="宋体" w:eastAsia="宋体" w:cs="宋体"/>
          <w:spacing w:val="-4"/>
          <w:sz w:val="24"/>
          <w:szCs w:val="24"/>
        </w:rPr>
        <w:t>的，应该负相关的赔</w:t>
      </w:r>
      <w:r>
        <w:rPr>
          <w:rFonts w:ascii="宋体" w:hAnsi="宋体" w:eastAsia="宋体" w:cs="宋体"/>
          <w:spacing w:val="-3"/>
          <w:sz w:val="24"/>
          <w:szCs w:val="24"/>
        </w:rPr>
        <w:t>偿责任。</w:t>
      </w:r>
    </w:p>
    <w:p w14:paraId="1C491D4B">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rightChars="0" w:hanging="425" w:firstLineChars="0"/>
        <w:jc w:val="both"/>
        <w:textAlignment w:val="baseline"/>
        <w:rPr>
          <w:rFonts w:ascii="宋体" w:hAnsi="宋体" w:eastAsia="宋体" w:cs="宋体"/>
          <w:sz w:val="24"/>
          <w:szCs w:val="24"/>
        </w:rPr>
      </w:pPr>
      <w:r>
        <w:rPr>
          <w:rFonts w:ascii="宋体" w:hAnsi="宋体" w:eastAsia="宋体" w:cs="宋体"/>
          <w:sz w:val="24"/>
          <w:szCs w:val="24"/>
        </w:rPr>
        <w:t>外派员工在培训结束后，返回公司，需在三日内写出总结报</w:t>
      </w:r>
      <w:r>
        <w:rPr>
          <w:rFonts w:ascii="宋体" w:hAnsi="宋体" w:eastAsia="宋体" w:cs="宋体"/>
          <w:spacing w:val="-1"/>
          <w:sz w:val="24"/>
          <w:szCs w:val="24"/>
        </w:rPr>
        <w:t>告上报</w:t>
      </w:r>
      <w:r>
        <w:rPr>
          <w:rFonts w:hint="eastAsia" w:ascii="宋体" w:hAnsi="宋体" w:eastAsia="宋体" w:cs="宋体"/>
          <w:spacing w:val="-1"/>
          <w:sz w:val="24"/>
          <w:szCs w:val="24"/>
          <w:lang w:eastAsia="zh-CN"/>
        </w:rPr>
        <w:t>人力部</w:t>
      </w:r>
      <w:r>
        <w:rPr>
          <w:rFonts w:ascii="宋体" w:hAnsi="宋体" w:eastAsia="宋体" w:cs="宋体"/>
          <w:spacing w:val="-3"/>
          <w:sz w:val="24"/>
          <w:szCs w:val="24"/>
        </w:rPr>
        <w:t>。培训报告要针对培训专题，结合公司实际，拿出解决问题的办法和措施，以促进学习成果的转化。</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对其培训成果做出评估。培训效果不理想的，下次</w:t>
      </w:r>
      <w:r>
        <w:rPr>
          <w:rFonts w:ascii="宋体" w:hAnsi="宋体" w:eastAsia="宋体" w:cs="宋体"/>
          <w:spacing w:val="-2"/>
          <w:sz w:val="24"/>
          <w:szCs w:val="24"/>
        </w:rPr>
        <w:t>外派不予考虑。</w:t>
      </w:r>
    </w:p>
    <w:p w14:paraId="37C223F2">
      <w:pPr>
        <w:pStyle w:val="30"/>
        <w:keepLines w:val="0"/>
        <w:pageBreakBefore w:val="0"/>
        <w:widowControl/>
        <w:wordWrap/>
        <w:overflowPunct/>
        <w:topLinePunct/>
        <w:bidi w:val="0"/>
      </w:pPr>
      <w:bookmarkStart w:id="36" w:name="_Toc23803"/>
      <w:r>
        <w:t>外聘讲师培训</w:t>
      </w:r>
      <w:bookmarkEnd w:id="36"/>
    </w:p>
    <w:p w14:paraId="4B8726FD">
      <w:pPr>
        <w:pStyle w:val="31"/>
        <w:keepLines w:val="0"/>
        <w:pageBreakBefore w:val="0"/>
        <w:widowControl/>
        <w:wordWrap/>
        <w:overflowPunct/>
        <w:topLinePunct/>
        <w:bidi w:val="0"/>
        <w:rPr>
          <w:rFonts w:hint="eastAsia"/>
          <w:lang w:val="en-US" w:eastAsia="zh-CN"/>
        </w:rPr>
      </w:pPr>
      <w:bookmarkStart w:id="37" w:name="_Toc18527"/>
      <w:r>
        <w:rPr>
          <w:rFonts w:hint="eastAsia"/>
          <w:lang w:val="en-US" w:eastAsia="zh-CN"/>
        </w:rPr>
        <w:t>培训内容</w:t>
      </w:r>
      <w:bookmarkEnd w:id="37"/>
    </w:p>
    <w:p w14:paraId="631980E7">
      <w:pPr>
        <w:pStyle w:val="29"/>
        <w:keepLines w:val="0"/>
        <w:pageBreakBefore w:val="0"/>
        <w:widowControl/>
        <w:wordWrap/>
        <w:overflowPunct/>
        <w:topLinePunct/>
        <w:bidi w:val="0"/>
        <w:rPr>
          <w:rFonts w:hint="eastAsia"/>
          <w:lang w:val="en-US" w:eastAsia="zh-CN"/>
        </w:rPr>
      </w:pPr>
      <w:r>
        <w:rPr>
          <w:rFonts w:hint="eastAsia"/>
          <w:lang w:val="en-US" w:eastAsia="zh-CN"/>
        </w:rPr>
        <w:t>各部门经理主要学生部门管理方面内容，基层员工主要学习操作类专业技能。</w:t>
      </w:r>
    </w:p>
    <w:p w14:paraId="061B0CE6">
      <w:pPr>
        <w:pStyle w:val="31"/>
        <w:keepLines w:val="0"/>
        <w:pageBreakBefore w:val="0"/>
        <w:widowControl/>
        <w:wordWrap/>
        <w:overflowPunct/>
        <w:topLinePunct/>
        <w:bidi w:val="0"/>
        <w:rPr>
          <w:rFonts w:hint="eastAsia"/>
          <w:lang w:val="en-US" w:eastAsia="zh-CN"/>
        </w:rPr>
      </w:pPr>
      <w:bookmarkStart w:id="38" w:name="_Toc28551"/>
      <w:r>
        <w:rPr>
          <w:rFonts w:hint="eastAsia"/>
          <w:lang w:val="en-US" w:eastAsia="zh-CN"/>
        </w:rPr>
        <w:t>培训形式</w:t>
      </w:r>
      <w:bookmarkEnd w:id="38"/>
    </w:p>
    <w:p w14:paraId="3D2A2A3C">
      <w:pPr>
        <w:pStyle w:val="29"/>
        <w:keepLines w:val="0"/>
        <w:pageBreakBefore w:val="0"/>
        <w:widowControl/>
        <w:wordWrap/>
        <w:overflowPunct/>
        <w:topLinePunct/>
        <w:bidi w:val="0"/>
      </w:pPr>
      <w:r>
        <w:t>讲授法、讨论法、案例法、管理游戏法、外出观摩、外出培训学习、脱岗进修等</w:t>
      </w:r>
    </w:p>
    <w:p w14:paraId="09B6F23F">
      <w:pPr>
        <w:pStyle w:val="31"/>
        <w:keepLines w:val="0"/>
        <w:pageBreakBefore w:val="0"/>
        <w:widowControl/>
        <w:wordWrap/>
        <w:overflowPunct/>
        <w:topLinePunct/>
        <w:bidi w:val="0"/>
        <w:rPr>
          <w:rFonts w:hint="default"/>
          <w:lang w:val="en-US" w:eastAsia="zh-CN"/>
        </w:rPr>
      </w:pPr>
      <w:bookmarkStart w:id="39" w:name="_Toc18952"/>
      <w:r>
        <w:rPr>
          <w:rFonts w:hint="eastAsia"/>
          <w:lang w:val="en-US" w:eastAsia="zh-CN"/>
        </w:rPr>
        <w:t>培训实施</w:t>
      </w:r>
      <w:bookmarkEnd w:id="39"/>
    </w:p>
    <w:p w14:paraId="6E40A5B4">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根据公司发展的规划及各部门的业务之需要，选择合适的培训机</w:t>
      </w:r>
      <w:r>
        <w:rPr>
          <w:rFonts w:ascii="宋体" w:hAnsi="宋体" w:eastAsia="宋体" w:cs="宋体"/>
          <w:spacing w:val="-1"/>
          <w:sz w:val="24"/>
          <w:szCs w:val="24"/>
        </w:rPr>
        <w:t>构，聘请专业讲师来公司培训。</w:t>
      </w:r>
    </w:p>
    <w:p w14:paraId="4E2B974D">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负责向培训讲师（机构）介绍公司概况，进行企业文化方面的沟</w:t>
      </w:r>
      <w:r>
        <w:rPr>
          <w:rFonts w:ascii="宋体" w:hAnsi="宋体" w:eastAsia="宋体" w:cs="宋体"/>
          <w:spacing w:val="-1"/>
          <w:sz w:val="24"/>
          <w:szCs w:val="24"/>
        </w:rPr>
        <w:t>通与</w:t>
      </w:r>
      <w:r>
        <w:rPr>
          <w:rFonts w:ascii="宋体" w:hAnsi="宋体" w:eastAsia="宋体" w:cs="宋体"/>
          <w:sz w:val="24"/>
          <w:szCs w:val="24"/>
        </w:rPr>
        <w:t>交流，确保培训导向与企业文化相一致。</w:t>
      </w:r>
    </w:p>
    <w:p w14:paraId="7C92AF6D">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在组织过程中，要对培训时间、地点、参加人员等方面进行落实。</w:t>
      </w:r>
    </w:p>
    <w:p w14:paraId="5B2DF758">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参训人员要保证培训出勤，各部门不得随意召回培训人员，需配合保证培训质量。</w:t>
      </w:r>
    </w:p>
    <w:p w14:paraId="00F6D84F">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培训结束后，参加培训人员需在三日内写出总结报告，上报</w:t>
      </w:r>
      <w:r>
        <w:rPr>
          <w:rFonts w:hint="eastAsia" w:ascii="宋体" w:hAnsi="宋体" w:eastAsia="宋体" w:cs="宋体"/>
          <w:sz w:val="24"/>
          <w:szCs w:val="24"/>
          <w:lang w:eastAsia="zh-CN"/>
        </w:rPr>
        <w:t>人力部</w:t>
      </w:r>
      <w:r>
        <w:rPr>
          <w:rFonts w:ascii="宋体" w:hAnsi="宋体" w:eastAsia="宋体" w:cs="宋体"/>
          <w:sz w:val="24"/>
          <w:szCs w:val="24"/>
        </w:rPr>
        <w:t>，培训报告要针对培训专题，结合公司实际，拿出解决问题的办法和措施，以促进学</w:t>
      </w:r>
    </w:p>
    <w:p w14:paraId="5F341D59">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习成果的转化。</w:t>
      </w:r>
      <w:r>
        <w:rPr>
          <w:rFonts w:hint="eastAsia" w:ascii="宋体" w:hAnsi="宋体" w:eastAsia="宋体" w:cs="宋体"/>
          <w:sz w:val="24"/>
          <w:szCs w:val="24"/>
          <w:lang w:eastAsia="zh-CN"/>
        </w:rPr>
        <w:t>人力部</w:t>
      </w:r>
      <w:r>
        <w:rPr>
          <w:rFonts w:ascii="宋体" w:hAnsi="宋体" w:eastAsia="宋体" w:cs="宋体"/>
          <w:sz w:val="24"/>
          <w:szCs w:val="24"/>
        </w:rPr>
        <w:t>对其培训成果做出评估。</w:t>
      </w:r>
    </w:p>
    <w:p w14:paraId="308D76FF">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员工在培训期间因违反培训制度给公司造成损害的，应承担相应的责任。</w:t>
      </w:r>
    </w:p>
    <w:p w14:paraId="0304FFC4">
      <w:pPr>
        <w:pStyle w:val="30"/>
        <w:keepLines w:val="0"/>
        <w:pageBreakBefore w:val="0"/>
        <w:widowControl/>
        <w:wordWrap/>
        <w:overflowPunct/>
        <w:bidi w:val="0"/>
      </w:pPr>
      <w:bookmarkStart w:id="40" w:name="bookmark5"/>
      <w:bookmarkEnd w:id="40"/>
      <w:bookmarkStart w:id="41" w:name="_Toc26314"/>
      <w:r>
        <w:t>培训的考核</w:t>
      </w:r>
      <w:bookmarkEnd w:id="41"/>
    </w:p>
    <w:p w14:paraId="0FA9003D">
      <w:pPr>
        <w:pStyle w:val="29"/>
        <w:keepLines w:val="0"/>
        <w:pageBreakBefore w:val="0"/>
        <w:widowControl/>
        <w:wordWrap/>
        <w:overflowPunct/>
        <w:topLinePunct/>
        <w:bidi w:val="0"/>
      </w:pPr>
      <w:r>
        <w:t>公司员工有参加培训的权利，同时参加培训也是每个员工的义务。员工对于参加的每项培训，都需要认真对待，按时参加，公司也会进行严格考核。</w:t>
      </w:r>
    </w:p>
    <w:p w14:paraId="6A3C1375">
      <w:pPr>
        <w:pStyle w:val="31"/>
        <w:keepLines w:val="0"/>
        <w:pageBreakBefore w:val="0"/>
        <w:widowControl/>
        <w:wordWrap/>
        <w:overflowPunct/>
        <w:bidi w:val="0"/>
      </w:pPr>
      <w:bookmarkStart w:id="42" w:name="_Toc30503"/>
      <w:r>
        <w:t>考勤要求</w:t>
      </w:r>
      <w:bookmarkEnd w:id="42"/>
    </w:p>
    <w:p w14:paraId="56D71F34">
      <w:pPr>
        <w:keepLines w:val="0"/>
        <w:pageBreakBefore w:val="0"/>
        <w:widowControl/>
        <w:numPr>
          <w:ilvl w:val="0"/>
          <w:numId w:val="17"/>
        </w:numPr>
        <w:wordWrap/>
        <w:overflowPunct/>
        <w:topLinePunct/>
        <w:bidi w:val="0"/>
        <w:spacing w:before="176" w:line="360" w:lineRule="auto"/>
        <w:ind w:left="425" w:leftChars="0" w:right="308" w:hanging="425" w:firstLineChars="0"/>
        <w:jc w:val="both"/>
        <w:rPr>
          <w:rFonts w:ascii="宋体" w:hAnsi="宋体" w:eastAsia="宋体" w:cs="宋体"/>
          <w:sz w:val="24"/>
          <w:szCs w:val="24"/>
        </w:rPr>
      </w:pPr>
      <w:r>
        <w:rPr>
          <w:rFonts w:ascii="宋体" w:hAnsi="宋体" w:eastAsia="宋体" w:cs="宋体"/>
          <w:spacing w:val="-1"/>
          <w:sz w:val="24"/>
          <w:szCs w:val="24"/>
        </w:rPr>
        <w:t>公司安排的培训，受训人员一经确定，须按时到场，因故不能参加者，</w:t>
      </w:r>
      <w:r>
        <w:rPr>
          <w:rFonts w:ascii="宋体" w:hAnsi="宋体" w:eastAsia="宋体" w:cs="宋体"/>
          <w:spacing w:val="-7"/>
          <w:sz w:val="24"/>
          <w:szCs w:val="24"/>
        </w:rPr>
        <w:t>必须提前请假，经部门经理同意后，</w:t>
      </w:r>
      <w:r>
        <w:rPr>
          <w:rFonts w:hint="eastAsia" w:ascii="宋体" w:hAnsi="宋体" w:eastAsia="宋体" w:cs="宋体"/>
          <w:spacing w:val="-7"/>
          <w:sz w:val="24"/>
          <w:szCs w:val="24"/>
          <w:lang w:val="en-US" w:eastAsia="zh-CN"/>
        </w:rPr>
        <w:t>须</w:t>
      </w:r>
      <w:r>
        <w:rPr>
          <w:rFonts w:ascii="宋体" w:hAnsi="宋体" w:eastAsia="宋体" w:cs="宋体"/>
          <w:spacing w:val="-7"/>
          <w:sz w:val="24"/>
          <w:szCs w:val="24"/>
        </w:rPr>
        <w:t>以书面形式通知</w:t>
      </w:r>
      <w:r>
        <w:rPr>
          <w:rFonts w:hint="eastAsia" w:ascii="宋体" w:hAnsi="宋体" w:eastAsia="宋体" w:cs="宋体"/>
          <w:spacing w:val="-7"/>
          <w:sz w:val="24"/>
          <w:szCs w:val="24"/>
          <w:lang w:eastAsia="zh-CN"/>
        </w:rPr>
        <w:t>人力部</w:t>
      </w:r>
      <w:r>
        <w:rPr>
          <w:rFonts w:ascii="宋体" w:hAnsi="宋体" w:eastAsia="宋体" w:cs="宋体"/>
          <w:spacing w:val="-8"/>
          <w:sz w:val="24"/>
          <w:szCs w:val="24"/>
        </w:rPr>
        <w:t>，获批准后方可缺席。</w:t>
      </w:r>
      <w:r>
        <w:rPr>
          <w:rFonts w:ascii="宋体" w:hAnsi="宋体" w:eastAsia="宋体" w:cs="宋体"/>
          <w:spacing w:val="-1"/>
          <w:sz w:val="24"/>
          <w:szCs w:val="24"/>
        </w:rPr>
        <w:t>如果没有按照规定程序请假，将按旷工处理。</w:t>
      </w:r>
    </w:p>
    <w:p w14:paraId="425B6B3B">
      <w:pPr>
        <w:keepLines w:val="0"/>
        <w:pageBreakBefore w:val="0"/>
        <w:widowControl/>
        <w:numPr>
          <w:ilvl w:val="0"/>
          <w:numId w:val="17"/>
        </w:numPr>
        <w:wordWrap/>
        <w:overflowPunct/>
        <w:topLinePunct/>
        <w:bidi w:val="0"/>
        <w:spacing w:line="360" w:lineRule="auto"/>
        <w:ind w:left="425" w:leftChars="0" w:right="393" w:hanging="425" w:firstLineChars="0"/>
        <w:rPr>
          <w:rFonts w:ascii="宋体" w:hAnsi="宋体" w:eastAsia="宋体" w:cs="宋体"/>
          <w:sz w:val="24"/>
          <w:szCs w:val="24"/>
        </w:rPr>
      </w:pPr>
      <w:r>
        <w:rPr>
          <w:rFonts w:ascii="宋体" w:hAnsi="宋体" w:eastAsia="宋体" w:cs="宋体"/>
          <w:spacing w:val="-3"/>
          <w:sz w:val="24"/>
          <w:szCs w:val="24"/>
        </w:rPr>
        <w:t>公司统一组织的培训项目，由</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负责考勤</w:t>
      </w:r>
      <w:r>
        <w:rPr>
          <w:rFonts w:ascii="宋体" w:hAnsi="宋体" w:eastAsia="宋体" w:cs="宋体"/>
          <w:spacing w:val="-4"/>
          <w:sz w:val="24"/>
          <w:szCs w:val="24"/>
        </w:rPr>
        <w:t>，参训人员按要求在考勤表上签到。</w:t>
      </w:r>
    </w:p>
    <w:p w14:paraId="2709E1AC">
      <w:pPr>
        <w:keepLines w:val="0"/>
        <w:pageBreakBefore w:val="0"/>
        <w:widowControl/>
        <w:numPr>
          <w:ilvl w:val="0"/>
          <w:numId w:val="17"/>
        </w:numPr>
        <w:wordWrap/>
        <w:overflowPunct/>
        <w:topLinePunct/>
        <w:bidi w:val="0"/>
        <w:spacing w:before="3" w:line="359" w:lineRule="auto"/>
        <w:ind w:left="425" w:leftChars="0" w:right="393" w:hanging="425" w:firstLineChars="0"/>
        <w:rPr>
          <w:rFonts w:ascii="宋体" w:hAnsi="宋体" w:eastAsia="宋体" w:cs="宋体"/>
          <w:sz w:val="24"/>
          <w:szCs w:val="24"/>
        </w:rPr>
      </w:pPr>
      <w:r>
        <w:rPr>
          <w:rFonts w:ascii="宋体" w:hAnsi="宋体" w:eastAsia="宋体" w:cs="宋体"/>
          <w:spacing w:val="-3"/>
          <w:sz w:val="24"/>
          <w:szCs w:val="24"/>
        </w:rPr>
        <w:t>对各部门组织的培训项目，由部门负责考勤，培训结束后将培训</w:t>
      </w:r>
      <w:r>
        <w:rPr>
          <w:rFonts w:ascii="宋体" w:hAnsi="宋体" w:eastAsia="宋体" w:cs="宋体"/>
          <w:spacing w:val="-4"/>
          <w:sz w:val="24"/>
          <w:szCs w:val="24"/>
        </w:rPr>
        <w:t>出勤情况向</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通报。</w:t>
      </w:r>
    </w:p>
    <w:p w14:paraId="6E68F3CE">
      <w:pPr>
        <w:pStyle w:val="31"/>
        <w:keepLines w:val="0"/>
        <w:pageBreakBefore w:val="0"/>
        <w:widowControl/>
        <w:wordWrap/>
        <w:overflowPunct/>
        <w:bidi w:val="0"/>
      </w:pPr>
      <w:bookmarkStart w:id="43" w:name="_Toc4052"/>
      <w:r>
        <w:t>考核要求</w:t>
      </w:r>
      <w:bookmarkEnd w:id="43"/>
    </w:p>
    <w:p w14:paraId="68ABF947">
      <w:pPr>
        <w:keepNext w:val="0"/>
        <w:keepLines w:val="0"/>
        <w:pageBreakBefore w:val="0"/>
        <w:widowControl/>
        <w:numPr>
          <w:ilvl w:val="0"/>
          <w:numId w:val="18"/>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培训结束后，视实际需要进行培考核，受训员工按照要</w:t>
      </w:r>
      <w:r>
        <w:rPr>
          <w:rFonts w:ascii="宋体" w:hAnsi="宋体" w:eastAsia="宋体" w:cs="宋体"/>
          <w:spacing w:val="-4"/>
          <w:sz w:val="24"/>
          <w:szCs w:val="24"/>
        </w:rPr>
        <w:t>求独立完成测</w:t>
      </w:r>
      <w:r>
        <w:rPr>
          <w:rFonts w:ascii="宋体" w:hAnsi="宋体" w:eastAsia="宋体" w:cs="宋体"/>
          <w:spacing w:val="-1"/>
          <w:sz w:val="24"/>
          <w:szCs w:val="24"/>
        </w:rPr>
        <w:t>试，达不到要求者给予相应处理。</w:t>
      </w:r>
    </w:p>
    <w:p w14:paraId="285DCF36">
      <w:pPr>
        <w:keepNext w:val="0"/>
        <w:keepLines w:val="0"/>
        <w:pageBreakBefore w:val="0"/>
        <w:widowControl/>
        <w:numPr>
          <w:ilvl w:val="0"/>
          <w:numId w:val="18"/>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6"/>
          <w:sz w:val="24"/>
          <w:szCs w:val="24"/>
        </w:rPr>
        <w:t>受训人员按要求填写“培训评价反馈表</w:t>
      </w:r>
      <w:r>
        <w:rPr>
          <w:rFonts w:ascii="宋体" w:hAnsi="宋体" w:eastAsia="宋体" w:cs="宋体"/>
          <w:spacing w:val="-88"/>
          <w:sz w:val="24"/>
          <w:szCs w:val="24"/>
        </w:rPr>
        <w:t xml:space="preserve"> </w:t>
      </w:r>
      <w:r>
        <w:rPr>
          <w:rFonts w:ascii="宋体" w:hAnsi="宋体" w:eastAsia="宋体" w:cs="宋体"/>
          <w:spacing w:val="-6"/>
          <w:sz w:val="24"/>
          <w:szCs w:val="24"/>
        </w:rPr>
        <w:t>”，并进</w:t>
      </w:r>
      <w:r>
        <w:rPr>
          <w:rFonts w:ascii="宋体" w:hAnsi="宋体" w:eastAsia="宋体" w:cs="宋体"/>
          <w:spacing w:val="-7"/>
          <w:sz w:val="24"/>
          <w:szCs w:val="24"/>
        </w:rPr>
        <w:t>行培训总结。</w:t>
      </w:r>
    </w:p>
    <w:p w14:paraId="4931A3DC">
      <w:pPr>
        <w:keepNext w:val="0"/>
        <w:keepLines w:val="0"/>
        <w:pageBreakBefore w:val="0"/>
        <w:widowControl/>
        <w:numPr>
          <w:ilvl w:val="0"/>
          <w:numId w:val="18"/>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对于参加外派培训的员工，返回公司后1周内应提交</w:t>
      </w:r>
      <w:r>
        <w:rPr>
          <w:rFonts w:ascii="宋体" w:hAnsi="宋体" w:eastAsia="宋体" w:cs="宋体"/>
          <w:spacing w:val="-1"/>
          <w:sz w:val="24"/>
          <w:szCs w:val="24"/>
        </w:rPr>
        <w:t>培训资料和培训报告</w:t>
      </w:r>
    </w:p>
    <w:p w14:paraId="2C4D5677">
      <w:pPr>
        <w:pStyle w:val="28"/>
        <w:keepLines w:val="0"/>
        <w:pageBreakBefore w:val="0"/>
        <w:widowControl/>
        <w:wordWrap/>
        <w:overflowPunct/>
        <w:topLinePunct/>
        <w:bidi w:val="0"/>
      </w:pPr>
      <w:bookmarkStart w:id="44" w:name="bookmark6"/>
      <w:bookmarkEnd w:id="44"/>
      <w:bookmarkStart w:id="45" w:name="_Toc12142"/>
      <w:r>
        <w:t>附则</w:t>
      </w:r>
      <w:bookmarkEnd w:id="45"/>
    </w:p>
    <w:p w14:paraId="02F24E85">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w:t>
      </w:r>
    </w:p>
    <w:p w14:paraId="28FFE5E5">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本制度自颁布之日起施行。</w:t>
      </w:r>
    </w:p>
    <w:p w14:paraId="0C2549BF">
      <w:pPr>
        <w:pStyle w:val="28"/>
        <w:keepLines w:val="0"/>
        <w:pageBreakBefore w:val="0"/>
        <w:widowControl/>
        <w:wordWrap/>
        <w:overflowPunct/>
        <w:topLinePunct/>
        <w:bidi w:val="0"/>
        <w:rPr>
          <w:rFonts w:hint="eastAsia"/>
          <w:lang w:val="en-US" w:eastAsia="zh-CN"/>
        </w:rPr>
      </w:pPr>
      <w:bookmarkStart w:id="46" w:name="_Toc32493"/>
      <w:r>
        <w:rPr>
          <w:rFonts w:hint="eastAsia"/>
          <w:lang w:val="en-US" w:eastAsia="zh-CN"/>
        </w:rPr>
        <w:t>附件</w:t>
      </w:r>
      <w:bookmarkEnd w:id="46"/>
    </w:p>
    <w:p w14:paraId="0B3EB7FF">
      <w:pPr>
        <w:pStyle w:val="29"/>
        <w:keepLines w:val="0"/>
        <w:pageBreakBefore w:val="0"/>
        <w:widowControl/>
        <w:wordWrap/>
        <w:overflowPunct/>
        <w:topLinePunct/>
        <w:bidi w:val="0"/>
        <w:rPr>
          <w:rFonts w:hint="default"/>
          <w:lang w:val="en-US" w:eastAsia="zh-CN"/>
        </w:rPr>
      </w:pPr>
      <w:r>
        <w:rPr>
          <w:rFonts w:hint="eastAsia"/>
          <w:lang w:val="en-US" w:eastAsia="zh-CN"/>
        </w:rPr>
        <w:t>无</w:t>
      </w:r>
    </w:p>
    <w:p w14:paraId="2F45EE10">
      <w:bookmarkStart w:id="47" w:name="_Toc1018"/>
      <w:r>
        <w:br w:type="page"/>
      </w:r>
    </w:p>
    <w:p w14:paraId="0B408585">
      <w:pPr>
        <w:pStyle w:val="28"/>
        <w:keepLines w:val="0"/>
        <w:pageBreakBefore w:val="0"/>
        <w:widowControl/>
        <w:wordWrap/>
        <w:overflowPunct/>
        <w:topLinePunct/>
        <w:bidi w:val="0"/>
      </w:pPr>
      <w:bookmarkStart w:id="48" w:name="_GoBack"/>
      <w:bookmarkEnd w:id="48"/>
      <w:r>
        <w:t>记录</w:t>
      </w:r>
      <w:bookmarkEnd w:id="47"/>
    </w:p>
    <w:tbl>
      <w:tblPr>
        <w:tblStyle w:val="26"/>
        <w:tblW w:w="7937"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6"/>
        <w:gridCol w:w="1845"/>
        <w:gridCol w:w="2292"/>
        <w:gridCol w:w="1056"/>
        <w:gridCol w:w="1188"/>
        <w:gridCol w:w="1010"/>
      </w:tblGrid>
      <w:tr w14:paraId="5185171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3" w:hRule="atLeast"/>
        </w:trPr>
        <w:tc>
          <w:tcPr>
            <w:tcW w:w="546" w:type="dxa"/>
            <w:vAlign w:val="top"/>
          </w:tcPr>
          <w:p w14:paraId="29D92619">
            <w:pPr>
              <w:keepLines w:val="0"/>
              <w:pageBreakBefore w:val="0"/>
              <w:widowControl/>
              <w:wordWrap/>
              <w:overflowPunct/>
              <w:topLinePunct/>
              <w:bidi w:val="0"/>
              <w:spacing w:before="191" w:line="210" w:lineRule="auto"/>
              <w:ind w:left="40"/>
              <w:rPr>
                <w:rFonts w:hint="eastAsia" w:ascii="宋体" w:hAnsi="宋体" w:eastAsia="宋体" w:cs="宋体"/>
                <w:sz w:val="24"/>
                <w:szCs w:val="24"/>
                <w:lang w:val="en-US" w:eastAsia="zh-CN"/>
              </w:rPr>
            </w:pPr>
            <w:r>
              <w:rPr>
                <w:rFonts w:hint="eastAsia" w:ascii="宋体" w:hAnsi="宋体" w:eastAsia="宋体" w:cs="宋体"/>
                <w:b/>
                <w:bCs/>
                <w:spacing w:val="-5"/>
                <w:sz w:val="24"/>
                <w:szCs w:val="24"/>
                <w:lang w:val="en-US" w:eastAsia="zh-CN"/>
              </w:rPr>
              <w:t>序号</w:t>
            </w:r>
          </w:p>
        </w:tc>
        <w:tc>
          <w:tcPr>
            <w:tcW w:w="1845" w:type="dxa"/>
            <w:vAlign w:val="top"/>
          </w:tcPr>
          <w:p w14:paraId="02DF80D4">
            <w:pPr>
              <w:keepLines w:val="0"/>
              <w:pageBreakBefore w:val="0"/>
              <w:widowControl/>
              <w:wordWrap/>
              <w:overflowPunct/>
              <w:topLinePunct/>
              <w:bidi w:val="0"/>
              <w:spacing w:before="197" w:line="219" w:lineRule="auto"/>
              <w:ind w:left="488"/>
              <w:jc w:val="center"/>
              <w:rPr>
                <w:rFonts w:ascii="宋体" w:hAnsi="宋体" w:eastAsia="宋体" w:cs="宋体"/>
                <w:sz w:val="24"/>
                <w:szCs w:val="24"/>
              </w:rPr>
            </w:pPr>
            <w:r>
              <w:rPr>
                <w:rFonts w:ascii="宋体" w:hAnsi="宋体" w:eastAsia="宋体" w:cs="宋体"/>
                <w:b/>
                <w:bCs/>
                <w:spacing w:val="-5"/>
                <w:sz w:val="24"/>
                <w:szCs w:val="24"/>
              </w:rPr>
              <w:t>记录编号</w:t>
            </w:r>
          </w:p>
        </w:tc>
        <w:tc>
          <w:tcPr>
            <w:tcW w:w="2292" w:type="dxa"/>
            <w:vAlign w:val="top"/>
          </w:tcPr>
          <w:p w14:paraId="63F4C3F5">
            <w:pPr>
              <w:keepLines w:val="0"/>
              <w:pageBreakBefore w:val="0"/>
              <w:widowControl/>
              <w:wordWrap/>
              <w:overflowPunct/>
              <w:topLinePunct/>
              <w:bidi w:val="0"/>
              <w:spacing w:before="197" w:line="221" w:lineRule="auto"/>
              <w:ind w:left="412"/>
              <w:jc w:val="center"/>
              <w:rPr>
                <w:rFonts w:ascii="宋体" w:hAnsi="宋体" w:eastAsia="宋体" w:cs="宋体"/>
                <w:sz w:val="24"/>
                <w:szCs w:val="24"/>
              </w:rPr>
            </w:pPr>
            <w:r>
              <w:rPr>
                <w:rFonts w:ascii="宋体" w:hAnsi="宋体" w:eastAsia="宋体" w:cs="宋体"/>
                <w:b/>
                <w:bCs/>
                <w:spacing w:val="-11"/>
                <w:sz w:val="24"/>
                <w:szCs w:val="24"/>
              </w:rPr>
              <w:t>记</w:t>
            </w:r>
            <w:r>
              <w:rPr>
                <w:rFonts w:hint="eastAsia" w:ascii="宋体" w:hAnsi="宋体" w:eastAsia="宋体" w:cs="宋体"/>
                <w:b/>
                <w:bCs/>
                <w:spacing w:val="-11"/>
                <w:sz w:val="24"/>
                <w:szCs w:val="24"/>
                <w:lang w:val="en-US" w:eastAsia="zh-CN"/>
              </w:rPr>
              <w:t>录</w:t>
            </w:r>
            <w:r>
              <w:rPr>
                <w:rFonts w:ascii="宋体" w:hAnsi="宋体" w:eastAsia="宋体" w:cs="宋体"/>
                <w:b/>
                <w:bCs/>
                <w:spacing w:val="-11"/>
                <w:sz w:val="24"/>
                <w:szCs w:val="24"/>
              </w:rPr>
              <w:t>名称</w:t>
            </w:r>
          </w:p>
        </w:tc>
        <w:tc>
          <w:tcPr>
            <w:tcW w:w="1056" w:type="dxa"/>
            <w:vAlign w:val="top"/>
          </w:tcPr>
          <w:p w14:paraId="1C483DD5">
            <w:pPr>
              <w:keepLines w:val="0"/>
              <w:pageBreakBefore w:val="0"/>
              <w:widowControl/>
              <w:wordWrap/>
              <w:overflowPunct/>
              <w:topLinePunct/>
              <w:bidi w:val="0"/>
              <w:spacing w:before="197" w:line="219" w:lineRule="auto"/>
              <w:jc w:val="center"/>
              <w:rPr>
                <w:rFonts w:ascii="宋体" w:hAnsi="宋体" w:eastAsia="宋体" w:cs="宋体"/>
                <w:sz w:val="24"/>
                <w:szCs w:val="24"/>
              </w:rPr>
            </w:pPr>
            <w:r>
              <w:rPr>
                <w:rFonts w:ascii="宋体" w:hAnsi="宋体" w:eastAsia="宋体" w:cs="宋体"/>
                <w:b/>
                <w:bCs/>
                <w:spacing w:val="-5"/>
                <w:sz w:val="24"/>
                <w:szCs w:val="24"/>
              </w:rPr>
              <w:t>使用部门</w:t>
            </w:r>
          </w:p>
        </w:tc>
        <w:tc>
          <w:tcPr>
            <w:tcW w:w="1188" w:type="dxa"/>
            <w:vAlign w:val="top"/>
          </w:tcPr>
          <w:p w14:paraId="76B990F1">
            <w:pPr>
              <w:keepLines w:val="0"/>
              <w:pageBreakBefore w:val="0"/>
              <w:widowControl/>
              <w:wordWrap/>
              <w:overflowPunct/>
              <w:topLinePunct/>
              <w:bidi w:val="0"/>
              <w:spacing w:before="197" w:line="219" w:lineRule="auto"/>
              <w:jc w:val="center"/>
              <w:rPr>
                <w:rFonts w:ascii="宋体" w:hAnsi="宋体" w:eastAsia="宋体" w:cs="宋体"/>
                <w:sz w:val="24"/>
                <w:szCs w:val="24"/>
              </w:rPr>
            </w:pPr>
            <w:r>
              <w:rPr>
                <w:rFonts w:ascii="宋体" w:hAnsi="宋体" w:eastAsia="宋体" w:cs="宋体"/>
                <w:b/>
                <w:bCs/>
                <w:spacing w:val="-5"/>
                <w:sz w:val="24"/>
                <w:szCs w:val="24"/>
              </w:rPr>
              <w:t>保存部门</w:t>
            </w:r>
          </w:p>
        </w:tc>
        <w:tc>
          <w:tcPr>
            <w:tcW w:w="1010" w:type="dxa"/>
            <w:vAlign w:val="top"/>
          </w:tcPr>
          <w:p w14:paraId="739222CC">
            <w:pPr>
              <w:keepLines w:val="0"/>
              <w:pageBreakBefore w:val="0"/>
              <w:widowControl/>
              <w:wordWrap/>
              <w:overflowPunct/>
              <w:topLinePunct/>
              <w:bidi w:val="0"/>
              <w:spacing w:before="197" w:line="219" w:lineRule="auto"/>
              <w:jc w:val="center"/>
              <w:rPr>
                <w:rFonts w:hint="eastAsia" w:ascii="宋体" w:hAnsi="宋体" w:eastAsia="宋体" w:cs="宋体"/>
                <w:sz w:val="24"/>
                <w:szCs w:val="24"/>
                <w:lang w:val="en-US" w:eastAsia="zh-CN"/>
              </w:rPr>
            </w:pPr>
            <w:r>
              <w:rPr>
                <w:rFonts w:hint="eastAsia" w:ascii="宋体" w:hAnsi="宋体" w:eastAsia="宋体" w:cs="宋体"/>
                <w:b/>
                <w:bCs/>
                <w:spacing w:val="-5"/>
                <w:sz w:val="24"/>
                <w:szCs w:val="24"/>
                <w:lang w:val="en-US" w:eastAsia="zh-CN"/>
              </w:rPr>
              <w:t>存期</w:t>
            </w:r>
          </w:p>
        </w:tc>
      </w:tr>
      <w:tr w14:paraId="4CDCE37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546" w:type="dxa"/>
            <w:vAlign w:val="top"/>
          </w:tcPr>
          <w:p w14:paraId="422A90E8">
            <w:pPr>
              <w:keepLines w:val="0"/>
              <w:pageBreakBefore w:val="0"/>
              <w:widowControl/>
              <w:wordWrap/>
              <w:overflowPunct/>
              <w:topLinePunct/>
              <w:bidi w:val="0"/>
              <w:spacing w:before="100" w:line="241" w:lineRule="auto"/>
              <w:ind w:left="274"/>
              <w:rPr>
                <w:rFonts w:ascii="宋体" w:hAnsi="宋体" w:eastAsia="宋体" w:cs="宋体"/>
                <w:b/>
                <w:bCs/>
                <w:sz w:val="24"/>
                <w:szCs w:val="24"/>
              </w:rPr>
            </w:pPr>
            <w:r>
              <w:rPr>
                <w:rFonts w:ascii="宋体" w:hAnsi="宋体" w:eastAsia="宋体" w:cs="宋体"/>
                <w:b/>
                <w:bCs/>
                <w:sz w:val="24"/>
                <w:szCs w:val="24"/>
              </w:rPr>
              <w:t>1</w:t>
            </w:r>
          </w:p>
        </w:tc>
        <w:tc>
          <w:tcPr>
            <w:tcW w:w="1845" w:type="dxa"/>
            <w:vAlign w:val="top"/>
          </w:tcPr>
          <w:p w14:paraId="6595AD7B">
            <w:pPr>
              <w:keepLines w:val="0"/>
              <w:pageBreakBefore w:val="0"/>
              <w:widowControl/>
              <w:wordWrap/>
              <w:overflowPunct/>
              <w:topLinePunct/>
              <w:bidi w:val="0"/>
              <w:spacing w:before="100"/>
              <w:ind w:left="204"/>
              <w:rPr>
                <w:rFonts w:ascii="宋体" w:hAnsi="宋体" w:eastAsia="宋体" w:cs="宋体"/>
                <w:sz w:val="24"/>
                <w:szCs w:val="24"/>
              </w:rPr>
            </w:pPr>
            <w:r>
              <w:rPr>
                <w:rFonts w:ascii="宋体" w:hAnsi="宋体" w:eastAsia="宋体" w:cs="宋体"/>
                <w:spacing w:val="-2"/>
                <w:sz w:val="24"/>
                <w:szCs w:val="24"/>
              </w:rPr>
              <w:t>ITSS-09-03-01</w:t>
            </w:r>
          </w:p>
        </w:tc>
        <w:tc>
          <w:tcPr>
            <w:tcW w:w="2292" w:type="dxa"/>
            <w:vAlign w:val="top"/>
          </w:tcPr>
          <w:p w14:paraId="4530305B">
            <w:pPr>
              <w:keepLines w:val="0"/>
              <w:pageBreakBefore w:val="0"/>
              <w:widowControl/>
              <w:wordWrap/>
              <w:overflowPunct/>
              <w:topLinePunct/>
              <w:bidi w:val="0"/>
              <w:spacing w:before="100" w:line="220" w:lineRule="auto"/>
              <w:ind w:left="120"/>
              <w:rPr>
                <w:rFonts w:ascii="宋体" w:hAnsi="宋体" w:eastAsia="宋体" w:cs="宋体"/>
                <w:sz w:val="24"/>
                <w:szCs w:val="24"/>
              </w:rPr>
            </w:pPr>
            <w:r>
              <w:rPr>
                <w:rFonts w:ascii="宋体" w:hAnsi="宋体" w:eastAsia="宋体" w:cs="宋体"/>
                <w:spacing w:val="-3"/>
                <w:sz w:val="24"/>
                <w:szCs w:val="24"/>
              </w:rPr>
              <w:t>员工培训需求调查表</w:t>
            </w:r>
          </w:p>
        </w:tc>
        <w:tc>
          <w:tcPr>
            <w:tcW w:w="1056" w:type="dxa"/>
            <w:vAlign w:val="top"/>
          </w:tcPr>
          <w:p w14:paraId="7650ACAD">
            <w:pPr>
              <w:keepLines w:val="0"/>
              <w:pageBreakBefore w:val="0"/>
              <w:widowControl/>
              <w:wordWrap/>
              <w:overflowPunct/>
              <w:topLinePunct/>
              <w:bidi w:val="0"/>
              <w:spacing w:before="101"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538E42C3">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5FD4E824">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58FDDA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0" w:hRule="atLeast"/>
        </w:trPr>
        <w:tc>
          <w:tcPr>
            <w:tcW w:w="546" w:type="dxa"/>
            <w:vAlign w:val="top"/>
          </w:tcPr>
          <w:p w14:paraId="25218246">
            <w:pPr>
              <w:keepLines w:val="0"/>
              <w:pageBreakBefore w:val="0"/>
              <w:widowControl/>
              <w:wordWrap/>
              <w:overflowPunct/>
              <w:topLinePunct/>
              <w:bidi w:val="0"/>
              <w:spacing w:before="97" w:line="241" w:lineRule="auto"/>
              <w:ind w:left="259"/>
              <w:rPr>
                <w:rFonts w:ascii="宋体" w:hAnsi="宋体" w:eastAsia="宋体" w:cs="宋体"/>
                <w:b/>
                <w:bCs/>
                <w:sz w:val="24"/>
                <w:szCs w:val="24"/>
              </w:rPr>
            </w:pPr>
            <w:r>
              <w:rPr>
                <w:rFonts w:ascii="宋体" w:hAnsi="宋体" w:eastAsia="宋体" w:cs="宋体"/>
                <w:b/>
                <w:bCs/>
                <w:sz w:val="24"/>
                <w:szCs w:val="24"/>
              </w:rPr>
              <w:t>2</w:t>
            </w:r>
          </w:p>
        </w:tc>
        <w:tc>
          <w:tcPr>
            <w:tcW w:w="1845" w:type="dxa"/>
            <w:vAlign w:val="top"/>
          </w:tcPr>
          <w:p w14:paraId="21E94D86">
            <w:pPr>
              <w:keepLines w:val="0"/>
              <w:pageBreakBefore w:val="0"/>
              <w:widowControl/>
              <w:wordWrap/>
              <w:overflowPunct/>
              <w:topLinePunct/>
              <w:bidi w:val="0"/>
              <w:spacing w:before="96"/>
              <w:ind w:left="204"/>
              <w:rPr>
                <w:rFonts w:ascii="宋体" w:hAnsi="宋体" w:eastAsia="宋体" w:cs="宋体"/>
                <w:sz w:val="24"/>
                <w:szCs w:val="24"/>
              </w:rPr>
            </w:pPr>
            <w:r>
              <w:rPr>
                <w:rFonts w:ascii="宋体" w:hAnsi="宋体" w:eastAsia="宋体" w:cs="宋体"/>
                <w:spacing w:val="-2"/>
                <w:sz w:val="24"/>
                <w:szCs w:val="24"/>
              </w:rPr>
              <w:t>ITSS-09-03-02</w:t>
            </w:r>
          </w:p>
        </w:tc>
        <w:tc>
          <w:tcPr>
            <w:tcW w:w="2292" w:type="dxa"/>
            <w:vAlign w:val="top"/>
          </w:tcPr>
          <w:p w14:paraId="317C4BA8">
            <w:pPr>
              <w:keepLines w:val="0"/>
              <w:pageBreakBefore w:val="0"/>
              <w:widowControl/>
              <w:wordWrap/>
              <w:overflowPunct/>
              <w:topLinePunct/>
              <w:bidi w:val="0"/>
              <w:spacing w:before="97" w:line="219" w:lineRule="auto"/>
              <w:ind w:left="112"/>
              <w:rPr>
                <w:rFonts w:ascii="宋体" w:hAnsi="宋体" w:eastAsia="宋体" w:cs="宋体"/>
                <w:sz w:val="24"/>
                <w:szCs w:val="24"/>
              </w:rPr>
            </w:pPr>
            <w:r>
              <w:rPr>
                <w:rFonts w:ascii="宋体" w:hAnsi="宋体" w:eastAsia="宋体" w:cs="宋体"/>
                <w:spacing w:val="-2"/>
                <w:sz w:val="24"/>
                <w:szCs w:val="24"/>
              </w:rPr>
              <w:t>年度培训计划表</w:t>
            </w:r>
          </w:p>
        </w:tc>
        <w:tc>
          <w:tcPr>
            <w:tcW w:w="1056" w:type="dxa"/>
            <w:vAlign w:val="top"/>
          </w:tcPr>
          <w:p w14:paraId="650BF38F">
            <w:pPr>
              <w:keepLines w:val="0"/>
              <w:pageBreakBefore w:val="0"/>
              <w:widowControl/>
              <w:wordWrap/>
              <w:overflowPunct/>
              <w:topLinePunct/>
              <w:bidi w:val="0"/>
              <w:spacing w:before="97"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289D3D63">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7577CA8C">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0DAAEB1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9" w:hRule="atLeast"/>
        </w:trPr>
        <w:tc>
          <w:tcPr>
            <w:tcW w:w="546" w:type="dxa"/>
            <w:vAlign w:val="top"/>
          </w:tcPr>
          <w:p w14:paraId="7291F678">
            <w:pPr>
              <w:keepLines w:val="0"/>
              <w:pageBreakBefore w:val="0"/>
              <w:widowControl/>
              <w:wordWrap/>
              <w:overflowPunct/>
              <w:topLinePunct/>
              <w:bidi w:val="0"/>
              <w:spacing w:before="98"/>
              <w:ind w:left="261"/>
              <w:rPr>
                <w:rFonts w:ascii="宋体" w:hAnsi="宋体" w:eastAsia="宋体" w:cs="宋体"/>
                <w:b/>
                <w:bCs/>
                <w:sz w:val="24"/>
                <w:szCs w:val="24"/>
              </w:rPr>
            </w:pPr>
            <w:r>
              <w:rPr>
                <w:rFonts w:ascii="宋体" w:hAnsi="宋体" w:eastAsia="宋体" w:cs="宋体"/>
                <w:b/>
                <w:bCs/>
                <w:sz w:val="24"/>
                <w:szCs w:val="24"/>
              </w:rPr>
              <w:t>3</w:t>
            </w:r>
          </w:p>
        </w:tc>
        <w:tc>
          <w:tcPr>
            <w:tcW w:w="1845" w:type="dxa"/>
            <w:vAlign w:val="top"/>
          </w:tcPr>
          <w:p w14:paraId="5A387192">
            <w:pPr>
              <w:keepLines w:val="0"/>
              <w:pageBreakBefore w:val="0"/>
              <w:widowControl/>
              <w:wordWrap/>
              <w:overflowPunct/>
              <w:topLinePunct/>
              <w:bidi w:val="0"/>
              <w:spacing w:before="98"/>
              <w:ind w:left="204"/>
              <w:rPr>
                <w:rFonts w:ascii="宋体" w:hAnsi="宋体" w:eastAsia="宋体" w:cs="宋体"/>
                <w:sz w:val="24"/>
                <w:szCs w:val="24"/>
              </w:rPr>
            </w:pPr>
            <w:r>
              <w:rPr>
                <w:rFonts w:ascii="宋体" w:hAnsi="宋体" w:eastAsia="宋体" w:cs="宋体"/>
                <w:spacing w:val="-2"/>
                <w:sz w:val="24"/>
                <w:szCs w:val="24"/>
              </w:rPr>
              <w:t>ITSS-09-03-03</w:t>
            </w:r>
          </w:p>
        </w:tc>
        <w:tc>
          <w:tcPr>
            <w:tcW w:w="2292" w:type="dxa"/>
            <w:vAlign w:val="top"/>
          </w:tcPr>
          <w:p w14:paraId="783DBA9D">
            <w:pPr>
              <w:keepLines w:val="0"/>
              <w:pageBreakBefore w:val="0"/>
              <w:widowControl/>
              <w:wordWrap/>
              <w:overflowPunct/>
              <w:topLinePunct/>
              <w:bidi w:val="0"/>
              <w:spacing w:before="98" w:line="220" w:lineRule="auto"/>
              <w:ind w:left="112"/>
              <w:rPr>
                <w:rFonts w:ascii="宋体" w:hAnsi="宋体" w:eastAsia="宋体" w:cs="宋体"/>
                <w:sz w:val="24"/>
                <w:szCs w:val="24"/>
              </w:rPr>
            </w:pPr>
            <w:r>
              <w:rPr>
                <w:rFonts w:ascii="宋体" w:hAnsi="宋体" w:eastAsia="宋体" w:cs="宋体"/>
                <w:spacing w:val="-3"/>
                <w:sz w:val="24"/>
                <w:szCs w:val="24"/>
              </w:rPr>
              <w:t>培训签到表</w:t>
            </w:r>
          </w:p>
        </w:tc>
        <w:tc>
          <w:tcPr>
            <w:tcW w:w="1056" w:type="dxa"/>
            <w:vAlign w:val="top"/>
          </w:tcPr>
          <w:p w14:paraId="2A43B544">
            <w:pPr>
              <w:keepLines w:val="0"/>
              <w:pageBreakBefore w:val="0"/>
              <w:widowControl/>
              <w:wordWrap/>
              <w:overflowPunct/>
              <w:topLinePunct/>
              <w:bidi w:val="0"/>
              <w:spacing w:before="99"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1B0BA5DD">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2C5C8556">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1384343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0" w:hRule="atLeast"/>
        </w:trPr>
        <w:tc>
          <w:tcPr>
            <w:tcW w:w="546" w:type="dxa"/>
            <w:vAlign w:val="top"/>
          </w:tcPr>
          <w:p w14:paraId="3ABD338B">
            <w:pPr>
              <w:keepLines w:val="0"/>
              <w:pageBreakBefore w:val="0"/>
              <w:widowControl/>
              <w:wordWrap/>
              <w:overflowPunct/>
              <w:topLinePunct/>
              <w:bidi w:val="0"/>
              <w:spacing w:before="119" w:line="241" w:lineRule="auto"/>
              <w:ind w:left="255"/>
              <w:rPr>
                <w:rFonts w:ascii="宋体" w:hAnsi="宋体" w:eastAsia="宋体" w:cs="宋体"/>
                <w:b/>
                <w:bCs/>
                <w:sz w:val="24"/>
                <w:szCs w:val="24"/>
              </w:rPr>
            </w:pPr>
            <w:r>
              <w:rPr>
                <w:rFonts w:ascii="宋体" w:hAnsi="宋体" w:eastAsia="宋体" w:cs="宋体"/>
                <w:b/>
                <w:bCs/>
                <w:sz w:val="24"/>
                <w:szCs w:val="24"/>
              </w:rPr>
              <w:t>4</w:t>
            </w:r>
          </w:p>
        </w:tc>
        <w:tc>
          <w:tcPr>
            <w:tcW w:w="1845" w:type="dxa"/>
            <w:vAlign w:val="top"/>
          </w:tcPr>
          <w:p w14:paraId="37588D2D">
            <w:pPr>
              <w:keepLines w:val="0"/>
              <w:pageBreakBefore w:val="0"/>
              <w:widowControl/>
              <w:wordWrap/>
              <w:overflowPunct/>
              <w:topLinePunct/>
              <w:bidi w:val="0"/>
              <w:spacing w:before="118"/>
              <w:ind w:left="204"/>
              <w:rPr>
                <w:rFonts w:ascii="宋体" w:hAnsi="宋体" w:eastAsia="宋体" w:cs="宋体"/>
                <w:sz w:val="24"/>
                <w:szCs w:val="24"/>
              </w:rPr>
            </w:pPr>
            <w:r>
              <w:rPr>
                <w:rFonts w:ascii="宋体" w:hAnsi="宋体" w:eastAsia="宋体" w:cs="宋体"/>
                <w:spacing w:val="-2"/>
                <w:sz w:val="24"/>
                <w:szCs w:val="24"/>
              </w:rPr>
              <w:t>ITSS-09-03-04</w:t>
            </w:r>
          </w:p>
        </w:tc>
        <w:tc>
          <w:tcPr>
            <w:tcW w:w="2292" w:type="dxa"/>
            <w:vAlign w:val="top"/>
          </w:tcPr>
          <w:p w14:paraId="6D786865">
            <w:pPr>
              <w:keepLines w:val="0"/>
              <w:pageBreakBefore w:val="0"/>
              <w:widowControl/>
              <w:wordWrap/>
              <w:overflowPunct/>
              <w:topLinePunct/>
              <w:bidi w:val="0"/>
              <w:spacing w:before="119" w:line="218" w:lineRule="auto"/>
              <w:ind w:left="112"/>
              <w:rPr>
                <w:rFonts w:ascii="宋体" w:hAnsi="宋体" w:eastAsia="宋体" w:cs="宋体"/>
                <w:sz w:val="24"/>
                <w:szCs w:val="24"/>
              </w:rPr>
            </w:pPr>
            <w:r>
              <w:rPr>
                <w:rFonts w:ascii="宋体" w:hAnsi="宋体" w:eastAsia="宋体" w:cs="宋体"/>
                <w:spacing w:val="-2"/>
                <w:sz w:val="24"/>
                <w:szCs w:val="24"/>
              </w:rPr>
              <w:t>培训评价反馈表</w:t>
            </w:r>
          </w:p>
        </w:tc>
        <w:tc>
          <w:tcPr>
            <w:tcW w:w="1056" w:type="dxa"/>
            <w:vAlign w:val="top"/>
          </w:tcPr>
          <w:p w14:paraId="47AEF148">
            <w:pPr>
              <w:keepLines w:val="0"/>
              <w:pageBreakBefore w:val="0"/>
              <w:widowControl/>
              <w:wordWrap/>
              <w:overflowPunct/>
              <w:topLinePunct/>
              <w:bidi w:val="0"/>
              <w:spacing w:before="119"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44F79F94">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25548A76">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 年</w:t>
            </w:r>
          </w:p>
        </w:tc>
      </w:tr>
    </w:tbl>
    <w:p w14:paraId="6A4BA033">
      <w:pPr>
        <w:pStyle w:val="13"/>
        <w:keepLines w:val="0"/>
        <w:pageBreakBefore w:val="0"/>
        <w:widowControl/>
        <w:wordWrap/>
        <w:overflowPunct/>
        <w:topLinePunct/>
        <w:bidi w:val="0"/>
      </w:pPr>
    </w:p>
    <w:sectPr>
      <w:headerReference r:id="rId7" w:type="default"/>
      <w:pgSz w:w="11906" w:h="16838"/>
      <w:pgMar w:top="1417" w:right="1800" w:bottom="1440" w:left="1800" w:header="1140"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郝宇" w:date="2025-09-05T00:56:19Z" w:initials="">
    <w:p w14:paraId="0D547EC8">
      <w:pPr>
        <w:pStyle w:val="12"/>
        <w:rPr>
          <w:rFonts w:hint="default" w:eastAsia="宋体"/>
          <w:lang w:val="en-US" w:eastAsia="zh-CN"/>
        </w:rPr>
      </w:pPr>
      <w:r>
        <w:rPr>
          <w:rFonts w:hint="eastAsia" w:eastAsia="宋体"/>
          <w:lang w:val="en-US" w:eastAsia="zh-CN"/>
        </w:rPr>
        <w:t>这个看后面有用到不，没有就去掉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547E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6"/>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0B4B125"/>
    <w:multiLevelType w:val="singleLevel"/>
    <w:tmpl w:val="A0B4B125"/>
    <w:lvl w:ilvl="0" w:tentative="0">
      <w:start w:val="1"/>
      <w:numFmt w:val="decimal"/>
      <w:lvlText w:val="(%1)"/>
      <w:lvlJc w:val="left"/>
      <w:pPr>
        <w:tabs>
          <w:tab w:val="left" w:pos="420"/>
        </w:tabs>
        <w:ind w:left="845" w:hanging="425"/>
      </w:pPr>
      <w:rPr>
        <w:rFonts w:hint="default"/>
      </w:rPr>
    </w:lvl>
  </w:abstractNum>
  <w:abstractNum w:abstractNumId="2">
    <w:nsid w:val="A1A1D4EE"/>
    <w:multiLevelType w:val="singleLevel"/>
    <w:tmpl w:val="A1A1D4EE"/>
    <w:lvl w:ilvl="0" w:tentative="0">
      <w:start w:val="1"/>
      <w:numFmt w:val="decimal"/>
      <w:lvlText w:val="%1."/>
      <w:lvlJc w:val="left"/>
      <w:pPr>
        <w:ind w:left="425" w:hanging="425"/>
      </w:pPr>
      <w:rPr>
        <w:rFonts w:hint="default"/>
      </w:rPr>
    </w:lvl>
  </w:abstractNum>
  <w:abstractNum w:abstractNumId="3">
    <w:nsid w:val="B58B1E06"/>
    <w:multiLevelType w:val="singleLevel"/>
    <w:tmpl w:val="B58B1E06"/>
    <w:lvl w:ilvl="0" w:tentative="0">
      <w:start w:val="1"/>
      <w:numFmt w:val="decimal"/>
      <w:lvlText w:val="%1."/>
      <w:lvlJc w:val="left"/>
      <w:pPr>
        <w:ind w:left="425" w:hanging="425"/>
      </w:pPr>
      <w:rPr>
        <w:rFonts w:hint="default"/>
      </w:rPr>
    </w:lvl>
  </w:abstractNum>
  <w:abstractNum w:abstractNumId="4">
    <w:nsid w:val="D10CC76E"/>
    <w:multiLevelType w:val="singleLevel"/>
    <w:tmpl w:val="D10CC76E"/>
    <w:lvl w:ilvl="0" w:tentative="0">
      <w:start w:val="1"/>
      <w:numFmt w:val="decimal"/>
      <w:lvlText w:val="(%1)"/>
      <w:lvlJc w:val="left"/>
      <w:pPr>
        <w:tabs>
          <w:tab w:val="left" w:pos="420"/>
        </w:tabs>
        <w:ind w:left="845" w:hanging="425"/>
      </w:pPr>
      <w:rPr>
        <w:rFonts w:hint="default"/>
      </w:rPr>
    </w:lvl>
  </w:abstractNum>
  <w:abstractNum w:abstractNumId="5">
    <w:nsid w:val="DF824C0B"/>
    <w:multiLevelType w:val="singleLevel"/>
    <w:tmpl w:val="DF824C0B"/>
    <w:lvl w:ilvl="0" w:tentative="0">
      <w:start w:val="1"/>
      <w:numFmt w:val="decimal"/>
      <w:pStyle w:val="11"/>
      <w:lvlText w:val="%1."/>
      <w:lvlJc w:val="left"/>
      <w:pPr>
        <w:tabs>
          <w:tab w:val="left" w:pos="360"/>
        </w:tabs>
        <w:ind w:left="360" w:hanging="360"/>
      </w:pPr>
    </w:lvl>
  </w:abstractNum>
  <w:abstractNum w:abstractNumId="6">
    <w:nsid w:val="E1DFE2B7"/>
    <w:multiLevelType w:val="singleLevel"/>
    <w:tmpl w:val="E1DFE2B7"/>
    <w:lvl w:ilvl="0" w:tentative="0">
      <w:start w:val="1"/>
      <w:numFmt w:val="decimal"/>
      <w:lvlText w:val="%1."/>
      <w:lvlJc w:val="left"/>
      <w:pPr>
        <w:ind w:left="425" w:hanging="425"/>
      </w:pPr>
      <w:rPr>
        <w:rFonts w:hint="default"/>
        <w:b w:val="0"/>
        <w:bCs w:val="0"/>
      </w:rPr>
    </w:lvl>
  </w:abstractNum>
  <w:abstractNum w:abstractNumId="7">
    <w:nsid w:val="E6359437"/>
    <w:multiLevelType w:val="singleLevel"/>
    <w:tmpl w:val="E6359437"/>
    <w:lvl w:ilvl="0" w:tentative="0">
      <w:start w:val="1"/>
      <w:numFmt w:val="decimal"/>
      <w:lvlText w:val="%1."/>
      <w:lvlJc w:val="left"/>
      <w:pPr>
        <w:ind w:left="425" w:hanging="425"/>
      </w:pPr>
      <w:rPr>
        <w:rFonts w:hint="default"/>
      </w:rPr>
    </w:lvl>
  </w:abstractNum>
  <w:abstractNum w:abstractNumId="8">
    <w:nsid w:val="F1FD33D1"/>
    <w:multiLevelType w:val="singleLevel"/>
    <w:tmpl w:val="F1FD33D1"/>
    <w:lvl w:ilvl="0" w:tentative="0">
      <w:start w:val="1"/>
      <w:numFmt w:val="decimal"/>
      <w:lvlText w:val="%1."/>
      <w:lvlJc w:val="left"/>
      <w:pPr>
        <w:ind w:left="425" w:hanging="425"/>
      </w:pPr>
      <w:rPr>
        <w:rFonts w:hint="default"/>
      </w:rPr>
    </w:lvl>
  </w:abstractNum>
  <w:abstractNum w:abstractNumId="9">
    <w:nsid w:val="F9539CF3"/>
    <w:multiLevelType w:val="singleLevel"/>
    <w:tmpl w:val="F9539CF3"/>
    <w:lvl w:ilvl="0" w:tentative="0">
      <w:start w:val="1"/>
      <w:numFmt w:val="decimal"/>
      <w:lvlText w:val="%1."/>
      <w:lvlJc w:val="left"/>
      <w:pPr>
        <w:ind w:left="425" w:hanging="425"/>
      </w:pPr>
      <w:rPr>
        <w:rFonts w:hint="default"/>
      </w:rPr>
    </w:lvl>
  </w:abstractNum>
  <w:abstractNum w:abstractNumId="10">
    <w:nsid w:val="09AB7FD2"/>
    <w:multiLevelType w:val="singleLevel"/>
    <w:tmpl w:val="09AB7FD2"/>
    <w:lvl w:ilvl="0" w:tentative="0">
      <w:start w:val="1"/>
      <w:numFmt w:val="decimal"/>
      <w:lvlText w:val="%1."/>
      <w:lvlJc w:val="left"/>
      <w:pPr>
        <w:ind w:left="425" w:hanging="425"/>
      </w:pPr>
      <w:rPr>
        <w:rFonts w:hint="default"/>
      </w:rPr>
    </w:lvl>
  </w:abstractNum>
  <w:abstractNum w:abstractNumId="11">
    <w:nsid w:val="2AD25C73"/>
    <w:multiLevelType w:val="singleLevel"/>
    <w:tmpl w:val="2AD25C73"/>
    <w:lvl w:ilvl="0" w:tentative="0">
      <w:start w:val="1"/>
      <w:numFmt w:val="decimal"/>
      <w:suff w:val="nothing"/>
      <w:lvlText w:val="（%1）"/>
      <w:lvlJc w:val="left"/>
    </w:lvl>
  </w:abstractNum>
  <w:abstractNum w:abstractNumId="12">
    <w:nsid w:val="39CEFF65"/>
    <w:multiLevelType w:val="singleLevel"/>
    <w:tmpl w:val="39CEFF65"/>
    <w:lvl w:ilvl="0" w:tentative="0">
      <w:start w:val="1"/>
      <w:numFmt w:val="decimal"/>
      <w:lvlText w:val="%1."/>
      <w:lvlJc w:val="left"/>
      <w:pPr>
        <w:ind w:left="425" w:hanging="425"/>
      </w:pPr>
      <w:rPr>
        <w:rFonts w:hint="default"/>
      </w:rPr>
    </w:lvl>
  </w:abstractNum>
  <w:abstractNum w:abstractNumId="13">
    <w:nsid w:val="476E8910"/>
    <w:multiLevelType w:val="singleLevel"/>
    <w:tmpl w:val="476E8910"/>
    <w:lvl w:ilvl="0" w:tentative="0">
      <w:start w:val="1"/>
      <w:numFmt w:val="decimal"/>
      <w:lvlText w:val="%1."/>
      <w:lvlJc w:val="left"/>
      <w:pPr>
        <w:ind w:left="425" w:hanging="425"/>
      </w:pPr>
      <w:rPr>
        <w:rFonts w:hint="default"/>
      </w:rPr>
    </w:lvl>
  </w:abstractNum>
  <w:abstractNum w:abstractNumId="14">
    <w:nsid w:val="4FAD6B1F"/>
    <w:multiLevelType w:val="singleLevel"/>
    <w:tmpl w:val="4FAD6B1F"/>
    <w:lvl w:ilvl="0" w:tentative="0">
      <w:start w:val="1"/>
      <w:numFmt w:val="decimal"/>
      <w:lvlText w:val="%1."/>
      <w:lvlJc w:val="left"/>
      <w:pPr>
        <w:ind w:left="425" w:hanging="425"/>
      </w:pPr>
      <w:rPr>
        <w:rFonts w:hint="default"/>
      </w:rPr>
    </w:lvl>
  </w:abstractNum>
  <w:abstractNum w:abstractNumId="15">
    <w:nsid w:val="56905F5E"/>
    <w:multiLevelType w:val="singleLevel"/>
    <w:tmpl w:val="56905F5E"/>
    <w:lvl w:ilvl="0" w:tentative="0">
      <w:start w:val="1"/>
      <w:numFmt w:val="decimal"/>
      <w:lvlText w:val="%1."/>
      <w:lvlJc w:val="left"/>
      <w:pPr>
        <w:ind w:left="425" w:hanging="425"/>
      </w:pPr>
      <w:rPr>
        <w:rFonts w:hint="default"/>
      </w:rPr>
    </w:lvl>
  </w:abstractNum>
  <w:abstractNum w:abstractNumId="16">
    <w:nsid w:val="6375B2CA"/>
    <w:multiLevelType w:val="singleLevel"/>
    <w:tmpl w:val="6375B2CA"/>
    <w:lvl w:ilvl="0" w:tentative="0">
      <w:start w:val="1"/>
      <w:numFmt w:val="decimal"/>
      <w:lvlText w:val="%1."/>
      <w:lvlJc w:val="left"/>
      <w:pPr>
        <w:ind w:left="425" w:hanging="425"/>
      </w:pPr>
      <w:rPr>
        <w:rFonts w:hint="default"/>
      </w:rPr>
    </w:lvl>
  </w:abstractNum>
  <w:abstractNum w:abstractNumId="17">
    <w:nsid w:val="6A14A1DE"/>
    <w:multiLevelType w:val="singleLevel"/>
    <w:tmpl w:val="6A14A1DE"/>
    <w:lvl w:ilvl="0" w:tentative="0">
      <w:start w:val="1"/>
      <w:numFmt w:val="decimal"/>
      <w:lvlText w:val="%1."/>
      <w:lvlJc w:val="left"/>
      <w:pPr>
        <w:ind w:left="425" w:hanging="425"/>
      </w:pPr>
      <w:rPr>
        <w:rFonts w:hint="default"/>
      </w:rPr>
    </w:lvl>
  </w:abstractNum>
  <w:abstractNum w:abstractNumId="18">
    <w:nsid w:val="7EE6C854"/>
    <w:multiLevelType w:val="singleLevel"/>
    <w:tmpl w:val="7EE6C854"/>
    <w:lvl w:ilvl="0" w:tentative="0">
      <w:start w:val="1"/>
      <w:numFmt w:val="decimal"/>
      <w:lvlText w:val="%1."/>
      <w:lvlJc w:val="left"/>
      <w:pPr>
        <w:ind w:left="425" w:hanging="425"/>
      </w:pPr>
      <w:rPr>
        <w:rFonts w:hint="default"/>
      </w:rPr>
    </w:lvl>
  </w:abstractNum>
  <w:num w:numId="1">
    <w:abstractNumId w:val="0"/>
  </w:num>
  <w:num w:numId="2">
    <w:abstractNumId w:val="5"/>
  </w:num>
  <w:num w:numId="3">
    <w:abstractNumId w:val="12"/>
  </w:num>
  <w:num w:numId="4">
    <w:abstractNumId w:val="2"/>
  </w:num>
  <w:num w:numId="5">
    <w:abstractNumId w:val="18"/>
  </w:num>
  <w:num w:numId="6">
    <w:abstractNumId w:val="17"/>
  </w:num>
  <w:num w:numId="7">
    <w:abstractNumId w:val="7"/>
  </w:num>
  <w:num w:numId="8">
    <w:abstractNumId w:val="16"/>
  </w:num>
  <w:num w:numId="9">
    <w:abstractNumId w:val="10"/>
  </w:num>
  <w:num w:numId="10">
    <w:abstractNumId w:val="14"/>
  </w:num>
  <w:num w:numId="11">
    <w:abstractNumId w:val="13"/>
  </w:num>
  <w:num w:numId="12">
    <w:abstractNumId w:val="6"/>
  </w:num>
  <w:num w:numId="13">
    <w:abstractNumId w:val="1"/>
  </w:num>
  <w:num w:numId="14">
    <w:abstractNumId w:val="4"/>
  </w:num>
  <w:num w:numId="15">
    <w:abstractNumId w:val="11"/>
  </w:num>
  <w:num w:numId="16">
    <w:abstractNumId w:val="3"/>
  </w:num>
  <w:num w:numId="17">
    <w:abstractNumId w:val="15"/>
  </w:num>
  <w:num w:numId="18">
    <w:abstractNumId w:val="8"/>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郝宇">
    <w15:presenceInfo w15:providerId="WPS Office" w15:userId="3960875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0C024B"/>
    <w:rsid w:val="00537FBE"/>
    <w:rsid w:val="02E77997"/>
    <w:rsid w:val="03220F85"/>
    <w:rsid w:val="032D07A7"/>
    <w:rsid w:val="05C8669A"/>
    <w:rsid w:val="062C184B"/>
    <w:rsid w:val="07827F96"/>
    <w:rsid w:val="086D4054"/>
    <w:rsid w:val="08AE286A"/>
    <w:rsid w:val="093255BB"/>
    <w:rsid w:val="09A241D6"/>
    <w:rsid w:val="09BB7D1A"/>
    <w:rsid w:val="0B02417D"/>
    <w:rsid w:val="0B07202C"/>
    <w:rsid w:val="0B13248D"/>
    <w:rsid w:val="0B930577"/>
    <w:rsid w:val="0BD14243"/>
    <w:rsid w:val="0BE9283B"/>
    <w:rsid w:val="0D420C4A"/>
    <w:rsid w:val="0EFE3455"/>
    <w:rsid w:val="0F973FB7"/>
    <w:rsid w:val="10685029"/>
    <w:rsid w:val="10BD35C7"/>
    <w:rsid w:val="119775A7"/>
    <w:rsid w:val="120B0362"/>
    <w:rsid w:val="12D22891"/>
    <w:rsid w:val="12F50CAB"/>
    <w:rsid w:val="148368D6"/>
    <w:rsid w:val="161617D1"/>
    <w:rsid w:val="16841220"/>
    <w:rsid w:val="16AB5C70"/>
    <w:rsid w:val="16C265E3"/>
    <w:rsid w:val="184B0D70"/>
    <w:rsid w:val="197B4B4A"/>
    <w:rsid w:val="1A000989"/>
    <w:rsid w:val="1A1E49AB"/>
    <w:rsid w:val="1AA84B0D"/>
    <w:rsid w:val="1AC27A2C"/>
    <w:rsid w:val="1B8D153C"/>
    <w:rsid w:val="1C217D49"/>
    <w:rsid w:val="1C4701E9"/>
    <w:rsid w:val="1C707260"/>
    <w:rsid w:val="1CAA63DB"/>
    <w:rsid w:val="1CD525C6"/>
    <w:rsid w:val="1CFF0AC4"/>
    <w:rsid w:val="1D452102"/>
    <w:rsid w:val="1E360515"/>
    <w:rsid w:val="1EE6018D"/>
    <w:rsid w:val="20EB4CCD"/>
    <w:rsid w:val="21617F9F"/>
    <w:rsid w:val="22BD1205"/>
    <w:rsid w:val="23411E36"/>
    <w:rsid w:val="245E07C6"/>
    <w:rsid w:val="250A26FB"/>
    <w:rsid w:val="27363334"/>
    <w:rsid w:val="278B7B24"/>
    <w:rsid w:val="28862099"/>
    <w:rsid w:val="295E3D05"/>
    <w:rsid w:val="296511D8"/>
    <w:rsid w:val="2A021BF3"/>
    <w:rsid w:val="2B966A97"/>
    <w:rsid w:val="2BC0763F"/>
    <w:rsid w:val="2D381E44"/>
    <w:rsid w:val="2D60110A"/>
    <w:rsid w:val="2DB144DC"/>
    <w:rsid w:val="2DD13DB6"/>
    <w:rsid w:val="2DFE521A"/>
    <w:rsid w:val="2F135073"/>
    <w:rsid w:val="3026116C"/>
    <w:rsid w:val="313B4368"/>
    <w:rsid w:val="34034EE6"/>
    <w:rsid w:val="341101CB"/>
    <w:rsid w:val="352E5F92"/>
    <w:rsid w:val="35733D25"/>
    <w:rsid w:val="3628580F"/>
    <w:rsid w:val="36E264CD"/>
    <w:rsid w:val="37BF1626"/>
    <w:rsid w:val="389F176C"/>
    <w:rsid w:val="38B33C0C"/>
    <w:rsid w:val="3A056ACA"/>
    <w:rsid w:val="3A2430CF"/>
    <w:rsid w:val="3A3D6832"/>
    <w:rsid w:val="3A936FCA"/>
    <w:rsid w:val="3B6E533A"/>
    <w:rsid w:val="3D156FFD"/>
    <w:rsid w:val="3E7C0C45"/>
    <w:rsid w:val="3F5A203E"/>
    <w:rsid w:val="3F8F762D"/>
    <w:rsid w:val="3FE03B95"/>
    <w:rsid w:val="410A1661"/>
    <w:rsid w:val="41474664"/>
    <w:rsid w:val="416D6F45"/>
    <w:rsid w:val="426B25D4"/>
    <w:rsid w:val="4416031D"/>
    <w:rsid w:val="448E4109"/>
    <w:rsid w:val="45D7178A"/>
    <w:rsid w:val="45ED50AE"/>
    <w:rsid w:val="4642189D"/>
    <w:rsid w:val="471A69C9"/>
    <w:rsid w:val="47453FF4"/>
    <w:rsid w:val="47E81FD1"/>
    <w:rsid w:val="482714C6"/>
    <w:rsid w:val="4893018E"/>
    <w:rsid w:val="4AA3483E"/>
    <w:rsid w:val="4B302CD5"/>
    <w:rsid w:val="4B747A79"/>
    <w:rsid w:val="4D026565"/>
    <w:rsid w:val="4E0336C0"/>
    <w:rsid w:val="4E0F5DAB"/>
    <w:rsid w:val="4E8D742E"/>
    <w:rsid w:val="4EB726FD"/>
    <w:rsid w:val="4ECA2430"/>
    <w:rsid w:val="50CB623F"/>
    <w:rsid w:val="50CE7C1E"/>
    <w:rsid w:val="516B2BDD"/>
    <w:rsid w:val="524E3378"/>
    <w:rsid w:val="542C1497"/>
    <w:rsid w:val="544C2923"/>
    <w:rsid w:val="546B0211"/>
    <w:rsid w:val="549B5AB8"/>
    <w:rsid w:val="54CD67D6"/>
    <w:rsid w:val="554418B3"/>
    <w:rsid w:val="55FB7373"/>
    <w:rsid w:val="56951575"/>
    <w:rsid w:val="5721105B"/>
    <w:rsid w:val="5859544B"/>
    <w:rsid w:val="59A73A9A"/>
    <w:rsid w:val="5A3F1F24"/>
    <w:rsid w:val="5A74775D"/>
    <w:rsid w:val="5A981634"/>
    <w:rsid w:val="5ADC59C5"/>
    <w:rsid w:val="5BC619FD"/>
    <w:rsid w:val="5BE81608"/>
    <w:rsid w:val="5C717B35"/>
    <w:rsid w:val="5D867E6A"/>
    <w:rsid w:val="5DE8337C"/>
    <w:rsid w:val="5E133B7E"/>
    <w:rsid w:val="5E4C4C10"/>
    <w:rsid w:val="5E8425FB"/>
    <w:rsid w:val="5F28567D"/>
    <w:rsid w:val="5F3631AD"/>
    <w:rsid w:val="60705FA0"/>
    <w:rsid w:val="60716BAF"/>
    <w:rsid w:val="60A03F98"/>
    <w:rsid w:val="60FF797D"/>
    <w:rsid w:val="62364D94"/>
    <w:rsid w:val="62853344"/>
    <w:rsid w:val="62992D43"/>
    <w:rsid w:val="63A64DC2"/>
    <w:rsid w:val="64EF699B"/>
    <w:rsid w:val="65D81262"/>
    <w:rsid w:val="66195D1F"/>
    <w:rsid w:val="665E1984"/>
    <w:rsid w:val="676E3E49"/>
    <w:rsid w:val="67931B01"/>
    <w:rsid w:val="67F51E74"/>
    <w:rsid w:val="689A2A1B"/>
    <w:rsid w:val="68D221B5"/>
    <w:rsid w:val="69A77179"/>
    <w:rsid w:val="6B380F8F"/>
    <w:rsid w:val="6BCE135A"/>
    <w:rsid w:val="6C636971"/>
    <w:rsid w:val="6CAE5601"/>
    <w:rsid w:val="6E453429"/>
    <w:rsid w:val="70180DF5"/>
    <w:rsid w:val="72895FDA"/>
    <w:rsid w:val="72DC0914"/>
    <w:rsid w:val="73F13E37"/>
    <w:rsid w:val="766952AA"/>
    <w:rsid w:val="77020109"/>
    <w:rsid w:val="772F1887"/>
    <w:rsid w:val="77831895"/>
    <w:rsid w:val="77831BFE"/>
    <w:rsid w:val="779F004E"/>
    <w:rsid w:val="77D5273D"/>
    <w:rsid w:val="78CC6D3B"/>
    <w:rsid w:val="7A787E1D"/>
    <w:rsid w:val="7A7A73F9"/>
    <w:rsid w:val="7A910122"/>
    <w:rsid w:val="7AF366E7"/>
    <w:rsid w:val="7B4A4D1D"/>
    <w:rsid w:val="7BA774D1"/>
    <w:rsid w:val="7BBF12B8"/>
    <w:rsid w:val="7D1868D9"/>
    <w:rsid w:val="7D1E37CD"/>
    <w:rsid w:val="7D845D1C"/>
    <w:rsid w:val="7DD86C30"/>
    <w:rsid w:val="7E993157"/>
    <w:rsid w:val="7EC14D4E"/>
    <w:rsid w:val="7EF50554"/>
    <w:rsid w:val="7FE04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List Number"/>
    <w:basedOn w:val="1"/>
    <w:qFormat/>
    <w:uiPriority w:val="0"/>
    <w:pPr>
      <w:numPr>
        <w:ilvl w:val="0"/>
        <w:numId w:val="2"/>
      </w:numPr>
    </w:pPr>
  </w:style>
  <w:style w:type="paragraph" w:styleId="12">
    <w:name w:val="annotation text"/>
    <w:basedOn w:val="1"/>
    <w:qFormat/>
    <w:uiPriority w:val="0"/>
    <w:pPr>
      <w:jc w:val="left"/>
    </w:pPr>
  </w:style>
  <w:style w:type="paragraph" w:styleId="13">
    <w:name w:val="Body Text"/>
    <w:basedOn w:val="1"/>
    <w:semiHidden/>
    <w:qFormat/>
    <w:uiPriority w:val="0"/>
    <w:rPr>
      <w:rFonts w:ascii="Arial" w:hAnsi="Arial" w:eastAsia="Arial" w:cs="Arial"/>
      <w:sz w:val="21"/>
      <w:szCs w:val="21"/>
      <w:lang w:val="en-US" w:eastAsia="en-US" w:bidi="ar-SA"/>
    </w:rPr>
  </w:style>
  <w:style w:type="paragraph" w:styleId="14">
    <w:name w:val="toc 3"/>
    <w:basedOn w:val="1"/>
    <w:next w:val="1"/>
    <w:qFormat/>
    <w:uiPriority w:val="0"/>
    <w:pPr>
      <w:ind w:left="840" w:leftChars="4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toc 1"/>
    <w:basedOn w:val="1"/>
    <w:next w:val="1"/>
    <w:qFormat/>
    <w:uiPriority w:val="0"/>
    <w:rPr>
      <w:rFonts w:ascii="Arial" w:hAnsi="Arial" w:eastAsia="Microsoft JhengHei"/>
      <w:sz w:val="24"/>
    </w:rPr>
  </w:style>
  <w:style w:type="paragraph" w:styleId="18">
    <w:name w:val="toc 2"/>
    <w:basedOn w:val="1"/>
    <w:next w:val="1"/>
    <w:qFormat/>
    <w:uiPriority w:val="0"/>
    <w:pPr>
      <w:ind w:left="420" w:leftChars="200"/>
    </w:p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01-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qFormat/>
    <w:uiPriority w:val="0"/>
    <w:pPr>
      <w:spacing w:before="100" w:after="90" w:line="360" w:lineRule="auto"/>
    </w:pPr>
    <w:rPr>
      <w:rFonts w:ascii="Arial" w:hAnsi="Arial" w:eastAsia="宋体"/>
      <w:sz w:val="32"/>
    </w:rPr>
  </w:style>
  <w:style w:type="paragraph" w:customStyle="1" w:styleId="29">
    <w:name w:val="柴_正文"/>
    <w:basedOn w:val="13"/>
    <w:link w:val="33"/>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1"/>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3"/>
    <w:qFormat/>
    <w:uiPriority w:val="0"/>
    <w:pPr>
      <w:tabs>
        <w:tab w:val="right" w:leader="dot" w:pos="8442"/>
      </w:tabs>
      <w:ind w:left="0" w:leftChars="0"/>
    </w:pPr>
    <w:rPr>
      <w:rFonts w:ascii="Arial" w:hAnsi="Arial" w:eastAsia="Microsoft JhengHei"/>
      <w:sz w:val="24"/>
    </w:rPr>
  </w:style>
  <w:style w:type="character" w:customStyle="1" w:styleId="33">
    <w:name w:val="柴_正文 Char"/>
    <w:link w:val="29"/>
    <w:qFormat/>
    <w:uiPriority w:val="0"/>
    <w:rPr>
      <w:rFonts w:ascii="Arial" w:hAnsi="Arial" w:eastAsia="宋体"/>
      <w:sz w:val="24"/>
      <w:lang w:eastAsia="zh-CN"/>
    </w:rPr>
  </w:style>
  <w:style w:type="paragraph" w:customStyle="1" w:styleId="34">
    <w:name w:val="柴_列表1"/>
    <w:basedOn w:val="11"/>
    <w:link w:val="35"/>
    <w:qFormat/>
    <w:uiPriority w:val="0"/>
    <w:pPr>
      <w:numPr>
        <w:ilvl w:val="0"/>
        <w:numId w:val="0"/>
      </w:numPr>
      <w:spacing w:line="360" w:lineRule="auto"/>
      <w:ind w:left="425" w:hanging="425"/>
    </w:pPr>
    <w:rPr>
      <w:rFonts w:ascii="Arial" w:hAnsi="Arial" w:eastAsia="宋体"/>
      <w:sz w:val="24"/>
      <w:lang w:eastAsia="zh-CN"/>
    </w:rPr>
  </w:style>
  <w:style w:type="character" w:customStyle="1" w:styleId="35">
    <w:name w:val="柴_列表1 Char"/>
    <w:link w:val="34"/>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4860</Words>
  <Characters>5158</Characters>
  <Lines>0</Lines>
  <Paragraphs>0</Paragraphs>
  <TotalTime>0</TotalTime>
  <ScaleCrop>false</ScaleCrop>
  <LinksUpToDate>false</LinksUpToDate>
  <CharactersWithSpaces>5253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2025-09-06T10:46:13Z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5907E7FAB05F4C5D98AD5B6FF89DAF02_13</vt:lpwstr>
  </property>
  <property fmtid="{D5CDD505-2E9C-101B-9397-08002B2CF9AE}" pid="4" name="KSOTemplateDocerSaveRecord">
    <vt:lpwstr>eyJoZGlkIjoiMDY5NmFjMmM4ZTljMGJiZDAxN2JmYTc0NGI0NmFiNDgiLCJ1c2VySWQiOiIxMDc1MzgyOSJ9</vt:lpwstr>
  </property>
</Properties>
</file>