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AEF25">
      <w:pPr>
        <w:keepLines w:val="0"/>
        <w:pageBreakBefore w:val="0"/>
        <w:widowControl w:val="0"/>
        <w:wordWrap/>
        <w:overflowPunct/>
        <w:topLine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6DC9E96F">
      <w:pPr>
        <w:keepNext w:val="0"/>
        <w:keepLines w:val="0"/>
        <w:pageBreakBefore w:val="0"/>
        <w:widowControl w:val="0"/>
        <w:kinsoku/>
        <w:wordWrap/>
        <w:overflowPunct/>
        <w:topLinePunct/>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A102008">
      <w:pPr>
        <w:pStyle w:val="25"/>
        <w:keepLines w:val="0"/>
        <w:pageBreakBefore w:val="0"/>
        <w:widowControl w:val="0"/>
        <w:wordWrap/>
        <w:overflowPunct/>
        <w:topLinePunct/>
        <w:bidi w:val="0"/>
      </w:pPr>
      <w:bookmarkStart w:id="0" w:name="_Toc32040"/>
      <w:r>
        <w:rPr>
          <w:rFonts w:hint="eastAsia"/>
          <w:lang w:val="en-US" w:eastAsia="zh-CN"/>
        </w:rPr>
        <w:t>万洲奇智（青岛）信息科技有限</w:t>
      </w:r>
      <w:r>
        <w:t>公司</w:t>
      </w:r>
      <w:bookmarkEnd w:id="0"/>
    </w:p>
    <w:p w14:paraId="05E870A4">
      <w:pPr>
        <w:pStyle w:val="26"/>
        <w:keepLines w:val="0"/>
        <w:pageBreakBefore w:val="0"/>
        <w:widowControl w:val="0"/>
        <w:wordWrap/>
        <w:overflowPunct/>
        <w:topLinePunct/>
        <w:bidi w:val="0"/>
        <w:rPr>
          <w:rFonts w:hint="default" w:eastAsia="黑体"/>
          <w:lang w:val="en-US" w:eastAsia="zh-CN"/>
        </w:rPr>
      </w:pPr>
      <w:bookmarkStart w:id="1" w:name="_Toc16712"/>
      <w:r>
        <w:rPr>
          <w:rFonts w:hint="eastAsia"/>
          <w:lang w:val="en-US" w:eastAsia="zh-CN"/>
        </w:rPr>
        <w:t>人员培训管理制度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4D634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12062E41">
            <w:pPr>
              <w:keepLines w:val="0"/>
              <w:pageBreakBefore w:val="0"/>
              <w:widowControl w:val="0"/>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1811881898"/>
                <w:vertAlign w:val="baseline"/>
                <w:lang w:val="en-US" w:eastAsia="zh-CN"/>
              </w:rPr>
              <w:t>王</w:t>
            </w:r>
            <w:r>
              <w:rPr>
                <w:rFonts w:hint="eastAsia"/>
                <w:spacing w:val="0"/>
                <w:kern w:val="0"/>
                <w:u w:val="single"/>
                <w:fitText w:val="630" w:id="1811881898"/>
                <w:vertAlign w:val="baseline"/>
                <w:lang w:val="en-US" w:eastAsia="zh-CN"/>
              </w:rPr>
              <w:t>琼</w:t>
            </w:r>
          </w:p>
        </w:tc>
        <w:tc>
          <w:tcPr>
            <w:tcW w:w="4261" w:type="dxa"/>
          </w:tcPr>
          <w:p w14:paraId="6551DCCE">
            <w:pPr>
              <w:keepLines w:val="0"/>
              <w:pageBreakBefore w:val="0"/>
              <w:widowControl w:val="0"/>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7870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070459A">
            <w:pPr>
              <w:keepLines w:val="0"/>
              <w:pageBreakBefore w:val="0"/>
              <w:widowControl w:val="0"/>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2980BB8">
            <w:pPr>
              <w:keepLines w:val="0"/>
              <w:pageBreakBefore w:val="0"/>
              <w:widowControl w:val="0"/>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FF76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80EF819">
            <w:pPr>
              <w:keepLines w:val="0"/>
              <w:pageBreakBefore w:val="0"/>
              <w:widowControl w:val="0"/>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DA47F0E">
            <w:pPr>
              <w:keepLines w:val="0"/>
              <w:pageBreakBefore w:val="0"/>
              <w:widowControl w:val="0"/>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6726CD0F">
      <w:pPr>
        <w:keepLines w:val="0"/>
        <w:pageBreakBefore w:val="0"/>
        <w:widowControl w:val="0"/>
        <w:wordWrap/>
        <w:overflowPunct/>
        <w:topLinePunct/>
        <w:bidi w:val="0"/>
      </w:pPr>
      <w:r>
        <w:br w:type="page"/>
      </w:r>
    </w:p>
    <w:p w14:paraId="3D9D99BF">
      <w:pPr>
        <w:keepLines w:val="0"/>
        <w:pageBreakBefore w:val="0"/>
        <w:widowControl w:val="0"/>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7"/>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BAA45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AE7F166">
            <w:pPr>
              <w:keepLines w:val="0"/>
              <w:pageBreakBefore w:val="0"/>
              <w:widowControl w:val="0"/>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526E914F">
            <w:pPr>
              <w:keepLines w:val="0"/>
              <w:pageBreakBefore w:val="0"/>
              <w:widowControl w:val="0"/>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953E8C9">
            <w:pPr>
              <w:keepLines w:val="0"/>
              <w:pageBreakBefore w:val="0"/>
              <w:widowControl w:val="0"/>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6B62670">
            <w:pPr>
              <w:keepLines w:val="0"/>
              <w:pageBreakBefore w:val="0"/>
              <w:widowControl w:val="0"/>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2FC8D7A">
            <w:pPr>
              <w:keepLines w:val="0"/>
              <w:pageBreakBefore w:val="0"/>
              <w:widowControl w:val="0"/>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03657E3">
            <w:pPr>
              <w:keepLines w:val="0"/>
              <w:pageBreakBefore w:val="0"/>
              <w:widowControl w:val="0"/>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C61E1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80DDBAD">
            <w:pPr>
              <w:keepLines w:val="0"/>
              <w:pageBreakBefore w:val="0"/>
              <w:widowControl w:val="0"/>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7240D20">
            <w:pPr>
              <w:keepLines w:val="0"/>
              <w:pageBreakBefore w:val="0"/>
              <w:widowControl w:val="0"/>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31F9EE5">
            <w:pPr>
              <w:keepLines w:val="0"/>
              <w:pageBreakBefore w:val="0"/>
              <w:widowControl w:val="0"/>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221B154">
            <w:pPr>
              <w:keepLines w:val="0"/>
              <w:pageBreakBefore w:val="0"/>
              <w:widowControl w:val="0"/>
              <w:wordWrap/>
              <w:overflowPunct/>
              <w:topLinePunct/>
              <w:bidi w:val="0"/>
              <w:spacing w:before="172" w:line="228" w:lineRule="auto"/>
              <w:ind w:left="313"/>
              <w:rPr>
                <w:rFonts w:ascii="宋体" w:hAnsi="宋体" w:eastAsia="宋体" w:cs="宋体"/>
                <w:sz w:val="20"/>
                <w:szCs w:val="20"/>
              </w:rPr>
            </w:pPr>
            <w:r>
              <w:rPr>
                <w:rFonts w:hint="eastAsia"/>
                <w:spacing w:val="105"/>
                <w:kern w:val="0"/>
                <w:u w:val="none"/>
                <w:fitText w:val="630" w:id="1811881898"/>
                <w:vertAlign w:val="baseline"/>
                <w:lang w:val="en-US" w:eastAsia="zh-CN"/>
              </w:rPr>
              <w:t>王</w:t>
            </w:r>
            <w:r>
              <w:rPr>
                <w:rFonts w:hint="eastAsia"/>
                <w:spacing w:val="0"/>
                <w:kern w:val="0"/>
                <w:u w:val="none"/>
                <w:fitText w:val="630" w:id="1811881898"/>
                <w:vertAlign w:val="baseline"/>
                <w:lang w:val="en-US" w:eastAsia="zh-CN"/>
              </w:rPr>
              <w:t>琼</w:t>
            </w:r>
          </w:p>
        </w:tc>
        <w:tc>
          <w:tcPr>
            <w:tcW w:w="1150" w:type="dxa"/>
          </w:tcPr>
          <w:p w14:paraId="01F11C96">
            <w:pPr>
              <w:keepLines w:val="0"/>
              <w:pageBreakBefore w:val="0"/>
              <w:widowControl w:val="0"/>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DBC67D3">
            <w:pPr>
              <w:keepLines w:val="0"/>
              <w:pageBreakBefore w:val="0"/>
              <w:widowControl w:val="0"/>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AF70A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625F302">
            <w:pPr>
              <w:pStyle w:val="28"/>
              <w:keepLines w:val="0"/>
              <w:pageBreakBefore w:val="0"/>
              <w:widowControl w:val="0"/>
              <w:wordWrap/>
              <w:overflowPunct/>
              <w:topLinePunct/>
              <w:bidi w:val="0"/>
            </w:pPr>
          </w:p>
        </w:tc>
        <w:tc>
          <w:tcPr>
            <w:tcW w:w="919" w:type="dxa"/>
          </w:tcPr>
          <w:p w14:paraId="48AEB82E">
            <w:pPr>
              <w:pStyle w:val="28"/>
              <w:keepLines w:val="0"/>
              <w:pageBreakBefore w:val="0"/>
              <w:widowControl w:val="0"/>
              <w:wordWrap/>
              <w:overflowPunct/>
              <w:topLinePunct/>
              <w:bidi w:val="0"/>
            </w:pPr>
          </w:p>
        </w:tc>
        <w:tc>
          <w:tcPr>
            <w:tcW w:w="2289" w:type="dxa"/>
          </w:tcPr>
          <w:p w14:paraId="342BD134">
            <w:pPr>
              <w:pStyle w:val="28"/>
              <w:keepLines w:val="0"/>
              <w:pageBreakBefore w:val="0"/>
              <w:widowControl w:val="0"/>
              <w:wordWrap/>
              <w:overflowPunct/>
              <w:topLinePunct/>
              <w:bidi w:val="0"/>
            </w:pPr>
          </w:p>
        </w:tc>
        <w:tc>
          <w:tcPr>
            <w:tcW w:w="1148" w:type="dxa"/>
          </w:tcPr>
          <w:p w14:paraId="5CE28832">
            <w:pPr>
              <w:keepLines w:val="0"/>
              <w:pageBreakBefore w:val="0"/>
              <w:widowControl w:val="0"/>
              <w:wordWrap/>
              <w:overflowPunct/>
              <w:topLinePunct/>
              <w:bidi w:val="0"/>
              <w:spacing w:before="172" w:line="228" w:lineRule="auto"/>
              <w:ind w:left="313"/>
            </w:pPr>
          </w:p>
        </w:tc>
        <w:tc>
          <w:tcPr>
            <w:tcW w:w="1150" w:type="dxa"/>
          </w:tcPr>
          <w:p w14:paraId="1EB73A79">
            <w:pPr>
              <w:keepLines w:val="0"/>
              <w:pageBreakBefore w:val="0"/>
              <w:widowControl w:val="0"/>
              <w:wordWrap/>
              <w:overflowPunct/>
              <w:topLinePunct/>
              <w:bidi w:val="0"/>
              <w:spacing w:before="172" w:line="228" w:lineRule="auto"/>
              <w:ind w:left="313"/>
            </w:pPr>
          </w:p>
        </w:tc>
        <w:tc>
          <w:tcPr>
            <w:tcW w:w="1240" w:type="dxa"/>
          </w:tcPr>
          <w:p w14:paraId="2EA76592">
            <w:pPr>
              <w:pStyle w:val="28"/>
              <w:keepLines w:val="0"/>
              <w:pageBreakBefore w:val="0"/>
              <w:widowControl w:val="0"/>
              <w:wordWrap/>
              <w:overflowPunct/>
              <w:topLinePunct/>
              <w:bidi w:val="0"/>
            </w:pPr>
          </w:p>
        </w:tc>
      </w:tr>
      <w:tr w14:paraId="42DF9D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5C954D8">
            <w:pPr>
              <w:pStyle w:val="28"/>
              <w:keepLines w:val="0"/>
              <w:pageBreakBefore w:val="0"/>
              <w:widowControl w:val="0"/>
              <w:wordWrap/>
              <w:overflowPunct/>
              <w:topLinePunct/>
              <w:bidi w:val="0"/>
            </w:pPr>
          </w:p>
        </w:tc>
        <w:tc>
          <w:tcPr>
            <w:tcW w:w="919" w:type="dxa"/>
          </w:tcPr>
          <w:p w14:paraId="00EB1042">
            <w:pPr>
              <w:pStyle w:val="28"/>
              <w:keepLines w:val="0"/>
              <w:pageBreakBefore w:val="0"/>
              <w:widowControl w:val="0"/>
              <w:wordWrap/>
              <w:overflowPunct/>
              <w:topLinePunct/>
              <w:bidi w:val="0"/>
            </w:pPr>
          </w:p>
        </w:tc>
        <w:tc>
          <w:tcPr>
            <w:tcW w:w="2289" w:type="dxa"/>
          </w:tcPr>
          <w:p w14:paraId="7FFD680E">
            <w:pPr>
              <w:pStyle w:val="28"/>
              <w:keepLines w:val="0"/>
              <w:pageBreakBefore w:val="0"/>
              <w:widowControl w:val="0"/>
              <w:wordWrap/>
              <w:overflowPunct/>
              <w:topLinePunct/>
              <w:bidi w:val="0"/>
            </w:pPr>
          </w:p>
        </w:tc>
        <w:tc>
          <w:tcPr>
            <w:tcW w:w="1148" w:type="dxa"/>
          </w:tcPr>
          <w:p w14:paraId="68881FAC">
            <w:pPr>
              <w:keepLines w:val="0"/>
              <w:pageBreakBefore w:val="0"/>
              <w:widowControl w:val="0"/>
              <w:wordWrap/>
              <w:overflowPunct/>
              <w:topLinePunct/>
              <w:bidi w:val="0"/>
              <w:spacing w:before="173" w:line="229" w:lineRule="auto"/>
              <w:ind w:left="314"/>
            </w:pPr>
          </w:p>
        </w:tc>
        <w:tc>
          <w:tcPr>
            <w:tcW w:w="1150" w:type="dxa"/>
          </w:tcPr>
          <w:p w14:paraId="0E205B08">
            <w:pPr>
              <w:keepLines w:val="0"/>
              <w:pageBreakBefore w:val="0"/>
              <w:widowControl w:val="0"/>
              <w:wordWrap/>
              <w:overflowPunct/>
              <w:topLinePunct/>
              <w:bidi w:val="0"/>
              <w:spacing w:before="173" w:line="229" w:lineRule="auto"/>
              <w:ind w:left="314"/>
            </w:pPr>
          </w:p>
        </w:tc>
        <w:tc>
          <w:tcPr>
            <w:tcW w:w="1240" w:type="dxa"/>
          </w:tcPr>
          <w:p w14:paraId="7CABB549">
            <w:pPr>
              <w:pStyle w:val="28"/>
              <w:keepLines w:val="0"/>
              <w:pageBreakBefore w:val="0"/>
              <w:widowControl w:val="0"/>
              <w:wordWrap/>
              <w:overflowPunct/>
              <w:topLinePunct/>
              <w:bidi w:val="0"/>
            </w:pPr>
          </w:p>
        </w:tc>
      </w:tr>
      <w:tr w14:paraId="047F87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1BE75BCE">
            <w:pPr>
              <w:pStyle w:val="28"/>
              <w:keepLines w:val="0"/>
              <w:pageBreakBefore w:val="0"/>
              <w:widowControl w:val="0"/>
              <w:wordWrap/>
              <w:overflowPunct/>
              <w:topLinePunct/>
              <w:bidi w:val="0"/>
            </w:pPr>
          </w:p>
        </w:tc>
        <w:tc>
          <w:tcPr>
            <w:tcW w:w="919" w:type="dxa"/>
          </w:tcPr>
          <w:p w14:paraId="0844E0D0">
            <w:pPr>
              <w:pStyle w:val="28"/>
              <w:keepLines w:val="0"/>
              <w:pageBreakBefore w:val="0"/>
              <w:widowControl w:val="0"/>
              <w:wordWrap/>
              <w:overflowPunct/>
              <w:topLinePunct/>
              <w:bidi w:val="0"/>
            </w:pPr>
          </w:p>
        </w:tc>
        <w:tc>
          <w:tcPr>
            <w:tcW w:w="2289" w:type="dxa"/>
          </w:tcPr>
          <w:p w14:paraId="14B22F27">
            <w:pPr>
              <w:pStyle w:val="28"/>
              <w:keepLines w:val="0"/>
              <w:pageBreakBefore w:val="0"/>
              <w:widowControl w:val="0"/>
              <w:wordWrap/>
              <w:overflowPunct/>
              <w:topLinePunct/>
              <w:bidi w:val="0"/>
            </w:pPr>
          </w:p>
        </w:tc>
        <w:tc>
          <w:tcPr>
            <w:tcW w:w="1148" w:type="dxa"/>
          </w:tcPr>
          <w:p w14:paraId="0687DB79">
            <w:pPr>
              <w:pStyle w:val="28"/>
              <w:keepLines w:val="0"/>
              <w:pageBreakBefore w:val="0"/>
              <w:widowControl w:val="0"/>
              <w:wordWrap/>
              <w:overflowPunct/>
              <w:topLinePunct/>
              <w:bidi w:val="0"/>
            </w:pPr>
          </w:p>
        </w:tc>
        <w:tc>
          <w:tcPr>
            <w:tcW w:w="1150" w:type="dxa"/>
          </w:tcPr>
          <w:p w14:paraId="725AB50F">
            <w:pPr>
              <w:pStyle w:val="28"/>
              <w:keepLines w:val="0"/>
              <w:pageBreakBefore w:val="0"/>
              <w:widowControl w:val="0"/>
              <w:wordWrap/>
              <w:overflowPunct/>
              <w:topLinePunct/>
              <w:bidi w:val="0"/>
            </w:pPr>
          </w:p>
        </w:tc>
        <w:tc>
          <w:tcPr>
            <w:tcW w:w="1240" w:type="dxa"/>
          </w:tcPr>
          <w:p w14:paraId="7EE496CF">
            <w:pPr>
              <w:pStyle w:val="28"/>
              <w:keepLines w:val="0"/>
              <w:pageBreakBefore w:val="0"/>
              <w:widowControl w:val="0"/>
              <w:wordWrap/>
              <w:overflowPunct/>
              <w:topLinePunct/>
              <w:bidi w:val="0"/>
            </w:pPr>
          </w:p>
        </w:tc>
      </w:tr>
      <w:tr w14:paraId="6F91FC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391079FB">
            <w:pPr>
              <w:pStyle w:val="28"/>
              <w:keepLines w:val="0"/>
              <w:pageBreakBefore w:val="0"/>
              <w:widowControl w:val="0"/>
              <w:wordWrap/>
              <w:overflowPunct/>
              <w:topLinePunct/>
              <w:bidi w:val="0"/>
            </w:pPr>
          </w:p>
        </w:tc>
        <w:tc>
          <w:tcPr>
            <w:tcW w:w="919" w:type="dxa"/>
          </w:tcPr>
          <w:p w14:paraId="33D70E43">
            <w:pPr>
              <w:pStyle w:val="28"/>
              <w:keepLines w:val="0"/>
              <w:pageBreakBefore w:val="0"/>
              <w:widowControl w:val="0"/>
              <w:wordWrap/>
              <w:overflowPunct/>
              <w:topLinePunct/>
              <w:bidi w:val="0"/>
            </w:pPr>
          </w:p>
        </w:tc>
        <w:tc>
          <w:tcPr>
            <w:tcW w:w="2289" w:type="dxa"/>
          </w:tcPr>
          <w:p w14:paraId="3AD7C31E">
            <w:pPr>
              <w:pStyle w:val="28"/>
              <w:keepLines w:val="0"/>
              <w:pageBreakBefore w:val="0"/>
              <w:widowControl w:val="0"/>
              <w:wordWrap/>
              <w:overflowPunct/>
              <w:topLinePunct/>
              <w:bidi w:val="0"/>
            </w:pPr>
          </w:p>
        </w:tc>
        <w:tc>
          <w:tcPr>
            <w:tcW w:w="1148" w:type="dxa"/>
          </w:tcPr>
          <w:p w14:paraId="5B08D43F">
            <w:pPr>
              <w:pStyle w:val="28"/>
              <w:keepLines w:val="0"/>
              <w:pageBreakBefore w:val="0"/>
              <w:widowControl w:val="0"/>
              <w:wordWrap/>
              <w:overflowPunct/>
              <w:topLinePunct/>
              <w:bidi w:val="0"/>
            </w:pPr>
          </w:p>
        </w:tc>
        <w:tc>
          <w:tcPr>
            <w:tcW w:w="1150" w:type="dxa"/>
          </w:tcPr>
          <w:p w14:paraId="2C724237">
            <w:pPr>
              <w:pStyle w:val="28"/>
              <w:keepLines w:val="0"/>
              <w:pageBreakBefore w:val="0"/>
              <w:widowControl w:val="0"/>
              <w:wordWrap/>
              <w:overflowPunct/>
              <w:topLinePunct/>
              <w:bidi w:val="0"/>
            </w:pPr>
          </w:p>
        </w:tc>
        <w:tc>
          <w:tcPr>
            <w:tcW w:w="1240" w:type="dxa"/>
          </w:tcPr>
          <w:p w14:paraId="2CF21A3D">
            <w:pPr>
              <w:pStyle w:val="28"/>
              <w:keepLines w:val="0"/>
              <w:pageBreakBefore w:val="0"/>
              <w:widowControl w:val="0"/>
              <w:wordWrap/>
              <w:overflowPunct/>
              <w:topLinePunct/>
              <w:bidi w:val="0"/>
            </w:pPr>
          </w:p>
        </w:tc>
      </w:tr>
      <w:tr w14:paraId="705D58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DED76DC">
            <w:pPr>
              <w:pStyle w:val="28"/>
              <w:keepLines w:val="0"/>
              <w:pageBreakBefore w:val="0"/>
              <w:widowControl w:val="0"/>
              <w:wordWrap/>
              <w:overflowPunct/>
              <w:topLinePunct/>
              <w:bidi w:val="0"/>
            </w:pPr>
          </w:p>
        </w:tc>
        <w:tc>
          <w:tcPr>
            <w:tcW w:w="919" w:type="dxa"/>
          </w:tcPr>
          <w:p w14:paraId="06602442">
            <w:pPr>
              <w:pStyle w:val="28"/>
              <w:keepLines w:val="0"/>
              <w:pageBreakBefore w:val="0"/>
              <w:widowControl w:val="0"/>
              <w:wordWrap/>
              <w:overflowPunct/>
              <w:topLinePunct/>
              <w:bidi w:val="0"/>
            </w:pPr>
          </w:p>
        </w:tc>
        <w:tc>
          <w:tcPr>
            <w:tcW w:w="2289" w:type="dxa"/>
          </w:tcPr>
          <w:p w14:paraId="46753604">
            <w:pPr>
              <w:pStyle w:val="28"/>
              <w:keepLines w:val="0"/>
              <w:pageBreakBefore w:val="0"/>
              <w:widowControl w:val="0"/>
              <w:wordWrap/>
              <w:overflowPunct/>
              <w:topLinePunct/>
              <w:bidi w:val="0"/>
            </w:pPr>
          </w:p>
        </w:tc>
        <w:tc>
          <w:tcPr>
            <w:tcW w:w="1148" w:type="dxa"/>
          </w:tcPr>
          <w:p w14:paraId="1B505C60">
            <w:pPr>
              <w:pStyle w:val="28"/>
              <w:keepLines w:val="0"/>
              <w:pageBreakBefore w:val="0"/>
              <w:widowControl w:val="0"/>
              <w:wordWrap/>
              <w:overflowPunct/>
              <w:topLinePunct/>
              <w:bidi w:val="0"/>
            </w:pPr>
          </w:p>
        </w:tc>
        <w:tc>
          <w:tcPr>
            <w:tcW w:w="1150" w:type="dxa"/>
          </w:tcPr>
          <w:p w14:paraId="6C611168">
            <w:pPr>
              <w:pStyle w:val="28"/>
              <w:keepLines w:val="0"/>
              <w:pageBreakBefore w:val="0"/>
              <w:widowControl w:val="0"/>
              <w:wordWrap/>
              <w:overflowPunct/>
              <w:topLinePunct/>
              <w:bidi w:val="0"/>
            </w:pPr>
          </w:p>
        </w:tc>
        <w:tc>
          <w:tcPr>
            <w:tcW w:w="1240" w:type="dxa"/>
          </w:tcPr>
          <w:p w14:paraId="453B259B">
            <w:pPr>
              <w:pStyle w:val="28"/>
              <w:keepLines w:val="0"/>
              <w:pageBreakBefore w:val="0"/>
              <w:widowControl w:val="0"/>
              <w:wordWrap/>
              <w:overflowPunct/>
              <w:topLinePunct/>
              <w:bidi w:val="0"/>
            </w:pPr>
          </w:p>
        </w:tc>
      </w:tr>
    </w:tbl>
    <w:p w14:paraId="3BA202C2">
      <w:pPr>
        <w:keepLines w:val="0"/>
        <w:pageBreakBefore w:val="0"/>
        <w:widowControl w:val="0"/>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7210AFBF">
          <w:pPr>
            <w:keepLines w:val="0"/>
            <w:pageBreakBefore w:val="0"/>
            <w:widowControl w:val="0"/>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DCA1C20">
          <w:pPr>
            <w:pStyle w:val="17"/>
            <w:keepLines w:val="0"/>
            <w:pageBreakBefore w:val="0"/>
            <w:widowControl w:val="0"/>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_Toc32040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_Toc32040 \h </w:instrText>
          </w:r>
          <w:r>
            <w:fldChar w:fldCharType="separate"/>
          </w:r>
          <w:r>
            <w:t>1</w:t>
          </w:r>
          <w:r>
            <w:fldChar w:fldCharType="end"/>
          </w:r>
          <w:r>
            <w:rPr>
              <w:rFonts w:hint="eastAsia" w:ascii="宋体" w:hAnsi="宋体" w:eastAsia="宋体" w:cs="宋体"/>
              <w:szCs w:val="24"/>
            </w:rPr>
            <w:fldChar w:fldCharType="end"/>
          </w:r>
        </w:p>
        <w:p w14:paraId="678D250D">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_Toc16712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_Toc16712 \h </w:instrText>
          </w:r>
          <w:r>
            <w:fldChar w:fldCharType="separate"/>
          </w:r>
          <w:r>
            <w:t>1</w:t>
          </w:r>
          <w:r>
            <w:fldChar w:fldCharType="end"/>
          </w:r>
          <w:r>
            <w:rPr>
              <w:rFonts w:hint="eastAsia" w:ascii="宋体" w:hAnsi="宋体" w:eastAsia="宋体" w:cs="宋体"/>
              <w:szCs w:val="24"/>
            </w:rPr>
            <w:fldChar w:fldCharType="end"/>
          </w:r>
        </w:p>
        <w:p w14:paraId="1226BFDB">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_Toc27150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_Toc27150 \h </w:instrText>
          </w:r>
          <w:r>
            <w:fldChar w:fldCharType="separate"/>
          </w:r>
          <w:r>
            <w:t>4</w:t>
          </w:r>
          <w:r>
            <w:fldChar w:fldCharType="end"/>
          </w:r>
          <w:r>
            <w:rPr>
              <w:rFonts w:hint="eastAsia" w:ascii="宋体" w:hAnsi="宋体" w:eastAsia="宋体" w:cs="宋体"/>
              <w:szCs w:val="24"/>
            </w:rPr>
            <w:fldChar w:fldCharType="end"/>
          </w:r>
        </w:p>
        <w:p w14:paraId="15679453">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_Toc5627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_Toc5627 \h </w:instrText>
          </w:r>
          <w:r>
            <w:fldChar w:fldCharType="separate"/>
          </w:r>
          <w:r>
            <w:t>4</w:t>
          </w:r>
          <w:r>
            <w:fldChar w:fldCharType="end"/>
          </w:r>
          <w:r>
            <w:rPr>
              <w:rFonts w:hint="eastAsia" w:ascii="宋体" w:hAnsi="宋体" w:eastAsia="宋体" w:cs="宋体"/>
              <w:szCs w:val="24"/>
            </w:rPr>
            <w:fldChar w:fldCharType="end"/>
          </w:r>
        </w:p>
        <w:p w14:paraId="7F0EBF8E">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_Toc20072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_Toc20072 \h </w:instrText>
          </w:r>
          <w:r>
            <w:fldChar w:fldCharType="separate"/>
          </w:r>
          <w:r>
            <w:t>4</w:t>
          </w:r>
          <w:r>
            <w:fldChar w:fldCharType="end"/>
          </w:r>
          <w:r>
            <w:rPr>
              <w:rFonts w:hint="eastAsia" w:ascii="宋体" w:hAnsi="宋体" w:eastAsia="宋体" w:cs="宋体"/>
              <w:szCs w:val="24"/>
            </w:rPr>
            <w:fldChar w:fldCharType="end"/>
          </w:r>
        </w:p>
        <w:p w14:paraId="66440EA9">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_Toc9142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_Toc9142 \h </w:instrText>
          </w:r>
          <w:r>
            <w:fldChar w:fldCharType="separate"/>
          </w:r>
          <w:r>
            <w:t>4</w:t>
          </w:r>
          <w:r>
            <w:fldChar w:fldCharType="end"/>
          </w:r>
          <w:r>
            <w:rPr>
              <w:rFonts w:hint="eastAsia" w:ascii="宋体" w:hAnsi="宋体" w:eastAsia="宋体" w:cs="宋体"/>
              <w:szCs w:val="24"/>
            </w:rPr>
            <w:fldChar w:fldCharType="end"/>
          </w:r>
        </w:p>
        <w:p w14:paraId="67C5C45C">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_Toc20088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_Toc20088 \h </w:instrText>
          </w:r>
          <w:r>
            <w:fldChar w:fldCharType="separate"/>
          </w:r>
          <w:r>
            <w:t>4</w:t>
          </w:r>
          <w:r>
            <w:fldChar w:fldCharType="end"/>
          </w:r>
          <w:r>
            <w:rPr>
              <w:rFonts w:hint="eastAsia" w:ascii="宋体" w:hAnsi="宋体" w:eastAsia="宋体" w:cs="宋体"/>
              <w:szCs w:val="24"/>
            </w:rPr>
            <w:fldChar w:fldCharType="end"/>
          </w:r>
        </w:p>
        <w:p w14:paraId="7387D913">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_Toc6881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_Toc6881 \h </w:instrText>
          </w:r>
          <w:r>
            <w:fldChar w:fldCharType="separate"/>
          </w:r>
          <w:r>
            <w:t>4</w:t>
          </w:r>
          <w:r>
            <w:fldChar w:fldCharType="end"/>
          </w:r>
          <w:r>
            <w:rPr>
              <w:rFonts w:hint="eastAsia" w:ascii="宋体" w:hAnsi="宋体" w:eastAsia="宋体" w:cs="宋体"/>
              <w:szCs w:val="24"/>
            </w:rPr>
            <w:fldChar w:fldCharType="end"/>
          </w:r>
        </w:p>
        <w:p w14:paraId="4DDAD3F8">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_Toc10636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_Toc10636 \h </w:instrText>
          </w:r>
          <w:r>
            <w:fldChar w:fldCharType="separate"/>
          </w:r>
          <w:r>
            <w:t>5</w:t>
          </w:r>
          <w:r>
            <w:fldChar w:fldCharType="end"/>
          </w:r>
          <w:r>
            <w:rPr>
              <w:rFonts w:hint="eastAsia" w:ascii="宋体" w:hAnsi="宋体" w:eastAsia="宋体" w:cs="宋体"/>
              <w:szCs w:val="24"/>
            </w:rPr>
            <w:fldChar w:fldCharType="end"/>
          </w:r>
        </w:p>
        <w:p w14:paraId="6011C952">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_Toc21511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_Toc21511 \h </w:instrText>
          </w:r>
          <w:r>
            <w:fldChar w:fldCharType="separate"/>
          </w:r>
          <w:r>
            <w:t>5</w:t>
          </w:r>
          <w:r>
            <w:fldChar w:fldCharType="end"/>
          </w:r>
          <w:r>
            <w:rPr>
              <w:rFonts w:hint="eastAsia" w:ascii="宋体" w:hAnsi="宋体" w:eastAsia="宋体" w:cs="宋体"/>
              <w:szCs w:val="24"/>
            </w:rPr>
            <w:fldChar w:fldCharType="end"/>
          </w:r>
        </w:p>
        <w:p w14:paraId="543A2F35">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_Toc31379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_Toc31379 \h </w:instrText>
          </w:r>
          <w:r>
            <w:fldChar w:fldCharType="separate"/>
          </w:r>
          <w:r>
            <w:t>5</w:t>
          </w:r>
          <w:r>
            <w:fldChar w:fldCharType="end"/>
          </w:r>
          <w:r>
            <w:rPr>
              <w:rFonts w:hint="eastAsia" w:ascii="宋体" w:hAnsi="宋体" w:eastAsia="宋体" w:cs="宋体"/>
              <w:szCs w:val="24"/>
            </w:rPr>
            <w:fldChar w:fldCharType="end"/>
          </w:r>
        </w:p>
        <w:p w14:paraId="719910C0">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_Toc22696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_Toc22696 \h </w:instrText>
          </w:r>
          <w:r>
            <w:fldChar w:fldCharType="separate"/>
          </w:r>
          <w:r>
            <w:t>5</w:t>
          </w:r>
          <w:r>
            <w:fldChar w:fldCharType="end"/>
          </w:r>
          <w:r>
            <w:rPr>
              <w:rFonts w:hint="eastAsia" w:ascii="宋体" w:hAnsi="宋体" w:eastAsia="宋体" w:cs="宋体"/>
              <w:szCs w:val="24"/>
            </w:rPr>
            <w:fldChar w:fldCharType="end"/>
          </w:r>
        </w:p>
        <w:p w14:paraId="10A75B3C">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_Toc15919 </w:instrText>
          </w:r>
          <w:r>
            <w:rPr>
              <w:rFonts w:hint="eastAsia" w:ascii="宋体" w:hAnsi="宋体" w:eastAsia="宋体" w:cs="宋体"/>
              <w:szCs w:val="24"/>
            </w:rPr>
            <w:fldChar w:fldCharType="separate"/>
          </w:r>
          <w:r>
            <w:rPr>
              <w:rFonts w:hint="default"/>
            </w:rPr>
            <w:t xml:space="preserve">5.3. </w:t>
          </w:r>
          <w:r>
            <w:t>培训计划的编制</w:t>
          </w:r>
          <w:r>
            <w:tab/>
          </w:r>
          <w:r>
            <w:fldChar w:fldCharType="begin"/>
          </w:r>
          <w:r>
            <w:instrText xml:space="preserve"> PAGEREF _Toc15919 \h </w:instrText>
          </w:r>
          <w:r>
            <w:fldChar w:fldCharType="separate"/>
          </w:r>
          <w:r>
            <w:t>6</w:t>
          </w:r>
          <w:r>
            <w:fldChar w:fldCharType="end"/>
          </w:r>
          <w:r>
            <w:rPr>
              <w:rFonts w:hint="eastAsia" w:ascii="宋体" w:hAnsi="宋体" w:eastAsia="宋体" w:cs="宋体"/>
              <w:szCs w:val="24"/>
            </w:rPr>
            <w:fldChar w:fldCharType="end"/>
          </w:r>
        </w:p>
        <w:p w14:paraId="46A8FC82">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_Toc28535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_Toc28535 \h </w:instrText>
          </w:r>
          <w:r>
            <w:fldChar w:fldCharType="separate"/>
          </w:r>
          <w:r>
            <w:t>6</w:t>
          </w:r>
          <w:r>
            <w:fldChar w:fldCharType="end"/>
          </w:r>
          <w:r>
            <w:rPr>
              <w:rFonts w:hint="eastAsia" w:ascii="宋体" w:hAnsi="宋体" w:eastAsia="宋体" w:cs="宋体"/>
              <w:szCs w:val="24"/>
            </w:rPr>
            <w:fldChar w:fldCharType="end"/>
          </w:r>
        </w:p>
        <w:p w14:paraId="67905228">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_Toc21113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_Toc21113 \h </w:instrText>
          </w:r>
          <w:r>
            <w:fldChar w:fldCharType="separate"/>
          </w:r>
          <w:r>
            <w:t>6</w:t>
          </w:r>
          <w:r>
            <w:fldChar w:fldCharType="end"/>
          </w:r>
          <w:r>
            <w:rPr>
              <w:rFonts w:hint="eastAsia" w:ascii="宋体" w:hAnsi="宋体" w:eastAsia="宋体" w:cs="宋体"/>
              <w:szCs w:val="24"/>
            </w:rPr>
            <w:fldChar w:fldCharType="end"/>
          </w:r>
        </w:p>
        <w:p w14:paraId="54015BB7">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_Toc12178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_Toc12178 \h </w:instrText>
          </w:r>
          <w:r>
            <w:fldChar w:fldCharType="separate"/>
          </w:r>
          <w:r>
            <w:t>6</w:t>
          </w:r>
          <w:r>
            <w:fldChar w:fldCharType="end"/>
          </w:r>
          <w:r>
            <w:rPr>
              <w:rFonts w:hint="eastAsia" w:ascii="宋体" w:hAnsi="宋体" w:eastAsia="宋体" w:cs="宋体"/>
              <w:szCs w:val="24"/>
            </w:rPr>
            <w:fldChar w:fldCharType="end"/>
          </w:r>
        </w:p>
        <w:p w14:paraId="73BD4BF8">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_Toc1498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_Toc1498 \h </w:instrText>
          </w:r>
          <w:r>
            <w:fldChar w:fldCharType="separate"/>
          </w:r>
          <w:r>
            <w:t>6</w:t>
          </w:r>
          <w:r>
            <w:fldChar w:fldCharType="end"/>
          </w:r>
          <w:r>
            <w:rPr>
              <w:rFonts w:hint="eastAsia" w:ascii="宋体" w:hAnsi="宋体" w:eastAsia="宋体" w:cs="宋体"/>
              <w:szCs w:val="24"/>
            </w:rPr>
            <w:fldChar w:fldCharType="end"/>
          </w:r>
        </w:p>
        <w:p w14:paraId="24BFDA38">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_Toc31355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_Toc31355 \h </w:instrText>
          </w:r>
          <w:r>
            <w:fldChar w:fldCharType="separate"/>
          </w:r>
          <w:r>
            <w:t>7</w:t>
          </w:r>
          <w:r>
            <w:fldChar w:fldCharType="end"/>
          </w:r>
          <w:r>
            <w:rPr>
              <w:rFonts w:hint="eastAsia" w:ascii="宋体" w:hAnsi="宋体" w:eastAsia="宋体" w:cs="宋体"/>
              <w:szCs w:val="24"/>
            </w:rPr>
            <w:fldChar w:fldCharType="end"/>
          </w:r>
        </w:p>
        <w:p w14:paraId="73AD111F">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_Toc13724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_Toc13724 \h </w:instrText>
          </w:r>
          <w:r>
            <w:fldChar w:fldCharType="separate"/>
          </w:r>
          <w:r>
            <w:t>7</w:t>
          </w:r>
          <w:r>
            <w:fldChar w:fldCharType="end"/>
          </w:r>
          <w:r>
            <w:rPr>
              <w:rFonts w:hint="eastAsia" w:ascii="宋体" w:hAnsi="宋体" w:eastAsia="宋体" w:cs="宋体"/>
              <w:szCs w:val="24"/>
            </w:rPr>
            <w:fldChar w:fldCharType="end"/>
          </w:r>
        </w:p>
        <w:p w14:paraId="5DDF5A8E">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_Toc31451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_Toc31451 \h </w:instrText>
          </w:r>
          <w:r>
            <w:fldChar w:fldCharType="separate"/>
          </w:r>
          <w:r>
            <w:t>7</w:t>
          </w:r>
          <w:r>
            <w:fldChar w:fldCharType="end"/>
          </w:r>
          <w:r>
            <w:rPr>
              <w:rFonts w:hint="eastAsia" w:ascii="宋体" w:hAnsi="宋体" w:eastAsia="宋体" w:cs="宋体"/>
              <w:szCs w:val="24"/>
            </w:rPr>
            <w:fldChar w:fldCharType="end"/>
          </w:r>
        </w:p>
        <w:p w14:paraId="7BF8216C">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_Toc16936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_Toc16936 \h </w:instrText>
          </w:r>
          <w:r>
            <w:fldChar w:fldCharType="separate"/>
          </w:r>
          <w:r>
            <w:t>7</w:t>
          </w:r>
          <w:r>
            <w:fldChar w:fldCharType="end"/>
          </w:r>
          <w:r>
            <w:rPr>
              <w:rFonts w:hint="eastAsia" w:ascii="宋体" w:hAnsi="宋体" w:eastAsia="宋体" w:cs="宋体"/>
              <w:szCs w:val="24"/>
            </w:rPr>
            <w:fldChar w:fldCharType="end"/>
          </w:r>
        </w:p>
        <w:p w14:paraId="5C2B6105">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_Toc30293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_Toc30293 \h </w:instrText>
          </w:r>
          <w:r>
            <w:fldChar w:fldCharType="separate"/>
          </w:r>
          <w:r>
            <w:t>8</w:t>
          </w:r>
          <w:r>
            <w:fldChar w:fldCharType="end"/>
          </w:r>
          <w:r>
            <w:rPr>
              <w:rFonts w:hint="eastAsia" w:ascii="宋体" w:hAnsi="宋体" w:eastAsia="宋体" w:cs="宋体"/>
              <w:szCs w:val="24"/>
            </w:rPr>
            <w:fldChar w:fldCharType="end"/>
          </w:r>
        </w:p>
        <w:p w14:paraId="127097F8">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_Toc3592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_Toc3592 \h </w:instrText>
          </w:r>
          <w:r>
            <w:fldChar w:fldCharType="separate"/>
          </w:r>
          <w:r>
            <w:t>8</w:t>
          </w:r>
          <w:r>
            <w:fldChar w:fldCharType="end"/>
          </w:r>
          <w:r>
            <w:rPr>
              <w:rFonts w:hint="eastAsia" w:ascii="宋体" w:hAnsi="宋体" w:eastAsia="宋体" w:cs="宋体"/>
              <w:szCs w:val="24"/>
            </w:rPr>
            <w:fldChar w:fldCharType="end"/>
          </w:r>
        </w:p>
        <w:p w14:paraId="5E02AADB">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_Toc29423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_Toc29423 \h </w:instrText>
          </w:r>
          <w:r>
            <w:fldChar w:fldCharType="separate"/>
          </w:r>
          <w:r>
            <w:t>8</w:t>
          </w:r>
          <w:r>
            <w:fldChar w:fldCharType="end"/>
          </w:r>
          <w:r>
            <w:rPr>
              <w:rFonts w:hint="eastAsia" w:ascii="宋体" w:hAnsi="宋体" w:eastAsia="宋体" w:cs="宋体"/>
              <w:szCs w:val="24"/>
            </w:rPr>
            <w:fldChar w:fldCharType="end"/>
          </w:r>
        </w:p>
        <w:p w14:paraId="41FA7B7D">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_Toc9767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_Toc9767 \h </w:instrText>
          </w:r>
          <w:r>
            <w:fldChar w:fldCharType="separate"/>
          </w:r>
          <w:r>
            <w:t>8</w:t>
          </w:r>
          <w:r>
            <w:fldChar w:fldCharType="end"/>
          </w:r>
          <w:r>
            <w:rPr>
              <w:rFonts w:hint="eastAsia" w:ascii="宋体" w:hAnsi="宋体" w:eastAsia="宋体" w:cs="宋体"/>
              <w:szCs w:val="24"/>
            </w:rPr>
            <w:fldChar w:fldCharType="end"/>
          </w:r>
        </w:p>
        <w:p w14:paraId="19377A40">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_Toc29925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_Toc29925 \h </w:instrText>
          </w:r>
          <w:r>
            <w:fldChar w:fldCharType="separate"/>
          </w:r>
          <w:r>
            <w:t>9</w:t>
          </w:r>
          <w:r>
            <w:fldChar w:fldCharType="end"/>
          </w:r>
          <w:r>
            <w:rPr>
              <w:rFonts w:hint="eastAsia" w:ascii="宋体" w:hAnsi="宋体" w:eastAsia="宋体" w:cs="宋体"/>
              <w:szCs w:val="24"/>
            </w:rPr>
            <w:fldChar w:fldCharType="end"/>
          </w:r>
        </w:p>
        <w:p w14:paraId="1463322B">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_Toc25832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_Toc25832 \h </w:instrText>
          </w:r>
          <w:r>
            <w:fldChar w:fldCharType="separate"/>
          </w:r>
          <w:r>
            <w:t>9</w:t>
          </w:r>
          <w:r>
            <w:fldChar w:fldCharType="end"/>
          </w:r>
          <w:r>
            <w:rPr>
              <w:rFonts w:hint="eastAsia" w:ascii="宋体" w:hAnsi="宋体" w:eastAsia="宋体" w:cs="宋体"/>
              <w:szCs w:val="24"/>
            </w:rPr>
            <w:fldChar w:fldCharType="end"/>
          </w:r>
        </w:p>
        <w:p w14:paraId="2F50B405">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_Toc32730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_Toc32730 \h </w:instrText>
          </w:r>
          <w:r>
            <w:fldChar w:fldCharType="separate"/>
          </w:r>
          <w:r>
            <w:t>9</w:t>
          </w:r>
          <w:r>
            <w:fldChar w:fldCharType="end"/>
          </w:r>
          <w:r>
            <w:rPr>
              <w:rFonts w:hint="eastAsia" w:ascii="宋体" w:hAnsi="宋体" w:eastAsia="宋体" w:cs="宋体"/>
              <w:szCs w:val="24"/>
            </w:rPr>
            <w:fldChar w:fldCharType="end"/>
          </w:r>
        </w:p>
        <w:p w14:paraId="482D4E12">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_Toc12034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_Toc12034 \h </w:instrText>
          </w:r>
          <w:r>
            <w:fldChar w:fldCharType="separate"/>
          </w:r>
          <w:r>
            <w:t>9</w:t>
          </w:r>
          <w:r>
            <w:fldChar w:fldCharType="end"/>
          </w:r>
          <w:r>
            <w:rPr>
              <w:rFonts w:hint="eastAsia" w:ascii="宋体" w:hAnsi="宋体" w:eastAsia="宋体" w:cs="宋体"/>
              <w:szCs w:val="24"/>
            </w:rPr>
            <w:fldChar w:fldCharType="end"/>
          </w:r>
        </w:p>
        <w:p w14:paraId="45445769">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_Toc7874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_Toc7874 \h </w:instrText>
          </w:r>
          <w:r>
            <w:fldChar w:fldCharType="separate"/>
          </w:r>
          <w:r>
            <w:t>9</w:t>
          </w:r>
          <w:r>
            <w:fldChar w:fldCharType="end"/>
          </w:r>
          <w:r>
            <w:rPr>
              <w:rFonts w:hint="eastAsia" w:ascii="宋体" w:hAnsi="宋体" w:eastAsia="宋体" w:cs="宋体"/>
              <w:szCs w:val="24"/>
            </w:rPr>
            <w:fldChar w:fldCharType="end"/>
          </w:r>
        </w:p>
        <w:p w14:paraId="5A4C28EC">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_Toc8268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_Toc8268 \h </w:instrText>
          </w:r>
          <w:r>
            <w:fldChar w:fldCharType="separate"/>
          </w:r>
          <w:r>
            <w:t>9</w:t>
          </w:r>
          <w:r>
            <w:fldChar w:fldCharType="end"/>
          </w:r>
          <w:r>
            <w:rPr>
              <w:rFonts w:hint="eastAsia" w:ascii="宋体" w:hAnsi="宋体" w:eastAsia="宋体" w:cs="宋体"/>
              <w:szCs w:val="24"/>
            </w:rPr>
            <w:fldChar w:fldCharType="end"/>
          </w:r>
        </w:p>
        <w:p w14:paraId="3D151F76">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_Toc4096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_Toc4096 \h </w:instrText>
          </w:r>
          <w:r>
            <w:fldChar w:fldCharType="separate"/>
          </w:r>
          <w:r>
            <w:t>9</w:t>
          </w:r>
          <w:r>
            <w:fldChar w:fldCharType="end"/>
          </w:r>
          <w:r>
            <w:rPr>
              <w:rFonts w:hint="eastAsia" w:ascii="宋体" w:hAnsi="宋体" w:eastAsia="宋体" w:cs="宋体"/>
              <w:szCs w:val="24"/>
            </w:rPr>
            <w:fldChar w:fldCharType="end"/>
          </w:r>
        </w:p>
        <w:p w14:paraId="01B489DD">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_Toc28637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_Toc28637 \h </w:instrText>
          </w:r>
          <w:r>
            <w:fldChar w:fldCharType="separate"/>
          </w:r>
          <w:r>
            <w:t>10</w:t>
          </w:r>
          <w:r>
            <w:fldChar w:fldCharType="end"/>
          </w:r>
          <w:r>
            <w:rPr>
              <w:rFonts w:hint="eastAsia" w:ascii="宋体" w:hAnsi="宋体" w:eastAsia="宋体" w:cs="宋体"/>
              <w:szCs w:val="24"/>
            </w:rPr>
            <w:fldChar w:fldCharType="end"/>
          </w:r>
        </w:p>
        <w:p w14:paraId="737AEECE">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_Toc24457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_Toc24457 \h </w:instrText>
          </w:r>
          <w:r>
            <w:fldChar w:fldCharType="separate"/>
          </w:r>
          <w:r>
            <w:t>11</w:t>
          </w:r>
          <w:r>
            <w:fldChar w:fldCharType="end"/>
          </w:r>
          <w:r>
            <w:rPr>
              <w:rFonts w:hint="eastAsia" w:ascii="宋体" w:hAnsi="宋体" w:eastAsia="宋体" w:cs="宋体"/>
              <w:szCs w:val="24"/>
            </w:rPr>
            <w:fldChar w:fldCharType="end"/>
          </w:r>
        </w:p>
        <w:p w14:paraId="5BEB76EB">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_Toc20009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_Toc20009 \h </w:instrText>
          </w:r>
          <w:r>
            <w:fldChar w:fldCharType="separate"/>
          </w:r>
          <w:r>
            <w:t>11</w:t>
          </w:r>
          <w:r>
            <w:fldChar w:fldCharType="end"/>
          </w:r>
          <w:r>
            <w:rPr>
              <w:rFonts w:hint="eastAsia" w:ascii="宋体" w:hAnsi="宋体" w:eastAsia="宋体" w:cs="宋体"/>
              <w:szCs w:val="24"/>
            </w:rPr>
            <w:fldChar w:fldCharType="end"/>
          </w:r>
        </w:p>
        <w:p w14:paraId="142B6987">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_Toc18190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_Toc18190 \h </w:instrText>
          </w:r>
          <w:r>
            <w:fldChar w:fldCharType="separate"/>
          </w:r>
          <w:r>
            <w:t>11</w:t>
          </w:r>
          <w:r>
            <w:fldChar w:fldCharType="end"/>
          </w:r>
          <w:r>
            <w:rPr>
              <w:rFonts w:hint="eastAsia" w:ascii="宋体" w:hAnsi="宋体" w:eastAsia="宋体" w:cs="宋体"/>
              <w:szCs w:val="24"/>
            </w:rPr>
            <w:fldChar w:fldCharType="end"/>
          </w:r>
        </w:p>
        <w:p w14:paraId="7D1D1CAD">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_Toc21761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_Toc21761 \h </w:instrText>
          </w:r>
          <w:r>
            <w:fldChar w:fldCharType="separate"/>
          </w:r>
          <w:r>
            <w:t>11</w:t>
          </w:r>
          <w:r>
            <w:fldChar w:fldCharType="end"/>
          </w:r>
          <w:r>
            <w:rPr>
              <w:rFonts w:hint="eastAsia" w:ascii="宋体" w:hAnsi="宋体" w:eastAsia="宋体" w:cs="宋体"/>
              <w:szCs w:val="24"/>
            </w:rPr>
            <w:fldChar w:fldCharType="end"/>
          </w:r>
        </w:p>
        <w:p w14:paraId="383F1A91">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_Toc11381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_Toc11381 \h </w:instrText>
          </w:r>
          <w:r>
            <w:fldChar w:fldCharType="separate"/>
          </w:r>
          <w:r>
            <w:t>12</w:t>
          </w:r>
          <w:r>
            <w:fldChar w:fldCharType="end"/>
          </w:r>
          <w:r>
            <w:rPr>
              <w:rFonts w:hint="eastAsia" w:ascii="宋体" w:hAnsi="宋体" w:eastAsia="宋体" w:cs="宋体"/>
              <w:szCs w:val="24"/>
            </w:rPr>
            <w:fldChar w:fldCharType="end"/>
          </w:r>
        </w:p>
        <w:p w14:paraId="7D5BA3A6">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_Toc8353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_Toc8353 \h </w:instrText>
          </w:r>
          <w:r>
            <w:fldChar w:fldCharType="separate"/>
          </w:r>
          <w:r>
            <w:t>12</w:t>
          </w:r>
          <w:r>
            <w:fldChar w:fldCharType="end"/>
          </w:r>
          <w:r>
            <w:rPr>
              <w:rFonts w:hint="eastAsia" w:ascii="宋体" w:hAnsi="宋体" w:eastAsia="宋体" w:cs="宋体"/>
              <w:szCs w:val="24"/>
            </w:rPr>
            <w:fldChar w:fldCharType="end"/>
          </w:r>
        </w:p>
        <w:p w14:paraId="7E653360">
          <w:pPr>
            <w:pStyle w:val="14"/>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_Toc6448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_Toc6448 \h </w:instrText>
          </w:r>
          <w:r>
            <w:fldChar w:fldCharType="separate"/>
          </w:r>
          <w:r>
            <w:t>12</w:t>
          </w:r>
          <w:r>
            <w:fldChar w:fldCharType="end"/>
          </w:r>
          <w:r>
            <w:rPr>
              <w:rFonts w:hint="eastAsia" w:ascii="宋体" w:hAnsi="宋体" w:eastAsia="宋体" w:cs="宋体"/>
              <w:szCs w:val="24"/>
            </w:rPr>
            <w:fldChar w:fldCharType="end"/>
          </w:r>
        </w:p>
        <w:p w14:paraId="59DB3849">
          <w:pPr>
            <w:pStyle w:val="18"/>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_Toc8761 </w:instrText>
          </w:r>
          <w:r>
            <w:rPr>
              <w:rFonts w:hint="eastAsia" w:ascii="宋体" w:hAnsi="宋体" w:eastAsia="宋体" w:cs="宋体"/>
              <w:szCs w:val="24"/>
            </w:rPr>
            <w:fldChar w:fldCharType="separate"/>
          </w:r>
          <w:r>
            <w:rPr>
              <w:rFonts w:hint="default"/>
            </w:rPr>
            <w:t xml:space="preserve">5.11. </w:t>
          </w:r>
          <w:r>
            <w:rPr>
              <w:rFonts w:hint="eastAsia"/>
              <w:lang w:val="en-US" w:eastAsia="zh-CN"/>
            </w:rPr>
            <w:t>考核指标</w:t>
          </w:r>
          <w:r>
            <w:tab/>
          </w:r>
          <w:r>
            <w:fldChar w:fldCharType="begin"/>
          </w:r>
          <w:r>
            <w:instrText xml:space="preserve"> PAGEREF _Toc8761 \h </w:instrText>
          </w:r>
          <w:r>
            <w:fldChar w:fldCharType="separate"/>
          </w:r>
          <w:r>
            <w:t>12</w:t>
          </w:r>
          <w:r>
            <w:fldChar w:fldCharType="end"/>
          </w:r>
          <w:r>
            <w:rPr>
              <w:rFonts w:hint="eastAsia" w:ascii="宋体" w:hAnsi="宋体" w:eastAsia="宋体" w:cs="宋体"/>
              <w:szCs w:val="24"/>
            </w:rPr>
            <w:fldChar w:fldCharType="end"/>
          </w:r>
        </w:p>
        <w:p w14:paraId="5F075A0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_Toc32645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_Toc32645 \h </w:instrText>
          </w:r>
          <w:r>
            <w:fldChar w:fldCharType="separate"/>
          </w:r>
          <w:r>
            <w:t>12</w:t>
          </w:r>
          <w:r>
            <w:fldChar w:fldCharType="end"/>
          </w:r>
          <w:r>
            <w:rPr>
              <w:rFonts w:hint="eastAsia" w:ascii="宋体" w:hAnsi="宋体" w:eastAsia="宋体" w:cs="宋体"/>
              <w:szCs w:val="24"/>
            </w:rPr>
            <w:fldChar w:fldCharType="end"/>
          </w:r>
        </w:p>
        <w:p w14:paraId="378B9F26">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_Toc9861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_Toc9861 \h </w:instrText>
          </w:r>
          <w:r>
            <w:fldChar w:fldCharType="separate"/>
          </w:r>
          <w:r>
            <w:t>13</w:t>
          </w:r>
          <w:r>
            <w:fldChar w:fldCharType="end"/>
          </w:r>
          <w:r>
            <w:rPr>
              <w:rFonts w:hint="eastAsia" w:ascii="宋体" w:hAnsi="宋体" w:eastAsia="宋体" w:cs="宋体"/>
              <w:szCs w:val="24"/>
            </w:rPr>
            <w:fldChar w:fldCharType="end"/>
          </w:r>
        </w:p>
        <w:p w14:paraId="40D700CA">
          <w:pPr>
            <w:pStyle w:val="17"/>
            <w:keepNext w:val="0"/>
            <w:keepLines w:val="0"/>
            <w:pageBreakBefore w:val="0"/>
            <w:widowControl w:val="0"/>
            <w:tabs>
              <w:tab w:val="right" w:leader="dot" w:pos="8306"/>
            </w:tabs>
            <w:kinsoku w:val="0"/>
            <w:wordWrap/>
            <w:overflowPunct/>
            <w:topLinePunct w:val="0"/>
            <w:autoSpaceDE w:val="0"/>
            <w:autoSpaceDN w:val="0"/>
            <w:bidi w:val="0"/>
            <w:adjustRightInd w:val="0"/>
            <w:snapToGrid w:val="0"/>
            <w:spacing w:line="360" w:lineRule="exact"/>
            <w:textAlignment w:val="baseline"/>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_Toc12411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_Toc12411 \h </w:instrText>
          </w:r>
          <w:r>
            <w:fldChar w:fldCharType="separate"/>
          </w:r>
          <w:r>
            <w:t>13</w:t>
          </w:r>
          <w:r>
            <w:fldChar w:fldCharType="end"/>
          </w:r>
          <w:r>
            <w:rPr>
              <w:rFonts w:hint="eastAsia" w:ascii="宋体" w:hAnsi="宋体" w:eastAsia="宋体" w:cs="宋体"/>
              <w:szCs w:val="24"/>
            </w:rPr>
            <w:fldChar w:fldCharType="end"/>
          </w:r>
        </w:p>
        <w:p w14:paraId="7DA09815">
          <w:pPr>
            <w:keepLines w:val="0"/>
            <w:pageBreakBefore w:val="0"/>
            <w:widowControl w:val="0"/>
            <w:wordWrap/>
            <w:overflowPunct/>
            <w:topLinePunct/>
            <w:bidi w:val="0"/>
          </w:pPr>
          <w:r>
            <w:rPr>
              <w:rFonts w:hint="eastAsia" w:ascii="宋体" w:hAnsi="宋体" w:eastAsia="宋体" w:cs="宋体"/>
              <w:szCs w:val="24"/>
            </w:rPr>
            <w:fldChar w:fldCharType="end"/>
          </w:r>
        </w:p>
      </w:sdtContent>
    </w:sdt>
    <w:p w14:paraId="663DF12B">
      <w:pPr>
        <w:pStyle w:val="29"/>
        <w:keepLines w:val="0"/>
        <w:pageBreakBefore w:val="0"/>
        <w:widowControl w:val="0"/>
        <w:wordWrap/>
        <w:overflowPunct/>
        <w:topLinePunct/>
        <w:bidi w:val="0"/>
        <w:rPr>
          <w:rFonts w:hint="eastAsia"/>
          <w:lang w:val="en-US" w:eastAsia="zh-CN"/>
        </w:rPr>
      </w:pPr>
      <w:bookmarkStart w:id="2" w:name="_Toc27150"/>
      <w:r>
        <w:rPr>
          <w:rFonts w:hint="eastAsia"/>
          <w:lang w:val="en-US" w:eastAsia="zh-CN"/>
        </w:rPr>
        <w:t>目的</w:t>
      </w:r>
      <w:bookmarkEnd w:id="2"/>
    </w:p>
    <w:p w14:paraId="1906990A">
      <w:pPr>
        <w:keepLines w:val="0"/>
        <w:pageBreakBefore w:val="0"/>
        <w:widowControl w:val="0"/>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57C7F823">
      <w:pPr>
        <w:pStyle w:val="29"/>
        <w:keepLines w:val="0"/>
        <w:pageBreakBefore w:val="0"/>
        <w:widowControl w:val="0"/>
        <w:wordWrap/>
        <w:overflowPunct/>
        <w:topLinePunct/>
        <w:bidi w:val="0"/>
      </w:pPr>
      <w:bookmarkStart w:id="3" w:name="bookmark1"/>
      <w:bookmarkEnd w:id="3"/>
      <w:bookmarkStart w:id="4" w:name="_Toc5627"/>
      <w:r>
        <w:rPr>
          <w:rFonts w:hint="eastAsia"/>
          <w:lang w:val="en-US" w:eastAsia="zh-CN"/>
        </w:rPr>
        <w:t>原则</w:t>
      </w:r>
      <w:bookmarkEnd w:id="4"/>
    </w:p>
    <w:p w14:paraId="60A1231E">
      <w:pPr>
        <w:pStyle w:val="30"/>
        <w:keepLines w:val="0"/>
        <w:pageBreakBefore w:val="0"/>
        <w:widowControl w:val="0"/>
        <w:wordWrap/>
        <w:overflowPunct/>
        <w:topLinePunct/>
        <w:bidi w:val="0"/>
        <w:rPr>
          <w:rFonts w:hint="default"/>
        </w:rPr>
      </w:pPr>
      <w:r>
        <w:t>培训管理工作遵循</w:t>
      </w:r>
      <w:r>
        <w:rPr>
          <w:rFonts w:hint="eastAsia"/>
          <w:lang w:eastAsia="zh-CN"/>
        </w:rPr>
        <w:t>“</w:t>
      </w:r>
      <w:r>
        <w:rPr>
          <w:rFonts w:hint="default"/>
        </w:rPr>
        <w:t>战略导向、按需施教、学以致用</w:t>
      </w:r>
      <w:r>
        <w:rPr>
          <w:rFonts w:hint="eastAsia"/>
          <w:lang w:eastAsia="zh-CN"/>
        </w:rPr>
        <w:t>”</w:t>
      </w:r>
      <w:r>
        <w:rPr>
          <w:rFonts w:hint="default"/>
        </w:rPr>
        <w:t>的核心原则，旨在通过系统性的培养，提升员工履职能力与职业素养，支持公司战略目标的实现与可持续发展。</w:t>
      </w:r>
    </w:p>
    <w:p w14:paraId="299C16BA">
      <w:pPr>
        <w:pStyle w:val="29"/>
        <w:keepLines w:val="0"/>
        <w:pageBreakBefore w:val="0"/>
        <w:widowControl w:val="0"/>
        <w:wordWrap/>
        <w:overflowPunct/>
        <w:topLinePunct/>
        <w:bidi w:val="0"/>
        <w:rPr>
          <w:rFonts w:hint="default"/>
          <w:lang w:val="en-US" w:eastAsia="zh-CN"/>
        </w:rPr>
      </w:pPr>
      <w:bookmarkStart w:id="5" w:name="_Toc20072"/>
      <w:r>
        <w:rPr>
          <w:rFonts w:hint="eastAsia"/>
          <w:lang w:val="en-US" w:eastAsia="zh-CN"/>
        </w:rPr>
        <w:t>适用范围</w:t>
      </w:r>
      <w:bookmarkEnd w:id="5"/>
    </w:p>
    <w:p w14:paraId="3C9E551F">
      <w:pPr>
        <w:keepNext w:val="0"/>
        <w:keepLines w:val="0"/>
        <w:pageBreakBefore w:val="0"/>
        <w:widowControl w:val="0"/>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3C064033">
      <w:pPr>
        <w:pStyle w:val="29"/>
        <w:keepLines w:val="0"/>
        <w:pageBreakBefore w:val="0"/>
        <w:widowControl w:val="0"/>
        <w:wordWrap/>
        <w:overflowPunct/>
        <w:topLinePunct/>
        <w:bidi w:val="0"/>
      </w:pPr>
      <w:bookmarkStart w:id="6" w:name="_Toc9142"/>
      <w:r>
        <w:rPr>
          <w:rFonts w:hint="eastAsia"/>
          <w:lang w:val="en-US" w:eastAsia="zh-CN"/>
        </w:rPr>
        <w:t>岗位</w:t>
      </w:r>
      <w:r>
        <w:t>职责</w:t>
      </w:r>
      <w:bookmarkEnd w:id="6"/>
    </w:p>
    <w:p w14:paraId="473BE338">
      <w:pPr>
        <w:pStyle w:val="31"/>
        <w:keepLines w:val="0"/>
        <w:pageBreakBefore w:val="0"/>
        <w:widowControl w:val="0"/>
        <w:wordWrap/>
        <w:overflowPunct/>
        <w:topLinePunct/>
        <w:bidi w:val="0"/>
        <w:rPr>
          <w:rFonts w:hint="eastAsia"/>
          <w:lang w:val="en-US" w:eastAsia="zh-CN"/>
        </w:rPr>
      </w:pPr>
      <w:bookmarkStart w:id="7" w:name="_Toc20088"/>
      <w:r>
        <w:rPr>
          <w:rFonts w:hint="eastAsia"/>
          <w:lang w:val="en-US" w:eastAsia="zh-CN"/>
        </w:rPr>
        <w:t>总经理</w:t>
      </w:r>
      <w:bookmarkEnd w:id="7"/>
    </w:p>
    <w:p w14:paraId="79F3421D">
      <w:pPr>
        <w:keepNext w:val="0"/>
        <w:keepLines w:val="0"/>
        <w:pageBreakBefore w:val="0"/>
        <w:widowControl w:val="0"/>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71EABABB">
      <w:pPr>
        <w:pStyle w:val="31"/>
        <w:keepLines w:val="0"/>
        <w:pageBreakBefore w:val="0"/>
        <w:widowControl w:val="0"/>
        <w:wordWrap/>
        <w:overflowPunct/>
        <w:topLinePunct/>
        <w:bidi w:val="0"/>
        <w:rPr>
          <w:rFonts w:hint="eastAsia"/>
          <w:lang w:val="en-US" w:eastAsia="zh-CN"/>
        </w:rPr>
      </w:pPr>
      <w:bookmarkStart w:id="8" w:name="_Toc6881"/>
      <w:r>
        <w:rPr>
          <w:rFonts w:hint="eastAsia"/>
          <w:lang w:val="en-US" w:eastAsia="zh-CN"/>
        </w:rPr>
        <w:t>人力部</w:t>
      </w:r>
      <w:bookmarkEnd w:id="8"/>
    </w:p>
    <w:p w14:paraId="4CEC1517">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6BB9FA69">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6A664A3">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6FD7BA22">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7F028946">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67F92136">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38224B63">
      <w:pPr>
        <w:pStyle w:val="31"/>
        <w:keepLines w:val="0"/>
        <w:pageBreakBefore w:val="0"/>
        <w:widowControl w:val="0"/>
        <w:wordWrap/>
        <w:overflowPunct/>
        <w:topLinePunct/>
        <w:bidi w:val="0"/>
        <w:rPr>
          <w:rFonts w:hint="default"/>
          <w:lang w:val="en-US" w:eastAsia="zh-CN"/>
        </w:rPr>
      </w:pPr>
      <w:bookmarkStart w:id="9" w:name="_Toc10636"/>
      <w:r>
        <w:rPr>
          <w:rFonts w:hint="eastAsia"/>
          <w:lang w:val="en-US" w:eastAsia="zh-CN"/>
        </w:rPr>
        <w:t>其他运维相关部门</w:t>
      </w:r>
      <w:bookmarkEnd w:id="9"/>
    </w:p>
    <w:p w14:paraId="0A652E67">
      <w:pPr>
        <w:keepLines w:val="0"/>
        <w:pageBreakBefore w:val="0"/>
        <w:widowControl w:val="0"/>
        <w:numPr>
          <w:ilvl w:val="0"/>
          <w:numId w:val="5"/>
        </w:numPr>
        <w:wordWrap/>
        <w:overflowPunct/>
        <w:topLinePunct/>
        <w:bidi w:val="0"/>
        <w:spacing w:before="113" w:line="360" w:lineRule="auto"/>
        <w:ind w:left="425" w:leftChars="0" w:right="18" w:hanging="425" w:firstLineChars="0"/>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4130A75">
      <w:pPr>
        <w:keepLines w:val="0"/>
        <w:pageBreakBefore w:val="0"/>
        <w:widowControl w:val="0"/>
        <w:numPr>
          <w:ilvl w:val="0"/>
          <w:numId w:val="5"/>
        </w:numPr>
        <w:wordWrap/>
        <w:overflowPunct/>
        <w:topLinePunct/>
        <w:bidi w:val="0"/>
        <w:spacing w:before="113" w:line="360" w:lineRule="auto"/>
        <w:ind w:left="425" w:leftChars="0" w:right="18" w:hanging="425" w:firstLineChars="0"/>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20BC5379">
      <w:pPr>
        <w:keepLines w:val="0"/>
        <w:pageBreakBefore w:val="0"/>
        <w:widowControl w:val="0"/>
        <w:numPr>
          <w:ilvl w:val="0"/>
          <w:numId w:val="5"/>
        </w:numPr>
        <w:wordWrap/>
        <w:overflowPunct/>
        <w:topLinePunct/>
        <w:bidi w:val="0"/>
        <w:spacing w:before="113" w:line="360" w:lineRule="auto"/>
        <w:ind w:left="425" w:leftChars="0" w:right="18" w:hanging="425" w:firstLineChars="0"/>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的安排，负有对全公司人员培训的</w:t>
      </w:r>
      <w:r>
        <w:rPr>
          <w:rFonts w:ascii="宋体" w:hAnsi="宋体" w:eastAsia="宋体" w:cs="宋体"/>
          <w:spacing w:val="-4"/>
          <w:sz w:val="24"/>
          <w:szCs w:val="24"/>
        </w:rPr>
        <w:t>职责。</w:t>
      </w:r>
    </w:p>
    <w:p w14:paraId="33AAE5BA">
      <w:pPr>
        <w:pStyle w:val="29"/>
        <w:keepLines w:val="0"/>
        <w:pageBreakBefore w:val="0"/>
        <w:widowControl w:val="0"/>
        <w:wordWrap/>
        <w:overflowPunct/>
        <w:topLinePunct/>
        <w:bidi w:val="0"/>
        <w:rPr>
          <w:rFonts w:hint="default" w:eastAsia="宋体"/>
          <w:lang w:val="en-US" w:eastAsia="zh-CN"/>
        </w:rPr>
      </w:pPr>
      <w:bookmarkStart w:id="10" w:name="bookmark4"/>
      <w:bookmarkEnd w:id="10"/>
      <w:bookmarkStart w:id="11" w:name="bookmark2"/>
      <w:bookmarkEnd w:id="11"/>
      <w:bookmarkStart w:id="12" w:name="_Toc21511"/>
      <w:r>
        <w:t>培训</w:t>
      </w:r>
      <w:r>
        <w:rPr>
          <w:rFonts w:hint="eastAsia"/>
          <w:lang w:val="en-US" w:eastAsia="zh-CN"/>
        </w:rPr>
        <w:t>计划</w:t>
      </w:r>
      <w:r>
        <w:t>实施</w:t>
      </w:r>
      <w:bookmarkEnd w:id="12"/>
    </w:p>
    <w:p w14:paraId="6780B7D6">
      <w:pPr>
        <w:keepNext w:val="0"/>
        <w:keepLines w:val="0"/>
        <w:pageBreakBefore w:val="0"/>
        <w:widowControl w:val="0"/>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10121287">
      <w:pPr>
        <w:pStyle w:val="30"/>
        <w:keepLines w:val="0"/>
        <w:pageBreakBefore w:val="0"/>
        <w:widowControl w:val="0"/>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08A5F411">
      <w:pPr>
        <w:pStyle w:val="31"/>
        <w:keepLines w:val="0"/>
        <w:pageBreakBefore w:val="0"/>
        <w:widowControl w:val="0"/>
        <w:wordWrap/>
        <w:overflowPunct/>
        <w:topLinePunct/>
        <w:bidi w:val="0"/>
        <w:rPr>
          <w:rFonts w:hint="default"/>
          <w:lang w:val="en-US" w:eastAsia="zh-CN"/>
        </w:rPr>
      </w:pPr>
      <w:bookmarkStart w:id="13" w:name="_Toc31379"/>
      <w:r>
        <w:rPr>
          <w:rFonts w:hint="eastAsia"/>
          <w:lang w:val="en-US" w:eastAsia="zh-CN"/>
        </w:rPr>
        <w:t>培训目的</w:t>
      </w:r>
      <w:bookmarkEnd w:id="13"/>
    </w:p>
    <w:p w14:paraId="7CD4B54B">
      <w:pPr>
        <w:keepNext w:val="0"/>
        <w:keepLines w:val="0"/>
        <w:pageBreakBefore w:val="0"/>
        <w:widowControl w:val="0"/>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1DAAE126">
      <w:pPr>
        <w:keepNext w:val="0"/>
        <w:keepLines w:val="0"/>
        <w:pageBreakBefore w:val="0"/>
        <w:widowControl w:val="0"/>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r>
        <w:rPr>
          <w:rFonts w:hint="eastAsia" w:ascii="宋体" w:hAnsi="宋体" w:eastAsia="宋体" w:cs="宋体"/>
          <w:spacing w:val="-3"/>
          <w:sz w:val="24"/>
          <w:szCs w:val="24"/>
          <w:lang w:eastAsia="zh-CN"/>
        </w:rPr>
        <w:t>。</w:t>
      </w:r>
    </w:p>
    <w:p w14:paraId="78E0A3B0">
      <w:pPr>
        <w:keepNext w:val="0"/>
        <w:keepLines w:val="0"/>
        <w:pageBreakBefore w:val="0"/>
        <w:widowControl w:val="0"/>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r>
        <w:rPr>
          <w:rFonts w:hint="eastAsia" w:ascii="宋体" w:hAnsi="宋体" w:eastAsia="宋体" w:cs="宋体"/>
          <w:spacing w:val="-3"/>
          <w:sz w:val="24"/>
          <w:szCs w:val="24"/>
          <w:lang w:eastAsia="zh-CN"/>
        </w:rPr>
        <w:t>。</w:t>
      </w:r>
    </w:p>
    <w:p w14:paraId="68E15B43">
      <w:pPr>
        <w:keepNext w:val="0"/>
        <w:keepLines w:val="0"/>
        <w:pageBreakBefore w:val="0"/>
        <w:widowControl w:val="0"/>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4810B931">
      <w:pPr>
        <w:keepNext w:val="0"/>
        <w:keepLines w:val="0"/>
        <w:pageBreakBefore w:val="0"/>
        <w:widowControl w:val="0"/>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提高员工的专业技能和专业知识。</w:t>
      </w:r>
    </w:p>
    <w:p w14:paraId="2C05EADE">
      <w:pPr>
        <w:pStyle w:val="31"/>
        <w:keepLines w:val="0"/>
        <w:pageBreakBefore w:val="0"/>
        <w:widowControl w:val="0"/>
        <w:wordWrap/>
        <w:overflowPunct/>
        <w:topLinePunct/>
        <w:bidi w:val="0"/>
        <w:rPr>
          <w:rFonts w:hint="default"/>
          <w:lang w:val="en-US" w:eastAsia="zh-CN"/>
        </w:rPr>
      </w:pPr>
      <w:bookmarkStart w:id="14" w:name="_Toc22696"/>
      <w:r>
        <w:rPr>
          <w:rFonts w:hint="eastAsia"/>
          <w:lang w:val="en-US" w:eastAsia="zh-CN"/>
        </w:rPr>
        <w:t>培训方式、性质</w:t>
      </w:r>
      <w:bookmarkEnd w:id="14"/>
    </w:p>
    <w:p w14:paraId="5CB91486">
      <w:pPr>
        <w:keepNext w:val="0"/>
        <w:keepLines w:val="0"/>
        <w:pageBreakBefore w:val="0"/>
        <w:widowControl w:val="0"/>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64D4C8AA">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E595FEC">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2C6E48C9">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0E4AAF85">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1B47C1DF">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2A79EEC0">
      <w:pPr>
        <w:keepNext w:val="0"/>
        <w:keepLines w:val="0"/>
        <w:pageBreakBefore w:val="0"/>
        <w:widowControl w:val="0"/>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596BDABA">
      <w:pPr>
        <w:keepNext w:val="0"/>
        <w:keepLines w:val="0"/>
        <w:pageBreakBefore w:val="0"/>
        <w:widowControl w:val="0"/>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3AC598E8">
      <w:pPr>
        <w:keepNext w:val="0"/>
        <w:keepLines w:val="0"/>
        <w:pageBreakBefore w:val="0"/>
        <w:widowControl w:val="0"/>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74C8CEAD">
      <w:pPr>
        <w:keepNext w:val="0"/>
        <w:keepLines w:val="0"/>
        <w:pageBreakBefore w:val="0"/>
        <w:widowControl w:val="0"/>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66B3182">
      <w:pPr>
        <w:keepNext w:val="0"/>
        <w:keepLines w:val="0"/>
        <w:pageBreakBefore w:val="0"/>
        <w:widowControl w:val="0"/>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5E9546D8">
      <w:pPr>
        <w:pStyle w:val="31"/>
        <w:keepLines w:val="0"/>
        <w:pageBreakBefore w:val="0"/>
        <w:widowControl w:val="0"/>
        <w:wordWrap/>
        <w:overflowPunct/>
        <w:topLinePunct/>
        <w:bidi w:val="0"/>
      </w:pPr>
      <w:bookmarkStart w:id="15" w:name="_Toc15919"/>
      <w:r>
        <w:t>培训计划的编制</w:t>
      </w:r>
      <w:bookmarkEnd w:id="15"/>
    </w:p>
    <w:p w14:paraId="70155D05">
      <w:pPr>
        <w:pStyle w:val="30"/>
        <w:keepLines w:val="0"/>
        <w:pageBreakBefore w:val="0"/>
        <w:widowControl w:val="0"/>
        <w:wordWrap/>
        <w:overflowPunct/>
        <w:topLinePunct/>
        <w:bidi w:val="0"/>
      </w:pPr>
      <w:r>
        <w:rPr>
          <w:rFonts w:hint="eastAsia"/>
          <w:lang w:val="en-US" w:eastAsia="zh-CN"/>
        </w:rPr>
        <w:t>公</w:t>
      </w:r>
      <w:r>
        <w:t>司年度培训计划：</w:t>
      </w:r>
      <w:r>
        <w:rPr>
          <w:rFonts w:hint="eastAsia"/>
          <w:lang w:val="en-US" w:eastAsia="zh-CN"/>
        </w:rPr>
        <w:t>人力部</w:t>
      </w:r>
      <w:r>
        <w:t>每年十一月份发放</w:t>
      </w:r>
      <w:r>
        <w:rPr>
          <w:rFonts w:hint="eastAsia"/>
          <w:lang w:eastAsia="zh-CN"/>
        </w:rPr>
        <w:t>“</w:t>
      </w:r>
      <w:r>
        <w:t>员工培训需求调查表</w:t>
      </w:r>
      <w:r>
        <w:rPr>
          <w:rFonts w:hint="eastAsia"/>
          <w:lang w:eastAsia="zh-CN"/>
        </w:rPr>
        <w:t>”</w:t>
      </w:r>
      <w:r>
        <w:t>，员工根据自身的培训需求提出申请，由部门统一报至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1B827F59">
      <w:pPr>
        <w:pStyle w:val="30"/>
        <w:keepLines w:val="0"/>
        <w:pageBreakBefore w:val="0"/>
        <w:widowControl w:val="0"/>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1975EE22">
      <w:pPr>
        <w:pStyle w:val="31"/>
        <w:keepLines w:val="0"/>
        <w:pageBreakBefore w:val="0"/>
        <w:widowControl w:val="0"/>
        <w:wordWrap/>
        <w:overflowPunct/>
        <w:topLinePunct/>
        <w:bidi w:val="0"/>
      </w:pPr>
      <w:bookmarkStart w:id="16" w:name="_Toc28535"/>
      <w:r>
        <w:t>新员工培训</w:t>
      </w:r>
      <w:bookmarkEnd w:id="16"/>
    </w:p>
    <w:p w14:paraId="0BA1D1FE">
      <w:pPr>
        <w:pStyle w:val="32"/>
        <w:keepLines w:val="0"/>
        <w:pageBreakBefore w:val="0"/>
        <w:widowControl w:val="0"/>
        <w:wordWrap/>
        <w:overflowPunct/>
        <w:topLinePunct/>
        <w:bidi w:val="0"/>
      </w:pPr>
      <w:bookmarkStart w:id="17" w:name="_Toc21113"/>
      <w:r>
        <w:t>培训内容</w:t>
      </w:r>
      <w:bookmarkEnd w:id="17"/>
    </w:p>
    <w:p w14:paraId="36EF7EC3">
      <w:pPr>
        <w:pStyle w:val="30"/>
        <w:keepLines w:val="0"/>
        <w:pageBreakBefore w:val="0"/>
        <w:widowControl w:val="0"/>
        <w:numPr>
          <w:ilvl w:val="0"/>
          <w:numId w:val="9"/>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618A4563">
      <w:pPr>
        <w:pStyle w:val="30"/>
        <w:keepLines w:val="0"/>
        <w:pageBreakBefore w:val="0"/>
        <w:widowControl w:val="0"/>
        <w:numPr>
          <w:ilvl w:val="0"/>
          <w:numId w:val="9"/>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6537F49D">
      <w:pPr>
        <w:pStyle w:val="32"/>
        <w:keepLines w:val="0"/>
        <w:pageBreakBefore w:val="0"/>
        <w:widowControl w:val="0"/>
        <w:wordWrap/>
        <w:overflowPunct/>
        <w:topLinePunct/>
        <w:bidi w:val="0"/>
      </w:pPr>
      <w:bookmarkStart w:id="18" w:name="_Toc12178"/>
      <w:r>
        <w:t>培训形式</w:t>
      </w:r>
      <w:bookmarkEnd w:id="18"/>
    </w:p>
    <w:p w14:paraId="33727F07">
      <w:pPr>
        <w:keepLines w:val="0"/>
        <w:pageBreakBefore w:val="0"/>
        <w:widowControl w:val="0"/>
        <w:wordWrap/>
        <w:overflowPunct/>
        <w:topLinePunct/>
        <w:bidi w:val="0"/>
        <w:spacing w:before="153" w:line="219" w:lineRule="auto"/>
        <w:ind w:left="383"/>
        <w:rPr>
          <w:rFonts w:ascii="宋体" w:hAnsi="宋体" w:eastAsia="宋体" w:cs="宋体"/>
          <w:sz w:val="24"/>
          <w:szCs w:val="24"/>
        </w:rPr>
      </w:pPr>
      <w:r>
        <w:rPr>
          <w:rStyle w:val="34"/>
        </w:rPr>
        <w:t>讲授法、案例法、操作示范法、视听教学法等</w:t>
      </w:r>
      <w:r>
        <w:rPr>
          <w:rFonts w:ascii="宋体" w:hAnsi="宋体" w:eastAsia="宋体" w:cs="宋体"/>
          <w:spacing w:val="-1"/>
          <w:sz w:val="24"/>
          <w:szCs w:val="24"/>
        </w:rPr>
        <w:t>。</w:t>
      </w:r>
    </w:p>
    <w:p w14:paraId="6ED732C7">
      <w:pPr>
        <w:pStyle w:val="32"/>
        <w:keepLines w:val="0"/>
        <w:pageBreakBefore w:val="0"/>
        <w:widowControl w:val="0"/>
        <w:wordWrap/>
        <w:overflowPunct/>
        <w:topLinePunct/>
        <w:bidi w:val="0"/>
      </w:pPr>
      <w:bookmarkStart w:id="19" w:name="_Toc1498"/>
      <w:r>
        <w:t>培训实施</w:t>
      </w:r>
      <w:bookmarkEnd w:id="19"/>
    </w:p>
    <w:p w14:paraId="64A7ED86">
      <w:pPr>
        <w:pStyle w:val="30"/>
        <w:keepLines w:val="0"/>
        <w:pageBreakBefore w:val="0"/>
        <w:widowControl w:val="0"/>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3FF82E">
      <w:pPr>
        <w:pStyle w:val="30"/>
        <w:keepLines w:val="0"/>
        <w:pageBreakBefore w:val="0"/>
        <w:widowControl w:val="0"/>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34DBC10D">
      <w:pPr>
        <w:pStyle w:val="30"/>
        <w:keepLines w:val="0"/>
        <w:pageBreakBefore w:val="0"/>
        <w:widowControl w:val="0"/>
        <w:wordWrap/>
        <w:overflowPunct/>
        <w:topLinePunct/>
        <w:bidi w:val="0"/>
      </w:pPr>
      <w:r>
        <w:t>公司新员工入职培训在每月度的中旬组织实施，若当月或前期新入职员工累计不超过5人，可顺延至下一月度。至少每季度应组织一次新员工培训。</w:t>
      </w:r>
    </w:p>
    <w:p w14:paraId="2AC507D5">
      <w:pPr>
        <w:pStyle w:val="30"/>
        <w:keepLines w:val="0"/>
        <w:pageBreakBefore w:val="0"/>
        <w:widowControl w:val="0"/>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55E3A7CE">
      <w:pPr>
        <w:pStyle w:val="30"/>
        <w:keepLines w:val="0"/>
        <w:pageBreakBefore w:val="0"/>
        <w:widowControl w:val="0"/>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E29D575">
      <w:pPr>
        <w:pStyle w:val="30"/>
        <w:keepLines w:val="0"/>
        <w:pageBreakBefore w:val="0"/>
        <w:widowControl w:val="0"/>
        <w:wordWrap/>
        <w:overflowPunct/>
        <w:topLinePunct/>
        <w:bidi w:val="0"/>
      </w:pPr>
      <w:r>
        <w:t>培训过程中如有请假缺课超过三课时的将不予考核，待下期培训时补完相应课程后再进行考核。</w:t>
      </w:r>
    </w:p>
    <w:p w14:paraId="4248C961">
      <w:pPr>
        <w:pStyle w:val="30"/>
        <w:keepLines w:val="0"/>
        <w:pageBreakBefore w:val="0"/>
        <w:widowControl w:val="0"/>
        <w:wordWrap/>
        <w:overflowPunct/>
        <w:topLinePunct/>
        <w:bidi w:val="0"/>
      </w:pPr>
      <w:r>
        <w:t>未经过新员工入职培训的员工，不得参加试用期转正考试，成为公司正式员工。</w:t>
      </w:r>
    </w:p>
    <w:p w14:paraId="621B96D7">
      <w:pPr>
        <w:pStyle w:val="30"/>
        <w:keepLines w:val="0"/>
        <w:pageBreakBefore w:val="0"/>
        <w:widowControl w:val="0"/>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0B185477">
      <w:pPr>
        <w:pStyle w:val="31"/>
        <w:keepLines w:val="0"/>
        <w:pageBreakBefore w:val="0"/>
        <w:widowControl w:val="0"/>
        <w:wordWrap/>
        <w:overflowPunct/>
        <w:topLinePunct/>
        <w:bidi w:val="0"/>
      </w:pPr>
      <w:bookmarkStart w:id="20" w:name="_Toc31355"/>
      <w:r>
        <w:t>在岗员工、转岗员工培训</w:t>
      </w:r>
      <w:bookmarkEnd w:id="20"/>
    </w:p>
    <w:p w14:paraId="7E2476A9">
      <w:pPr>
        <w:pStyle w:val="32"/>
        <w:keepLines w:val="0"/>
        <w:pageBreakBefore w:val="0"/>
        <w:widowControl w:val="0"/>
        <w:wordWrap/>
        <w:overflowPunct/>
        <w:topLinePunct/>
        <w:bidi w:val="0"/>
      </w:pPr>
      <w:bookmarkStart w:id="21" w:name="_Toc13724"/>
      <w:r>
        <w:t>培训内容</w:t>
      </w:r>
      <w:bookmarkEnd w:id="21"/>
    </w:p>
    <w:p w14:paraId="0A9510DA">
      <w:pPr>
        <w:pStyle w:val="30"/>
        <w:keepLines w:val="0"/>
        <w:pageBreakBefore w:val="0"/>
        <w:widowControl w:val="0"/>
        <w:wordWrap/>
        <w:overflowPunct/>
        <w:topLinePunct/>
        <w:bidi w:val="0"/>
      </w:pPr>
      <w:r>
        <w:t>部门应知应会内容，主要为业务知识和操作技能培训。</w:t>
      </w:r>
    </w:p>
    <w:p w14:paraId="70F5A0F7">
      <w:pPr>
        <w:pStyle w:val="32"/>
        <w:keepLines w:val="0"/>
        <w:pageBreakBefore w:val="0"/>
        <w:widowControl w:val="0"/>
        <w:wordWrap/>
        <w:overflowPunct/>
        <w:topLinePunct/>
        <w:bidi w:val="0"/>
      </w:pPr>
      <w:bookmarkStart w:id="22" w:name="_Toc31451"/>
      <w:r>
        <w:t>培训形式</w:t>
      </w:r>
      <w:bookmarkEnd w:id="22"/>
    </w:p>
    <w:p w14:paraId="075BB676">
      <w:pPr>
        <w:pStyle w:val="30"/>
        <w:keepLines w:val="0"/>
        <w:pageBreakBefore w:val="0"/>
        <w:widowControl w:val="0"/>
        <w:wordWrap/>
        <w:overflowPunct/>
        <w:topLinePunct/>
        <w:bidi w:val="0"/>
      </w:pPr>
      <w:r>
        <w:t>讲授法、案例法、操作示范法、视听教学法和讨论法等。</w:t>
      </w:r>
    </w:p>
    <w:p w14:paraId="1556F0E4">
      <w:pPr>
        <w:pStyle w:val="32"/>
        <w:keepLines w:val="0"/>
        <w:pageBreakBefore w:val="0"/>
        <w:widowControl w:val="0"/>
        <w:wordWrap/>
        <w:overflowPunct/>
        <w:topLinePunct/>
        <w:bidi w:val="0"/>
      </w:pPr>
      <w:bookmarkStart w:id="23" w:name="_Toc16936"/>
      <w:r>
        <w:t>培训实施</w:t>
      </w:r>
      <w:bookmarkEnd w:id="23"/>
    </w:p>
    <w:p w14:paraId="68FC5B56">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试用期满且正式录用的员工，为提升工作技能和综合素质，必须接受在岗培训，每位员工都最大程度地掌握应有的专业知识，也使公司的每个岗位上都有最适合该工作的员工，做到人尽其才。</w:t>
      </w:r>
    </w:p>
    <w:p w14:paraId="23E31B19">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在岗培训主要包括</w:t>
      </w:r>
      <w:r>
        <w:rPr>
          <w:rFonts w:hint="eastAsia" w:ascii="宋体" w:hAnsi="宋体" w:eastAsia="宋体" w:cs="宋体"/>
          <w:sz w:val="24"/>
          <w:szCs w:val="24"/>
          <w:lang w:eastAsia="zh-CN"/>
        </w:rPr>
        <w:t>人力部</w:t>
      </w:r>
      <w:r>
        <w:rPr>
          <w:rFonts w:hint="eastAsia" w:ascii="宋体" w:hAnsi="宋体" w:eastAsia="宋体" w:cs="宋体"/>
          <w:sz w:val="24"/>
          <w:szCs w:val="24"/>
        </w:rPr>
        <w:t>每个月举办的各项专题培训和各部门组织的岗位技能培训。</w:t>
      </w:r>
    </w:p>
    <w:p w14:paraId="0238409F">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或各部门拟定培训计划，并按计划由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或各部门的相关讲师执行，以期达到最佳效果。</w:t>
      </w:r>
    </w:p>
    <w:p w14:paraId="1218B6C3">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转岗员工新岗位的业务技能培训由所在部门负责，转岗后每月由</w:t>
      </w:r>
      <w:r>
        <w:rPr>
          <w:rFonts w:hint="eastAsia" w:ascii="宋体" w:hAnsi="宋体" w:eastAsia="宋体" w:cs="宋体"/>
          <w:sz w:val="24"/>
          <w:szCs w:val="24"/>
          <w:lang w:eastAsia="zh-CN"/>
        </w:rPr>
        <w:t>人力部</w:t>
      </w:r>
      <w:r>
        <w:rPr>
          <w:rFonts w:hint="eastAsia" w:ascii="宋体" w:hAnsi="宋体" w:eastAsia="宋体" w:cs="宋体"/>
          <w:sz w:val="24"/>
          <w:szCs w:val="24"/>
        </w:rPr>
        <w:t>与部门对其共同考核，超过二个月仍达不到新岗位要求的，退回原岗位。部门对转岗员工培训不到位的，</w:t>
      </w:r>
      <w:r>
        <w:rPr>
          <w:rFonts w:hint="eastAsia" w:ascii="宋体" w:hAnsi="宋体" w:eastAsia="宋体" w:cs="宋体"/>
          <w:sz w:val="24"/>
          <w:szCs w:val="24"/>
          <w:lang w:eastAsia="zh-CN"/>
        </w:rPr>
        <w:t>人力部</w:t>
      </w:r>
      <w:r>
        <w:rPr>
          <w:rFonts w:hint="eastAsia" w:ascii="宋体" w:hAnsi="宋体" w:eastAsia="宋体" w:cs="宋体"/>
          <w:sz w:val="24"/>
          <w:szCs w:val="24"/>
        </w:rPr>
        <w:t>做出考核。</w:t>
      </w:r>
    </w:p>
    <w:p w14:paraId="20B535B2">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pPr>
      <w:r>
        <w:rPr>
          <w:rFonts w:hint="eastAsia" w:ascii="宋体" w:hAnsi="宋体" w:eastAsia="宋体" w:cs="宋体"/>
          <w:sz w:val="24"/>
          <w:szCs w:val="24"/>
        </w:rPr>
        <w:t>具体培训内容根据培训需求而定。</w:t>
      </w:r>
    </w:p>
    <w:p w14:paraId="1EED2675">
      <w:pPr>
        <w:pStyle w:val="31"/>
        <w:keepLines w:val="0"/>
        <w:pageBreakBefore w:val="0"/>
        <w:widowControl w:val="0"/>
        <w:wordWrap/>
        <w:overflowPunct/>
        <w:topLinePunct/>
        <w:bidi w:val="0"/>
      </w:pPr>
      <w:bookmarkStart w:id="24" w:name="_Toc30293"/>
      <w:r>
        <w:t>基层管理人员培训</w:t>
      </w:r>
      <w:bookmarkEnd w:id="24"/>
    </w:p>
    <w:p w14:paraId="42D9511B">
      <w:pPr>
        <w:pStyle w:val="32"/>
        <w:keepLines w:val="0"/>
        <w:pageBreakBefore w:val="0"/>
        <w:widowControl w:val="0"/>
        <w:wordWrap/>
        <w:overflowPunct/>
        <w:topLinePunct/>
        <w:bidi w:val="0"/>
      </w:pPr>
      <w:bookmarkStart w:id="25" w:name="_Toc3592"/>
      <w:r>
        <w:t>培训内容</w:t>
      </w:r>
      <w:bookmarkEnd w:id="25"/>
    </w:p>
    <w:p w14:paraId="7E1074B1">
      <w:pPr>
        <w:pStyle w:val="30"/>
        <w:keepLines w:val="0"/>
        <w:pageBreakBefore w:val="0"/>
        <w:widowControl w:val="0"/>
        <w:wordWrap/>
        <w:overflowPunct/>
        <w:topLinePunct/>
        <w:bidi w:val="0"/>
      </w:pPr>
      <w:r>
        <w:t>角色认知、沟通技巧、团队管理、时间管理、授权管理、情绪管理、面试技巧、自我更新、领导能力、班会的召开、工作计划的制定等。</w:t>
      </w:r>
    </w:p>
    <w:p w14:paraId="5AB98E59">
      <w:pPr>
        <w:pStyle w:val="32"/>
        <w:keepLines w:val="0"/>
        <w:pageBreakBefore w:val="0"/>
        <w:widowControl w:val="0"/>
        <w:wordWrap/>
        <w:overflowPunct/>
        <w:topLinePunct/>
        <w:bidi w:val="0"/>
      </w:pPr>
      <w:bookmarkStart w:id="26" w:name="_Toc29423"/>
      <w:r>
        <w:t>培训形式</w:t>
      </w:r>
      <w:bookmarkEnd w:id="26"/>
    </w:p>
    <w:p w14:paraId="0A3FF091">
      <w:pPr>
        <w:pStyle w:val="30"/>
        <w:keepLines w:val="0"/>
        <w:pageBreakBefore w:val="0"/>
        <w:widowControl w:val="0"/>
        <w:wordWrap/>
        <w:overflowPunct/>
        <w:topLinePunct/>
        <w:bidi w:val="0"/>
      </w:pPr>
      <w:r>
        <w:t>讲授法、案例法、讨论法、自学法（发放资料）、管理游戏法、外出培训学习等。</w:t>
      </w:r>
    </w:p>
    <w:p w14:paraId="2CDBED2D">
      <w:pPr>
        <w:pStyle w:val="32"/>
        <w:keepLines w:val="0"/>
        <w:pageBreakBefore w:val="0"/>
        <w:widowControl w:val="0"/>
        <w:wordWrap/>
        <w:overflowPunct/>
        <w:topLinePunct/>
        <w:bidi w:val="0"/>
      </w:pPr>
      <w:bookmarkStart w:id="27" w:name="_Toc9767"/>
      <w:r>
        <w:t>培训实施</w:t>
      </w:r>
      <w:bookmarkEnd w:id="27"/>
    </w:p>
    <w:p w14:paraId="1D0D520F">
      <w:pPr>
        <w:pStyle w:val="30"/>
        <w:keepNext w:val="0"/>
        <w:keepLines w:val="0"/>
        <w:pageBreakBefore w:val="0"/>
        <w:widowControl w:val="0"/>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w:t>
      </w:r>
      <w:r>
        <w:rPr>
          <w:rFonts w:hint="eastAsia"/>
          <w:lang w:val="en-US" w:eastAsia="zh-CN"/>
        </w:rPr>
        <w:t>月</w:t>
      </w:r>
      <w:r>
        <w:t>至少举办</w:t>
      </w:r>
      <w:r>
        <w:rPr>
          <w:rFonts w:hint="eastAsia"/>
          <w:lang w:val="en-US" w:eastAsia="zh-CN"/>
        </w:rPr>
        <w:t>一次</w:t>
      </w:r>
      <w:r>
        <w:t>培训，授课人为部门经理以上人员。</w:t>
      </w:r>
    </w:p>
    <w:p w14:paraId="3E81E70E">
      <w:pPr>
        <w:pStyle w:val="30"/>
        <w:keepNext w:val="0"/>
        <w:keepLines w:val="0"/>
        <w:pageBreakBefore w:val="0"/>
        <w:widowControl w:val="0"/>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每位</w:t>
      </w:r>
      <w:r>
        <w:rPr>
          <w:rFonts w:hint="eastAsia"/>
          <w:lang w:val="en-US" w:eastAsia="zh-CN"/>
        </w:rPr>
        <w:t>管理层</w:t>
      </w:r>
      <w:r>
        <w:t>人员必须接受培训，全年参与培训不足三分之二课程的人员将给予降级或降薪处理。</w:t>
      </w:r>
    </w:p>
    <w:p w14:paraId="202F7728">
      <w:pPr>
        <w:pStyle w:val="30"/>
        <w:keepNext w:val="0"/>
        <w:keepLines w:val="0"/>
        <w:pageBreakBefore w:val="0"/>
        <w:widowControl w:val="0"/>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9AD4D42">
      <w:pPr>
        <w:pStyle w:val="30"/>
        <w:keepNext w:val="0"/>
        <w:keepLines w:val="0"/>
        <w:pageBreakBefore w:val="0"/>
        <w:widowControl w:val="0"/>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w:t>
      </w:r>
      <w:r>
        <w:rPr>
          <w:rFonts w:hint="eastAsia"/>
          <w:lang w:val="en-US" w:eastAsia="zh-CN"/>
        </w:rPr>
        <w:t>管理者代表</w:t>
      </w:r>
      <w:r>
        <w:t>审核批准后讲授。</w:t>
      </w:r>
    </w:p>
    <w:p w14:paraId="08D28260">
      <w:pPr>
        <w:pStyle w:val="31"/>
        <w:keepLines w:val="0"/>
        <w:pageBreakBefore w:val="0"/>
        <w:widowControl w:val="0"/>
        <w:wordWrap/>
        <w:overflowPunct/>
        <w:topLinePunct/>
        <w:bidi w:val="0"/>
      </w:pPr>
      <w:bookmarkStart w:id="28" w:name="_Toc29925"/>
      <w:r>
        <w:t>中高层管理人员培训</w:t>
      </w:r>
      <w:bookmarkEnd w:id="28"/>
    </w:p>
    <w:p w14:paraId="48FDE67C">
      <w:pPr>
        <w:pStyle w:val="32"/>
        <w:keepLines w:val="0"/>
        <w:pageBreakBefore w:val="0"/>
        <w:widowControl w:val="0"/>
        <w:wordWrap/>
        <w:overflowPunct/>
        <w:topLinePunct/>
        <w:bidi w:val="0"/>
      </w:pPr>
      <w:bookmarkStart w:id="29" w:name="_Toc25832"/>
      <w:r>
        <w:t>培训内容</w:t>
      </w:r>
      <w:bookmarkEnd w:id="29"/>
    </w:p>
    <w:p w14:paraId="7392A492">
      <w:pPr>
        <w:keepNext w:val="0"/>
        <w:keepLines w:val="0"/>
        <w:pageBreakBefore w:val="0"/>
        <w:widowControl w:val="0"/>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2C736995">
      <w:pPr>
        <w:keepNext w:val="0"/>
        <w:keepLines w:val="0"/>
        <w:pageBreakBefore w:val="0"/>
        <w:widowControl w:val="0"/>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493F4376">
      <w:pPr>
        <w:keepNext w:val="0"/>
        <w:keepLines w:val="0"/>
        <w:pageBreakBefore w:val="0"/>
        <w:widowControl w:val="0"/>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7CFD3AD4">
      <w:pPr>
        <w:keepNext w:val="0"/>
        <w:keepLines w:val="0"/>
        <w:pageBreakBefore w:val="0"/>
        <w:widowControl w:val="0"/>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484B17B6">
      <w:pPr>
        <w:pStyle w:val="32"/>
        <w:keepLines w:val="0"/>
        <w:pageBreakBefore w:val="0"/>
        <w:widowControl w:val="0"/>
        <w:wordWrap/>
        <w:overflowPunct/>
        <w:topLinePunct/>
        <w:bidi w:val="0"/>
      </w:pPr>
      <w:bookmarkStart w:id="30" w:name="_Toc32730"/>
      <w:r>
        <w:t>培训形式</w:t>
      </w:r>
      <w:bookmarkEnd w:id="30"/>
    </w:p>
    <w:p w14:paraId="76E22C36">
      <w:pPr>
        <w:keepLines w:val="0"/>
        <w:pageBreakBefore w:val="0"/>
        <w:widowControl w:val="0"/>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1F66F594">
      <w:pPr>
        <w:pStyle w:val="32"/>
        <w:keepLines w:val="0"/>
        <w:pageBreakBefore w:val="0"/>
        <w:widowControl w:val="0"/>
        <w:wordWrap/>
        <w:overflowPunct/>
        <w:topLinePunct/>
        <w:bidi w:val="0"/>
      </w:pPr>
      <w:bookmarkStart w:id="31" w:name="_Toc12034"/>
      <w:r>
        <w:t>培训实施</w:t>
      </w:r>
      <w:bookmarkEnd w:id="31"/>
    </w:p>
    <w:p w14:paraId="39B7F2A4">
      <w:pPr>
        <w:keepLines w:val="0"/>
        <w:pageBreakBefore w:val="0"/>
        <w:widowControl w:val="0"/>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20人</w:t>
      </w:r>
      <w:r>
        <w:rPr>
          <w:rFonts w:ascii="宋体" w:hAnsi="宋体" w:eastAsia="宋体" w:cs="宋体"/>
          <w:spacing w:val="-8"/>
          <w:sz w:val="24"/>
          <w:szCs w:val="24"/>
        </w:rPr>
        <w:t>次。</w:t>
      </w:r>
    </w:p>
    <w:p w14:paraId="748722FF">
      <w:pPr>
        <w:keepLines w:val="0"/>
        <w:pageBreakBefore w:val="0"/>
        <w:widowControl w:val="0"/>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5E440F81">
      <w:pPr>
        <w:keepLines w:val="0"/>
        <w:pageBreakBefore w:val="0"/>
        <w:widowControl w:val="0"/>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385C01CE">
      <w:pPr>
        <w:pStyle w:val="31"/>
        <w:keepLines w:val="0"/>
        <w:pageBreakBefore w:val="0"/>
        <w:widowControl w:val="0"/>
        <w:wordWrap/>
        <w:overflowPunct/>
        <w:topLinePunct/>
        <w:bidi w:val="0"/>
      </w:pPr>
      <w:bookmarkStart w:id="32" w:name="_Toc7874"/>
      <w:r>
        <w:t>外派培训</w:t>
      </w:r>
      <w:bookmarkEnd w:id="32"/>
    </w:p>
    <w:p w14:paraId="3FBE5156">
      <w:pPr>
        <w:pStyle w:val="32"/>
        <w:keepLines w:val="0"/>
        <w:pageBreakBefore w:val="0"/>
        <w:widowControl w:val="0"/>
        <w:wordWrap/>
        <w:overflowPunct/>
        <w:topLinePunct/>
        <w:bidi w:val="0"/>
      </w:pPr>
      <w:bookmarkStart w:id="33" w:name="_Toc8268"/>
      <w:r>
        <w:rPr>
          <w:rFonts w:hint="eastAsia"/>
          <w:lang w:val="en-US" w:eastAsia="zh-CN"/>
        </w:rPr>
        <w:t>培训内容</w:t>
      </w:r>
      <w:bookmarkEnd w:id="33"/>
    </w:p>
    <w:p w14:paraId="1F5EF47A">
      <w:pPr>
        <w:pStyle w:val="30"/>
        <w:keepLines w:val="0"/>
        <w:pageBreakBefore w:val="0"/>
        <w:widowControl w:val="0"/>
        <w:wordWrap/>
        <w:overflowPunct/>
        <w:topLinePunct/>
        <w:bidi w:val="0"/>
        <w:rPr>
          <w:rFonts w:hint="default"/>
          <w:lang w:val="en-US" w:eastAsia="zh-CN"/>
        </w:rPr>
      </w:pPr>
      <w:r>
        <w:rPr>
          <w:rFonts w:hint="eastAsia"/>
          <w:lang w:val="en-US" w:eastAsia="zh-CN"/>
        </w:rPr>
        <w:t>各部门经理主要学习部门管理方面内容，基层员工主要学习操作类专业技能。</w:t>
      </w:r>
    </w:p>
    <w:p w14:paraId="1A974364">
      <w:pPr>
        <w:pStyle w:val="32"/>
        <w:keepLines w:val="0"/>
        <w:pageBreakBefore w:val="0"/>
        <w:widowControl w:val="0"/>
        <w:wordWrap/>
        <w:overflowPunct/>
        <w:topLinePunct/>
        <w:bidi w:val="0"/>
      </w:pPr>
      <w:bookmarkStart w:id="34" w:name="_Toc4096"/>
      <w:r>
        <w:rPr>
          <w:rFonts w:hint="eastAsia"/>
          <w:lang w:val="en-US" w:eastAsia="zh-CN"/>
        </w:rPr>
        <w:t>培训形式</w:t>
      </w:r>
      <w:bookmarkEnd w:id="34"/>
    </w:p>
    <w:p w14:paraId="69FC1E32">
      <w:pPr>
        <w:pStyle w:val="30"/>
        <w:keepLines w:val="0"/>
        <w:pageBreakBefore w:val="0"/>
        <w:widowControl w:val="0"/>
        <w:wordWrap/>
        <w:overflowPunct/>
        <w:topLinePunct/>
        <w:bidi w:val="0"/>
        <w:rPr>
          <w:rFonts w:hint="default"/>
          <w:lang w:val="en-US" w:eastAsia="zh-CN"/>
        </w:rPr>
      </w:pPr>
      <w:r>
        <w:rPr>
          <w:rFonts w:hint="eastAsia"/>
          <w:lang w:val="en-US" w:eastAsia="zh-CN"/>
        </w:rPr>
        <w:t>外部参观学习。</w:t>
      </w:r>
    </w:p>
    <w:p w14:paraId="275BA328">
      <w:pPr>
        <w:pStyle w:val="32"/>
        <w:keepLines w:val="0"/>
        <w:pageBreakBefore w:val="0"/>
        <w:widowControl w:val="0"/>
        <w:wordWrap/>
        <w:overflowPunct/>
        <w:topLinePunct/>
        <w:bidi w:val="0"/>
      </w:pPr>
      <w:bookmarkStart w:id="35" w:name="_Toc28637"/>
      <w:r>
        <w:t>培训实施</w:t>
      </w:r>
      <w:bookmarkEnd w:id="35"/>
    </w:p>
    <w:p w14:paraId="6573AB02">
      <w:pPr>
        <w:pStyle w:val="45"/>
        <w:numPr>
          <w:ilvl w:val="0"/>
          <w:numId w:val="13"/>
        </w:numPr>
        <w:bidi w:val="0"/>
      </w:pPr>
      <w:r>
        <w:rPr>
          <w:rFonts w:hint="eastAsia"/>
          <w:lang w:eastAsia="zh-CN"/>
        </w:rPr>
        <w:t>人力部</w:t>
      </w:r>
      <w:r>
        <w:t>根据公司发展的规划及各部门的业务之需要，选择合适的培训机构派员工外出参加培训。</w:t>
      </w:r>
    </w:p>
    <w:p w14:paraId="7C17F344">
      <w:pPr>
        <w:pStyle w:val="45"/>
        <w:numPr>
          <w:ilvl w:val="0"/>
          <w:numId w:val="13"/>
        </w:numPr>
        <w:bidi w:val="0"/>
      </w:pPr>
      <w:r>
        <w:t>培训费用：指参加外派培训由公司支付的所有费用，如派送至外地的含食宿、交通等费用。</w:t>
      </w:r>
    </w:p>
    <w:p w14:paraId="696DBD4E">
      <w:pPr>
        <w:pStyle w:val="45"/>
        <w:numPr>
          <w:ilvl w:val="0"/>
          <w:numId w:val="13"/>
        </w:numPr>
        <w:bidi w:val="0"/>
      </w:pPr>
      <w:r>
        <w:t>参加外派培训的员工必须与公司签订相应的培训协议书，经</w:t>
      </w:r>
      <w:r>
        <w:rPr>
          <w:rFonts w:hint="eastAsia"/>
          <w:lang w:eastAsia="zh-CN"/>
        </w:rPr>
        <w:t>人力部</w:t>
      </w:r>
      <w:r>
        <w:t>备案后，方能在财务部借出资金，执行相关的培训。</w:t>
      </w:r>
    </w:p>
    <w:p w14:paraId="5B6A2850">
      <w:pPr>
        <w:pStyle w:val="45"/>
        <w:numPr>
          <w:ilvl w:val="0"/>
          <w:numId w:val="13"/>
        </w:numPr>
        <w:bidi w:val="0"/>
      </w:pPr>
      <w:r>
        <w:t>对有考试任务（公司要求必须通过考试）的外派培训，受训员工必须在培训结束的第一时间参加考试。若该考试涉及到额外的考试费用，则费用处理方式如下：</w:t>
      </w:r>
    </w:p>
    <w:p w14:paraId="6BEC4CE9">
      <w:pPr>
        <w:keepNext w:val="0"/>
        <w:keepLines w:val="0"/>
        <w:pageBreakBefore w:val="0"/>
        <w:widowControl w:val="0"/>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3D00D24E">
      <w:pPr>
        <w:keepNext w:val="0"/>
        <w:keepLines w:val="0"/>
        <w:pageBreakBefore w:val="0"/>
        <w:widowControl w:val="0"/>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64DDE899">
      <w:pPr>
        <w:keepNext w:val="0"/>
        <w:keepLines w:val="0"/>
        <w:pageBreakBefore w:val="0"/>
        <w:widowControl w:val="0"/>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781F6C40">
      <w:pPr>
        <w:pStyle w:val="45"/>
        <w:numPr>
          <w:ilvl w:val="0"/>
          <w:numId w:val="13"/>
        </w:numPr>
        <w:bidi w:val="0"/>
      </w:pPr>
      <w:r>
        <w:t>公司员工参加各类外派培训除应遵守本公司的规章制度外，还应遵守培训单位的有关规定，维护本公司的良好形象，力争取得优异成绩。</w:t>
      </w:r>
    </w:p>
    <w:p w14:paraId="58A3D4B4">
      <w:pPr>
        <w:pStyle w:val="45"/>
        <w:numPr>
          <w:ilvl w:val="0"/>
          <w:numId w:val="13"/>
        </w:numPr>
        <w:bidi w:val="0"/>
      </w:pPr>
      <w:r>
        <w:t>公司员工参加外训取得的各种证书和成绩单应报</w:t>
      </w:r>
      <w:r>
        <w:rPr>
          <w:rFonts w:hint="eastAsia"/>
          <w:lang w:eastAsia="zh-CN"/>
        </w:rPr>
        <w:t>人力部</w:t>
      </w:r>
      <w:r>
        <w:t>备案，作为年度考核的依据。</w:t>
      </w:r>
    </w:p>
    <w:p w14:paraId="01997656">
      <w:pPr>
        <w:pStyle w:val="45"/>
        <w:numPr>
          <w:ilvl w:val="0"/>
          <w:numId w:val="13"/>
        </w:numPr>
        <w:bidi w:val="0"/>
      </w:pPr>
      <w:r>
        <w:t>公司员工参加主要由公司出资的学习、培训应视具体情况同时办理合同变更，培训结束后应服从公司的工作安排或岗位调整。</w:t>
      </w:r>
    </w:p>
    <w:p w14:paraId="60E3BC11">
      <w:pPr>
        <w:pStyle w:val="45"/>
        <w:numPr>
          <w:ilvl w:val="0"/>
          <w:numId w:val="13"/>
        </w:numPr>
        <w:bidi w:val="0"/>
      </w:pPr>
      <w:r>
        <w:t>关于外派培训协议期限：凡公司出资的外派培训，按培训费用的额度定协议期限。</w:t>
      </w:r>
    </w:p>
    <w:p w14:paraId="1A9F721F">
      <w:pPr>
        <w:pStyle w:val="45"/>
        <w:numPr>
          <w:ilvl w:val="0"/>
          <w:numId w:val="15"/>
        </w:numPr>
        <w:bidi w:val="0"/>
        <w:ind w:left="845" w:leftChars="0" w:hanging="425" w:firstLineChars="0"/>
      </w:pPr>
      <w:r>
        <w:t>费用总计在1000元（含 500元）以内的，协议期为一年；</w:t>
      </w:r>
    </w:p>
    <w:p w14:paraId="42696C00">
      <w:pPr>
        <w:pStyle w:val="45"/>
        <w:numPr>
          <w:ilvl w:val="0"/>
          <w:numId w:val="15"/>
        </w:numPr>
        <w:bidi w:val="0"/>
        <w:ind w:left="845" w:leftChars="0" w:hanging="425" w:firstLineChars="0"/>
      </w:pPr>
      <w:r>
        <w:t>费用总计1000-2000元（含1500元）以内的，协议期为两年；</w:t>
      </w:r>
    </w:p>
    <w:p w14:paraId="7473D33C">
      <w:pPr>
        <w:pStyle w:val="45"/>
        <w:numPr>
          <w:ilvl w:val="0"/>
          <w:numId w:val="15"/>
        </w:numPr>
        <w:bidi w:val="0"/>
        <w:ind w:left="845" w:leftChars="0" w:hanging="425" w:firstLineChars="0"/>
      </w:pPr>
      <w:r>
        <w:t>费用总计在 3000元以上的，协议期为三年。</w:t>
      </w:r>
    </w:p>
    <w:p w14:paraId="4CB39FFF">
      <w:pPr>
        <w:pStyle w:val="45"/>
        <w:numPr>
          <w:ilvl w:val="0"/>
          <w:numId w:val="15"/>
        </w:numPr>
        <w:bidi w:val="0"/>
        <w:ind w:left="845" w:leftChars="0" w:hanging="425" w:firstLineChars="0"/>
      </w:pPr>
      <w:r>
        <w:t>费用总计在 5000元-6000元的，协议期为4年，6000元以上，每增加1000 元协议期增加一年。</w:t>
      </w:r>
    </w:p>
    <w:p w14:paraId="4F9CEBDB">
      <w:pPr>
        <w:pStyle w:val="45"/>
        <w:numPr>
          <w:ilvl w:val="0"/>
          <w:numId w:val="13"/>
        </w:numPr>
        <w:bidi w:val="0"/>
      </w:pPr>
      <w:r>
        <w:t>违约赔偿：</w:t>
      </w:r>
    </w:p>
    <w:p w14:paraId="1DEBC1E8">
      <w:pPr>
        <w:pStyle w:val="45"/>
        <w:numPr>
          <w:ilvl w:val="0"/>
          <w:numId w:val="16"/>
        </w:numPr>
        <w:bidi w:val="0"/>
        <w:ind w:left="845" w:leftChars="0" w:hanging="425" w:firstLineChars="0"/>
      </w:pPr>
      <w:r>
        <w:t>员工如在培训协议期内（以员工与公司签订的培训协议为准）自动辞职，或公司按公司规章制度提前解除与员工的劳动关系的，员工应赔偿公司的培训费用，赔偿金额的计算方法为：</w:t>
      </w:r>
    </w:p>
    <w:p w14:paraId="611E9F1F">
      <w:pPr>
        <w:keepLines w:val="0"/>
        <w:pageBreakBefore w:val="0"/>
        <w:widowControl w:val="0"/>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5CB127CE">
      <w:pPr>
        <w:pStyle w:val="45"/>
        <w:numPr>
          <w:ilvl w:val="0"/>
          <w:numId w:val="16"/>
        </w:numPr>
        <w:bidi w:val="0"/>
        <w:ind w:left="845" w:leftChars="0" w:hanging="425" w:firstLineChars="0"/>
      </w:pPr>
      <w:r>
        <w:t>员工在学习培训期间因违反本制度给公司造成损失的，应该负相关的赔偿责任。</w:t>
      </w:r>
    </w:p>
    <w:p w14:paraId="6A7C2F56">
      <w:pPr>
        <w:keepNext w:val="0"/>
        <w:keepLines w:val="0"/>
        <w:pageBreakBefore w:val="0"/>
        <w:widowControl w:val="0"/>
        <w:numPr>
          <w:ilvl w:val="0"/>
          <w:numId w:val="13"/>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A6D6906">
      <w:pPr>
        <w:pStyle w:val="31"/>
        <w:keepLines w:val="0"/>
        <w:pageBreakBefore w:val="0"/>
        <w:widowControl w:val="0"/>
        <w:wordWrap/>
        <w:overflowPunct/>
        <w:topLinePunct/>
        <w:bidi w:val="0"/>
      </w:pPr>
      <w:bookmarkStart w:id="36" w:name="_Toc24457"/>
      <w:r>
        <w:t>外聘讲师培训</w:t>
      </w:r>
      <w:bookmarkEnd w:id="36"/>
    </w:p>
    <w:p w14:paraId="5C9A653A">
      <w:pPr>
        <w:pStyle w:val="32"/>
        <w:keepLines w:val="0"/>
        <w:pageBreakBefore w:val="0"/>
        <w:widowControl w:val="0"/>
        <w:wordWrap/>
        <w:overflowPunct/>
        <w:topLinePunct/>
        <w:bidi w:val="0"/>
        <w:rPr>
          <w:rFonts w:hint="eastAsia"/>
          <w:lang w:val="en-US" w:eastAsia="zh-CN"/>
        </w:rPr>
      </w:pPr>
      <w:bookmarkStart w:id="37" w:name="_Toc20009"/>
      <w:r>
        <w:rPr>
          <w:rFonts w:hint="eastAsia"/>
          <w:lang w:val="en-US" w:eastAsia="zh-CN"/>
        </w:rPr>
        <w:t>培训内容</w:t>
      </w:r>
      <w:bookmarkEnd w:id="37"/>
    </w:p>
    <w:p w14:paraId="38D1DCC3">
      <w:pPr>
        <w:pStyle w:val="30"/>
        <w:keepLines w:val="0"/>
        <w:pageBreakBefore w:val="0"/>
        <w:widowControl w:val="0"/>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09A1534">
      <w:pPr>
        <w:pStyle w:val="32"/>
        <w:keepLines w:val="0"/>
        <w:pageBreakBefore w:val="0"/>
        <w:widowControl w:val="0"/>
        <w:wordWrap/>
        <w:overflowPunct/>
        <w:topLinePunct/>
        <w:bidi w:val="0"/>
        <w:rPr>
          <w:rFonts w:hint="eastAsia"/>
          <w:lang w:val="en-US" w:eastAsia="zh-CN"/>
        </w:rPr>
      </w:pPr>
      <w:bookmarkStart w:id="38" w:name="_Toc18190"/>
      <w:r>
        <w:rPr>
          <w:rFonts w:hint="eastAsia"/>
          <w:lang w:val="en-US" w:eastAsia="zh-CN"/>
        </w:rPr>
        <w:t>培训形式</w:t>
      </w:r>
      <w:bookmarkEnd w:id="38"/>
    </w:p>
    <w:p w14:paraId="0C75C900">
      <w:pPr>
        <w:pStyle w:val="30"/>
        <w:keepLines w:val="0"/>
        <w:pageBreakBefore w:val="0"/>
        <w:widowControl w:val="0"/>
        <w:wordWrap/>
        <w:overflowPunct/>
        <w:topLinePunct/>
        <w:bidi w:val="0"/>
      </w:pPr>
      <w:r>
        <w:t>讲授法、讨论法、案例法、管理游戏法、外出观摩、外出培训学习、脱岗进修等</w:t>
      </w:r>
    </w:p>
    <w:p w14:paraId="03CE8838">
      <w:pPr>
        <w:pStyle w:val="32"/>
        <w:keepLines w:val="0"/>
        <w:pageBreakBefore w:val="0"/>
        <w:widowControl w:val="0"/>
        <w:wordWrap/>
        <w:overflowPunct/>
        <w:topLinePunct/>
        <w:bidi w:val="0"/>
        <w:rPr>
          <w:rFonts w:hint="default"/>
          <w:lang w:val="en-US" w:eastAsia="zh-CN"/>
        </w:rPr>
      </w:pPr>
      <w:bookmarkStart w:id="39" w:name="_Toc21761"/>
      <w:r>
        <w:rPr>
          <w:rFonts w:hint="eastAsia"/>
          <w:lang w:val="en-US" w:eastAsia="zh-CN"/>
        </w:rPr>
        <w:t>培训实施</w:t>
      </w:r>
      <w:bookmarkEnd w:id="39"/>
    </w:p>
    <w:p w14:paraId="74EDECEE">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383AC59F">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577F9115">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414D584D">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21AD8F56">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32C01996">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18783883">
      <w:pPr>
        <w:keepNext w:val="0"/>
        <w:keepLines w:val="0"/>
        <w:pageBreakBefore w:val="0"/>
        <w:widowControl w:val="0"/>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7911632E">
      <w:pPr>
        <w:pStyle w:val="31"/>
        <w:keepLines w:val="0"/>
        <w:pageBreakBefore w:val="0"/>
        <w:widowControl w:val="0"/>
        <w:wordWrap/>
        <w:overflowPunct/>
        <w:bidi w:val="0"/>
      </w:pPr>
      <w:bookmarkStart w:id="40" w:name="bookmark5"/>
      <w:bookmarkEnd w:id="40"/>
      <w:bookmarkStart w:id="41" w:name="_Toc11381"/>
      <w:r>
        <w:t>培训的考核</w:t>
      </w:r>
      <w:bookmarkEnd w:id="41"/>
    </w:p>
    <w:p w14:paraId="00608EFB">
      <w:pPr>
        <w:pStyle w:val="30"/>
        <w:keepLines w:val="0"/>
        <w:pageBreakBefore w:val="0"/>
        <w:widowControl w:val="0"/>
        <w:wordWrap/>
        <w:overflowPunct/>
        <w:topLinePunct/>
        <w:bidi w:val="0"/>
      </w:pPr>
      <w:r>
        <w:t>公司员工有参加培训的权利，同时参加培训也是每个员工的义务。员工对于参加的每项培训，都需要认真对待，按时参加，公司也会进行严格考核。</w:t>
      </w:r>
    </w:p>
    <w:p w14:paraId="330F5518">
      <w:pPr>
        <w:pStyle w:val="32"/>
        <w:keepLines w:val="0"/>
        <w:pageBreakBefore w:val="0"/>
        <w:widowControl w:val="0"/>
        <w:wordWrap/>
        <w:overflowPunct/>
        <w:bidi w:val="0"/>
      </w:pPr>
      <w:bookmarkStart w:id="42" w:name="_Toc8353"/>
      <w:r>
        <w:t>考勤要求</w:t>
      </w:r>
      <w:bookmarkEnd w:id="42"/>
    </w:p>
    <w:p w14:paraId="40A4CD9D">
      <w:pPr>
        <w:keepLines w:val="0"/>
        <w:pageBreakBefore w:val="0"/>
        <w:widowControl w:val="0"/>
        <w:numPr>
          <w:ilvl w:val="0"/>
          <w:numId w:val="18"/>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1F662E7A">
      <w:pPr>
        <w:keepLines w:val="0"/>
        <w:pageBreakBefore w:val="0"/>
        <w:widowControl w:val="0"/>
        <w:numPr>
          <w:ilvl w:val="0"/>
          <w:numId w:val="18"/>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0EC60F78">
      <w:pPr>
        <w:keepLines w:val="0"/>
        <w:pageBreakBefore w:val="0"/>
        <w:widowControl w:val="0"/>
        <w:numPr>
          <w:ilvl w:val="0"/>
          <w:numId w:val="18"/>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3733C068">
      <w:pPr>
        <w:pStyle w:val="32"/>
        <w:keepLines w:val="0"/>
        <w:pageBreakBefore w:val="0"/>
        <w:widowControl w:val="0"/>
        <w:wordWrap/>
        <w:overflowPunct/>
        <w:bidi w:val="0"/>
      </w:pPr>
      <w:bookmarkStart w:id="43" w:name="_Toc6448"/>
      <w:r>
        <w:t>考核要求</w:t>
      </w:r>
      <w:bookmarkEnd w:id="43"/>
    </w:p>
    <w:p w14:paraId="6CBD2253">
      <w:pPr>
        <w:keepNext w:val="0"/>
        <w:keepLines w:val="0"/>
        <w:pageBreakBefore w:val="0"/>
        <w:widowControl w:val="0"/>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633377F8">
      <w:pPr>
        <w:keepNext w:val="0"/>
        <w:keepLines w:val="0"/>
        <w:pageBreakBefore w:val="0"/>
        <w:widowControl w:val="0"/>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w:t>
      </w:r>
      <w:r>
        <w:rPr>
          <w:rFonts w:hint="eastAsia" w:ascii="宋体" w:hAnsi="宋体" w:cs="宋体"/>
          <w:spacing w:val="-6"/>
          <w:sz w:val="24"/>
          <w:szCs w:val="24"/>
          <w:lang w:eastAsia="zh-CN"/>
        </w:rPr>
        <w:t>《</w:t>
      </w:r>
      <w:r>
        <w:rPr>
          <w:rFonts w:ascii="宋体" w:hAnsi="宋体" w:eastAsia="宋体" w:cs="宋体"/>
          <w:spacing w:val="-6"/>
          <w:sz w:val="24"/>
          <w:szCs w:val="24"/>
        </w:rPr>
        <w:t>培训评价反馈表</w:t>
      </w:r>
      <w:r>
        <w:rPr>
          <w:rFonts w:hint="eastAsia" w:ascii="宋体" w:hAnsi="宋体" w:cs="宋体"/>
          <w:spacing w:val="-6"/>
          <w:sz w:val="24"/>
          <w:szCs w:val="24"/>
          <w:lang w:eastAsia="zh-CN"/>
        </w:rPr>
        <w:t>》</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29F0C111">
      <w:pPr>
        <w:keepNext w:val="0"/>
        <w:keepLines w:val="0"/>
        <w:pageBreakBefore w:val="0"/>
        <w:widowControl w:val="0"/>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6B243780">
      <w:pPr>
        <w:pStyle w:val="31"/>
        <w:keepLines w:val="0"/>
        <w:pageBreakBefore w:val="0"/>
        <w:widowControl w:val="0"/>
        <w:wordWrap/>
        <w:overflowPunct/>
        <w:bidi w:val="0"/>
      </w:pPr>
      <w:bookmarkStart w:id="44" w:name="_Toc5250"/>
      <w:bookmarkStart w:id="45" w:name="_Toc8761"/>
      <w:r>
        <w:rPr>
          <w:rFonts w:hint="eastAsia"/>
          <w:lang w:val="en-US" w:eastAsia="zh-CN"/>
        </w:rPr>
        <w:t>考核指标</w:t>
      </w:r>
      <w:bookmarkEnd w:id="44"/>
      <w:bookmarkEnd w:id="45"/>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375F6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607A1018">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52099FA0">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41745D5D">
            <w:pPr>
              <w:keepLines w:val="0"/>
              <w:pageBreakBefore w:val="0"/>
              <w:widowControl w:val="0"/>
              <w:wordWrap/>
              <w:overflowPunct/>
              <w:bidi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3AEB443B">
            <w:pPr>
              <w:keepLines w:val="0"/>
              <w:pageBreakBefore w:val="0"/>
              <w:widowControl w:val="0"/>
              <w:wordWrap/>
              <w:overflowPunct/>
              <w:bidi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02F91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5D8C1CAE">
            <w:pPr>
              <w:keepLines w:val="0"/>
              <w:pageBreakBefore w:val="0"/>
              <w:widowControl w:val="0"/>
              <w:wordWrap/>
              <w:overflowPunct/>
              <w:bidi w:val="0"/>
              <w:rPr>
                <w:vertAlign w:val="baseline"/>
              </w:rPr>
            </w:pPr>
            <w:r>
              <w:rPr>
                <w:rFonts w:hint="eastAsia" w:ascii="宋体" w:hAnsi="宋体" w:eastAsia="宋体" w:cs="宋体"/>
                <w:sz w:val="18"/>
                <w:szCs w:val="18"/>
              </w:rPr>
              <w:t>培训计划完成率</w:t>
            </w:r>
          </w:p>
        </w:tc>
        <w:tc>
          <w:tcPr>
            <w:tcW w:w="3706" w:type="dxa"/>
            <w:vAlign w:val="center"/>
          </w:tcPr>
          <w:p w14:paraId="356FD8B4">
            <w:pPr>
              <w:keepLines w:val="0"/>
              <w:pageBreakBefore w:val="0"/>
              <w:widowControl w:val="0"/>
              <w:wordWrap/>
              <w:overflowPunct/>
              <w:bidi w:val="0"/>
              <w:rPr>
                <w:vertAlign w:val="baseline"/>
              </w:rPr>
            </w:pPr>
            <w:r>
              <w:rPr>
                <w:rFonts w:hint="eastAsia" w:ascii="宋体" w:hAnsi="宋体" w:eastAsia="宋体" w:cs="宋体"/>
                <w:sz w:val="18"/>
                <w:szCs w:val="18"/>
              </w:rPr>
              <w:t>累计培训课程数/计划培训课数*100%</w:t>
            </w:r>
          </w:p>
        </w:tc>
        <w:tc>
          <w:tcPr>
            <w:tcW w:w="1147" w:type="dxa"/>
            <w:vAlign w:val="center"/>
          </w:tcPr>
          <w:p w14:paraId="75B2CC70">
            <w:pPr>
              <w:keepLines w:val="0"/>
              <w:pageBreakBefore w:val="0"/>
              <w:widowControl w:val="0"/>
              <w:wordWrap/>
              <w:overflowPunct/>
              <w:bidi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35A16A45">
            <w:pPr>
              <w:keepLines w:val="0"/>
              <w:pageBreakBefore w:val="0"/>
              <w:widowControl w:val="0"/>
              <w:wordWrap/>
              <w:overflowPunct/>
              <w:bidi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eastAsia="宋体" w:cs="宋体"/>
                <w:sz w:val="18"/>
                <w:szCs w:val="18"/>
                <w:lang w:val="en-US" w:eastAsia="zh-CN"/>
              </w:rPr>
              <w:t>月</w:t>
            </w:r>
          </w:p>
        </w:tc>
      </w:tr>
    </w:tbl>
    <w:p w14:paraId="1A3FBE69">
      <w:pPr>
        <w:pStyle w:val="29"/>
        <w:keepLines w:val="0"/>
        <w:pageBreakBefore w:val="0"/>
        <w:widowControl w:val="0"/>
        <w:wordWrap/>
        <w:overflowPunct/>
        <w:topLinePunct/>
        <w:bidi w:val="0"/>
      </w:pPr>
      <w:bookmarkStart w:id="46" w:name="bookmark6"/>
      <w:bookmarkEnd w:id="46"/>
      <w:bookmarkStart w:id="47" w:name="_Toc32645"/>
      <w:r>
        <w:t>附则</w:t>
      </w:r>
      <w:bookmarkEnd w:id="47"/>
    </w:p>
    <w:p w14:paraId="79161AE2">
      <w:pPr>
        <w:keepNext w:val="0"/>
        <w:keepLines w:val="0"/>
        <w:pageBreakBefore w:val="0"/>
        <w:widowControl w:val="0"/>
        <w:numPr>
          <w:ilvl w:val="0"/>
          <w:numId w:val="2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2"/>
          <w:sz w:val="24"/>
          <w:szCs w:val="24"/>
        </w:rPr>
        <w:t>自颁布之日起施行</w:t>
      </w:r>
      <w:r>
        <w:rPr>
          <w:rFonts w:ascii="宋体" w:hAnsi="宋体" w:eastAsia="宋体" w:cs="宋体"/>
          <w:spacing w:val="-1"/>
          <w:sz w:val="24"/>
          <w:szCs w:val="24"/>
        </w:rPr>
        <w:t>。</w:t>
      </w:r>
    </w:p>
    <w:p w14:paraId="41460D2A">
      <w:pPr>
        <w:pStyle w:val="29"/>
        <w:keepLines w:val="0"/>
        <w:pageBreakBefore w:val="0"/>
        <w:widowControl w:val="0"/>
        <w:wordWrap/>
        <w:overflowPunct/>
        <w:topLinePunct/>
        <w:bidi w:val="0"/>
        <w:rPr>
          <w:rFonts w:hint="eastAsia"/>
          <w:lang w:val="en-US" w:eastAsia="zh-CN"/>
        </w:rPr>
      </w:pPr>
      <w:bookmarkStart w:id="48" w:name="_Toc9861"/>
      <w:r>
        <w:rPr>
          <w:rFonts w:hint="eastAsia"/>
          <w:lang w:val="en-US" w:eastAsia="zh-CN"/>
        </w:rPr>
        <w:t>附件</w:t>
      </w:r>
      <w:bookmarkEnd w:id="48"/>
    </w:p>
    <w:p w14:paraId="63C16D8E">
      <w:pPr>
        <w:pStyle w:val="30"/>
        <w:keepLines w:val="0"/>
        <w:pageBreakBefore w:val="0"/>
        <w:widowControl w:val="0"/>
        <w:wordWrap/>
        <w:overflowPunct/>
        <w:topLinePunct/>
        <w:bidi w:val="0"/>
        <w:rPr>
          <w:rFonts w:hint="default"/>
          <w:lang w:val="en-US" w:eastAsia="zh-CN"/>
        </w:rPr>
      </w:pPr>
      <w:r>
        <w:rPr>
          <w:rFonts w:hint="eastAsia"/>
          <w:lang w:val="en-US" w:eastAsia="zh-CN"/>
        </w:rPr>
        <w:t>无</w:t>
      </w:r>
    </w:p>
    <w:p w14:paraId="1E02A139">
      <w:pPr>
        <w:pStyle w:val="29"/>
        <w:keepLines w:val="0"/>
        <w:pageBreakBefore w:val="0"/>
        <w:widowControl w:val="0"/>
        <w:wordWrap/>
        <w:overflowPunct/>
        <w:topLinePunct/>
        <w:bidi w:val="0"/>
      </w:pPr>
      <w:bookmarkStart w:id="49" w:name="_Toc12411"/>
      <w:r>
        <w:t>记录</w:t>
      </w:r>
      <w:bookmarkEnd w:id="49"/>
    </w:p>
    <w:p w14:paraId="4DFC38ED">
      <w:pPr>
        <w:pStyle w:val="30"/>
        <w:ind w:left="0" w:leftChars="0" w:right="0" w:rightChars="0" w:firstLine="0" w:firstLineChars="0"/>
        <w:jc w:val="center"/>
        <w:rPr>
          <w:rFonts w:hint="default" w:eastAsia="宋体"/>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STYLEREF "柴_标题1" \n \* Charformat</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 SEQ 表 \* ARABIC  \s 1</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记录文件统计表</w:t>
      </w:r>
    </w:p>
    <w:tbl>
      <w:tblPr>
        <w:tblStyle w:val="27"/>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3DE5E7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tcPr>
          <w:p w14:paraId="08CC77B6">
            <w:pPr>
              <w:keepLines w:val="0"/>
              <w:pageBreakBefore w:val="0"/>
              <w:widowControl w:val="0"/>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tcPr>
          <w:p w14:paraId="084F5D35">
            <w:pPr>
              <w:keepLines w:val="0"/>
              <w:pageBreakBefore w:val="0"/>
              <w:widowControl w:val="0"/>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tcPr>
          <w:p w14:paraId="731D7C25">
            <w:pPr>
              <w:keepLines w:val="0"/>
              <w:pageBreakBefore w:val="0"/>
              <w:widowControl w:val="0"/>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tcPr>
          <w:p w14:paraId="67950CD1">
            <w:pPr>
              <w:keepLines w:val="0"/>
              <w:pageBreakBefore w:val="0"/>
              <w:widowControl w:val="0"/>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tcPr>
          <w:p w14:paraId="6DE52EBC">
            <w:pPr>
              <w:keepLines w:val="0"/>
              <w:pageBreakBefore w:val="0"/>
              <w:widowControl w:val="0"/>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tcPr>
          <w:p w14:paraId="089FCF2E">
            <w:pPr>
              <w:keepLines w:val="0"/>
              <w:pageBreakBefore w:val="0"/>
              <w:widowControl w:val="0"/>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4FC5C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tcPr>
          <w:p w14:paraId="6DAD907B">
            <w:pPr>
              <w:keepLines w:val="0"/>
              <w:pageBreakBefore w:val="0"/>
              <w:widowControl w:val="0"/>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tcPr>
          <w:p w14:paraId="2FED41C2">
            <w:pPr>
              <w:keepLines w:val="0"/>
              <w:pageBreakBefore w:val="0"/>
              <w:widowControl w:val="0"/>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-03-01</w:t>
            </w:r>
          </w:p>
        </w:tc>
        <w:tc>
          <w:tcPr>
            <w:tcW w:w="2292" w:type="dxa"/>
          </w:tcPr>
          <w:p w14:paraId="7116F78F">
            <w:pPr>
              <w:keepLines w:val="0"/>
              <w:pageBreakBefore w:val="0"/>
              <w:widowControl w:val="0"/>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tcPr>
          <w:p w14:paraId="67352F16">
            <w:pPr>
              <w:keepLines w:val="0"/>
              <w:pageBreakBefore w:val="0"/>
              <w:widowControl w:val="0"/>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5E2E557">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0D8E5AC9">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FCCC2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tcPr>
          <w:p w14:paraId="2CE219B2">
            <w:pPr>
              <w:keepLines w:val="0"/>
              <w:pageBreakBefore w:val="0"/>
              <w:widowControl w:val="0"/>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tcPr>
          <w:p w14:paraId="16CC91E7">
            <w:pPr>
              <w:keepLines w:val="0"/>
              <w:pageBreakBefore w:val="0"/>
              <w:widowControl w:val="0"/>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-03-02</w:t>
            </w:r>
          </w:p>
        </w:tc>
        <w:tc>
          <w:tcPr>
            <w:tcW w:w="2292" w:type="dxa"/>
          </w:tcPr>
          <w:p w14:paraId="047F59EF">
            <w:pPr>
              <w:keepLines w:val="0"/>
              <w:pageBreakBefore w:val="0"/>
              <w:widowControl w:val="0"/>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tcPr>
          <w:p w14:paraId="1B6DA318">
            <w:pPr>
              <w:keepLines w:val="0"/>
              <w:pageBreakBefore w:val="0"/>
              <w:widowControl w:val="0"/>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1686DEFB">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6B6B800">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5A2FB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tcPr>
          <w:p w14:paraId="22C391F0">
            <w:pPr>
              <w:keepLines w:val="0"/>
              <w:pageBreakBefore w:val="0"/>
              <w:widowControl w:val="0"/>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tcPr>
          <w:p w14:paraId="70ED4DBA">
            <w:pPr>
              <w:keepLines w:val="0"/>
              <w:pageBreakBefore w:val="0"/>
              <w:widowControl w:val="0"/>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-03-03</w:t>
            </w:r>
          </w:p>
        </w:tc>
        <w:tc>
          <w:tcPr>
            <w:tcW w:w="2292" w:type="dxa"/>
          </w:tcPr>
          <w:p w14:paraId="70568186">
            <w:pPr>
              <w:keepLines w:val="0"/>
              <w:pageBreakBefore w:val="0"/>
              <w:widowControl w:val="0"/>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tcPr>
          <w:p w14:paraId="4CD2EC63">
            <w:pPr>
              <w:keepLines w:val="0"/>
              <w:pageBreakBefore w:val="0"/>
              <w:widowControl w:val="0"/>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EF0B135">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BCAE787">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52053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tcPr>
          <w:p w14:paraId="657206C7">
            <w:pPr>
              <w:keepLines w:val="0"/>
              <w:pageBreakBefore w:val="0"/>
              <w:widowControl w:val="0"/>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tcPr>
          <w:p w14:paraId="02F4F70F">
            <w:pPr>
              <w:keepLines w:val="0"/>
              <w:pageBreakBefore w:val="0"/>
              <w:widowControl w:val="0"/>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-03-04</w:t>
            </w:r>
          </w:p>
        </w:tc>
        <w:tc>
          <w:tcPr>
            <w:tcW w:w="2292" w:type="dxa"/>
          </w:tcPr>
          <w:p w14:paraId="464B4C7D">
            <w:pPr>
              <w:keepLines w:val="0"/>
              <w:pageBreakBefore w:val="0"/>
              <w:widowControl w:val="0"/>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tcPr>
          <w:p w14:paraId="1BFB12E5">
            <w:pPr>
              <w:keepLines w:val="0"/>
              <w:pageBreakBefore w:val="0"/>
              <w:widowControl w:val="0"/>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8050ABD">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47A9CC1">
            <w:pPr>
              <w:keepLines w:val="0"/>
              <w:pageBreakBefore w:val="0"/>
              <w:widowControl w:val="0"/>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w:t>
            </w:r>
            <w:bookmarkStart w:id="50" w:name="_GoBack"/>
            <w:bookmarkEnd w:id="50"/>
            <w:r>
              <w:rPr>
                <w:rFonts w:hint="eastAsia" w:ascii="宋体" w:hAnsi="宋体" w:eastAsia="宋体" w:cs="宋体"/>
                <w:spacing w:val="-5"/>
                <w:sz w:val="24"/>
                <w:szCs w:val="24"/>
                <w:lang w:eastAsia="zh-CN"/>
              </w:rPr>
              <w:t>年</w:t>
            </w:r>
          </w:p>
        </w:tc>
      </w:tr>
    </w:tbl>
    <w:p w14:paraId="6DE5B1C6">
      <w:pPr>
        <w:pStyle w:val="13"/>
        <w:keepLines w:val="0"/>
        <w:pageBreakBefore w:val="0"/>
        <w:widowControl w:val="0"/>
        <w:wordWrap/>
        <w:overflowPunct/>
        <w:topLinePunct/>
        <w:bidi w:val="0"/>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C49EEE">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A1BFD35F"/>
    <w:multiLevelType w:val="singleLevel"/>
    <w:tmpl w:val="A1BFD35F"/>
    <w:lvl w:ilvl="0" w:tentative="0">
      <w:start w:val="1"/>
      <w:numFmt w:val="decimal"/>
      <w:lvlText w:val="(%1)"/>
      <w:lvlJc w:val="left"/>
      <w:pPr>
        <w:tabs>
          <w:tab w:val="left" w:pos="420"/>
        </w:tabs>
        <w:ind w:left="845" w:hanging="425"/>
      </w:pPr>
      <w:rPr>
        <w:rFonts w:hint="default"/>
      </w:rPr>
    </w:lvl>
  </w:abstractNum>
  <w:abstractNum w:abstractNumId="4">
    <w:nsid w:val="AC9031B7"/>
    <w:multiLevelType w:val="singleLevel"/>
    <w:tmpl w:val="AC9031B7"/>
    <w:lvl w:ilvl="0" w:tentative="0">
      <w:start w:val="1"/>
      <w:numFmt w:val="decimal"/>
      <w:lvlText w:val="%1."/>
      <w:lvlJc w:val="left"/>
      <w:pPr>
        <w:ind w:left="425" w:hanging="425"/>
      </w:pPr>
      <w:rPr>
        <w:rFonts w:hint="default"/>
      </w:rPr>
    </w:lvl>
  </w:abstractNum>
  <w:abstractNum w:abstractNumId="5">
    <w:nsid w:val="B58B1E06"/>
    <w:multiLevelType w:val="singleLevel"/>
    <w:tmpl w:val="B58B1E06"/>
    <w:lvl w:ilvl="0" w:tentative="0">
      <w:start w:val="1"/>
      <w:numFmt w:val="decimal"/>
      <w:lvlText w:val="%1."/>
      <w:lvlJc w:val="left"/>
      <w:pPr>
        <w:ind w:left="425" w:hanging="425"/>
      </w:pPr>
      <w:rPr>
        <w:rFonts w:hint="default"/>
      </w:rPr>
    </w:lvl>
  </w:abstractNum>
  <w:abstractNum w:abstractNumId="6">
    <w:nsid w:val="D0E699EB"/>
    <w:multiLevelType w:val="singleLevel"/>
    <w:tmpl w:val="D0E699EB"/>
    <w:lvl w:ilvl="0" w:tentative="0">
      <w:start w:val="1"/>
      <w:numFmt w:val="decimal"/>
      <w:lvlText w:val="(%1)"/>
      <w:lvlJc w:val="left"/>
      <w:pPr>
        <w:tabs>
          <w:tab w:val="left" w:pos="420"/>
        </w:tabs>
        <w:ind w:left="845" w:hanging="425"/>
      </w:pPr>
      <w:rPr>
        <w:rFonts w:hint="default"/>
      </w:rPr>
    </w:lvl>
  </w:abstractNum>
  <w:abstractNum w:abstractNumId="7">
    <w:nsid w:val="E1DFE2B7"/>
    <w:multiLevelType w:val="singleLevel"/>
    <w:tmpl w:val="E1DFE2B7"/>
    <w:lvl w:ilvl="0" w:tentative="0">
      <w:start w:val="1"/>
      <w:numFmt w:val="decimal"/>
      <w:lvlText w:val="%1."/>
      <w:lvlJc w:val="left"/>
      <w:pPr>
        <w:ind w:left="425" w:hanging="425"/>
      </w:pPr>
      <w:rPr>
        <w:rFonts w:hint="default" w:ascii="宋体" w:hAnsi="宋体" w:eastAsia="宋体" w:cs="宋体"/>
        <w:b w:val="0"/>
        <w:bCs w:val="0"/>
      </w:rPr>
    </w:lvl>
  </w:abstractNum>
  <w:abstractNum w:abstractNumId="8">
    <w:nsid w:val="E6359437"/>
    <w:multiLevelType w:val="singleLevel"/>
    <w:tmpl w:val="E6359437"/>
    <w:lvl w:ilvl="0" w:tentative="0">
      <w:start w:val="1"/>
      <w:numFmt w:val="decimal"/>
      <w:lvlText w:val="%1."/>
      <w:lvlJc w:val="left"/>
      <w:pPr>
        <w:ind w:left="425" w:hanging="425"/>
      </w:pPr>
      <w:rPr>
        <w:rFonts w:hint="default"/>
      </w:rPr>
    </w:lvl>
  </w:abstractNum>
  <w:abstractNum w:abstractNumId="9">
    <w:nsid w:val="F1FD33D1"/>
    <w:multiLevelType w:val="singleLevel"/>
    <w:tmpl w:val="F1FD33D1"/>
    <w:lvl w:ilvl="0" w:tentative="0">
      <w:start w:val="1"/>
      <w:numFmt w:val="decimal"/>
      <w:lvlText w:val="%1."/>
      <w:lvlJc w:val="left"/>
      <w:pPr>
        <w:ind w:left="425" w:hanging="425"/>
      </w:pPr>
      <w:rPr>
        <w:rFonts w:hint="default"/>
      </w:rPr>
    </w:lvl>
  </w:abstractNum>
  <w:abstractNum w:abstractNumId="10">
    <w:nsid w:val="F9539CF3"/>
    <w:multiLevelType w:val="singleLevel"/>
    <w:tmpl w:val="F9539CF3"/>
    <w:lvl w:ilvl="0" w:tentative="0">
      <w:start w:val="1"/>
      <w:numFmt w:val="decimal"/>
      <w:lvlText w:val="%1."/>
      <w:lvlJc w:val="left"/>
      <w:pPr>
        <w:ind w:left="425" w:hanging="425"/>
      </w:pPr>
      <w:rPr>
        <w:rFonts w:hint="default"/>
      </w:rPr>
    </w:lvl>
  </w:abstractNum>
  <w:abstractNum w:abstractNumId="11">
    <w:nsid w:val="08014DE3"/>
    <w:multiLevelType w:val="singleLevel"/>
    <w:tmpl w:val="08014DE3"/>
    <w:lvl w:ilvl="0" w:tentative="0">
      <w:start w:val="1"/>
      <w:numFmt w:val="decimal"/>
      <w:pStyle w:val="11"/>
      <w:lvlText w:val="%1."/>
      <w:lvlJc w:val="left"/>
      <w:pPr>
        <w:tabs>
          <w:tab w:val="left" w:pos="360"/>
        </w:tabs>
        <w:ind w:left="360" w:hanging="360"/>
      </w:pPr>
    </w:lvl>
  </w:abstractNum>
  <w:abstractNum w:abstractNumId="12">
    <w:nsid w:val="09AB7FD2"/>
    <w:multiLevelType w:val="singleLevel"/>
    <w:tmpl w:val="09AB7FD2"/>
    <w:lvl w:ilvl="0" w:tentative="0">
      <w:start w:val="1"/>
      <w:numFmt w:val="decimal"/>
      <w:lvlText w:val="%1."/>
      <w:lvlJc w:val="left"/>
      <w:pPr>
        <w:ind w:left="425" w:hanging="425"/>
      </w:pPr>
      <w:rPr>
        <w:rFonts w:hint="default"/>
      </w:rPr>
    </w:lvl>
  </w:abstractNum>
  <w:abstractNum w:abstractNumId="13">
    <w:nsid w:val="39CEFF65"/>
    <w:multiLevelType w:val="singleLevel"/>
    <w:tmpl w:val="39CEFF65"/>
    <w:lvl w:ilvl="0" w:tentative="0">
      <w:start w:val="1"/>
      <w:numFmt w:val="decimal"/>
      <w:lvlText w:val="%1."/>
      <w:lvlJc w:val="left"/>
      <w:pPr>
        <w:ind w:left="425" w:hanging="425"/>
      </w:pPr>
      <w:rPr>
        <w:rFonts w:hint="default"/>
      </w:rPr>
    </w:lvl>
  </w:abstractNum>
  <w:abstractNum w:abstractNumId="14">
    <w:nsid w:val="476E8910"/>
    <w:multiLevelType w:val="singleLevel"/>
    <w:tmpl w:val="476E8910"/>
    <w:lvl w:ilvl="0" w:tentative="0">
      <w:start w:val="1"/>
      <w:numFmt w:val="decimal"/>
      <w:lvlText w:val="%1."/>
      <w:lvlJc w:val="left"/>
      <w:pPr>
        <w:ind w:left="425" w:hanging="425"/>
      </w:pPr>
      <w:rPr>
        <w:rFonts w:hint="default"/>
      </w:rPr>
    </w:lvl>
  </w:abstractNum>
  <w:abstractNum w:abstractNumId="15">
    <w:nsid w:val="4FAD6B1F"/>
    <w:multiLevelType w:val="singleLevel"/>
    <w:tmpl w:val="4FAD6B1F"/>
    <w:lvl w:ilvl="0" w:tentative="0">
      <w:start w:val="1"/>
      <w:numFmt w:val="decimal"/>
      <w:lvlText w:val="%1."/>
      <w:lvlJc w:val="left"/>
      <w:pPr>
        <w:ind w:left="425" w:hanging="425"/>
      </w:pPr>
      <w:rPr>
        <w:rFonts w:hint="default"/>
      </w:rPr>
    </w:lvl>
  </w:abstractNum>
  <w:abstractNum w:abstractNumId="16">
    <w:nsid w:val="56905F5E"/>
    <w:multiLevelType w:val="singleLevel"/>
    <w:tmpl w:val="56905F5E"/>
    <w:lvl w:ilvl="0" w:tentative="0">
      <w:start w:val="1"/>
      <w:numFmt w:val="decimal"/>
      <w:lvlText w:val="%1."/>
      <w:lvlJc w:val="left"/>
      <w:pPr>
        <w:ind w:left="425" w:hanging="425"/>
      </w:pPr>
      <w:rPr>
        <w:rFonts w:hint="default"/>
      </w:rPr>
    </w:lvl>
  </w:abstractNum>
  <w:abstractNum w:abstractNumId="17">
    <w:nsid w:val="6375B2CA"/>
    <w:multiLevelType w:val="singleLevel"/>
    <w:tmpl w:val="6375B2CA"/>
    <w:lvl w:ilvl="0" w:tentative="0">
      <w:start w:val="1"/>
      <w:numFmt w:val="decimal"/>
      <w:lvlText w:val="%1."/>
      <w:lvlJc w:val="left"/>
      <w:pPr>
        <w:ind w:left="425" w:hanging="425"/>
      </w:pPr>
      <w:rPr>
        <w:rFonts w:hint="default"/>
      </w:rPr>
    </w:lvl>
  </w:abstractNum>
  <w:abstractNum w:abstractNumId="18">
    <w:nsid w:val="6A14A1DE"/>
    <w:multiLevelType w:val="singleLevel"/>
    <w:tmpl w:val="6A14A1DE"/>
    <w:lvl w:ilvl="0" w:tentative="0">
      <w:start w:val="1"/>
      <w:numFmt w:val="decimal"/>
      <w:lvlText w:val="%1."/>
      <w:lvlJc w:val="left"/>
      <w:pPr>
        <w:ind w:left="425" w:hanging="425"/>
      </w:pPr>
      <w:rPr>
        <w:rFonts w:hint="default"/>
      </w:rPr>
    </w:lvl>
  </w:abstractNum>
  <w:abstractNum w:abstractNumId="19">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11"/>
  </w:num>
  <w:num w:numId="3">
    <w:abstractNumId w:val="13"/>
  </w:num>
  <w:num w:numId="4">
    <w:abstractNumId w:val="2"/>
  </w:num>
  <w:num w:numId="5">
    <w:abstractNumId w:val="4"/>
  </w:num>
  <w:num w:numId="6">
    <w:abstractNumId w:val="19"/>
  </w:num>
  <w:num w:numId="7">
    <w:abstractNumId w:val="18"/>
  </w:num>
  <w:num w:numId="8">
    <w:abstractNumId w:val="8"/>
  </w:num>
  <w:num w:numId="9">
    <w:abstractNumId w:val="17"/>
  </w:num>
  <w:num w:numId="10">
    <w:abstractNumId w:val="12"/>
  </w:num>
  <w:num w:numId="11">
    <w:abstractNumId w:val="15"/>
  </w:num>
  <w:num w:numId="12">
    <w:abstractNumId w:val="14"/>
  </w:num>
  <w:num w:numId="13">
    <w:abstractNumId w:val="7"/>
  </w:num>
  <w:num w:numId="14">
    <w:abstractNumId w:val="1"/>
  </w:num>
  <w:num w:numId="15">
    <w:abstractNumId w:val="3"/>
  </w:num>
  <w:num w:numId="16">
    <w:abstractNumId w:val="6"/>
  </w:num>
  <w:num w:numId="17">
    <w:abstractNumId w:val="5"/>
  </w:num>
  <w:num w:numId="18">
    <w:abstractNumId w:val="16"/>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5BE7CE1"/>
    <w:rsid w:val="05D67331"/>
    <w:rsid w:val="0E1529C0"/>
    <w:rsid w:val="13474CCF"/>
    <w:rsid w:val="15FA4976"/>
    <w:rsid w:val="18E007E1"/>
    <w:rsid w:val="1A1104E0"/>
    <w:rsid w:val="1D3D530A"/>
    <w:rsid w:val="292F7F6F"/>
    <w:rsid w:val="2DCC67A0"/>
    <w:rsid w:val="30ED53AB"/>
    <w:rsid w:val="315A2315"/>
    <w:rsid w:val="331F7372"/>
    <w:rsid w:val="34EB7E53"/>
    <w:rsid w:val="35B50461"/>
    <w:rsid w:val="38D9477B"/>
    <w:rsid w:val="38E52E0C"/>
    <w:rsid w:val="43212C92"/>
    <w:rsid w:val="44020D16"/>
    <w:rsid w:val="46A2233C"/>
    <w:rsid w:val="47174AD8"/>
    <w:rsid w:val="4740313F"/>
    <w:rsid w:val="4EBB3F9B"/>
    <w:rsid w:val="5BF118BB"/>
    <w:rsid w:val="61B35ADE"/>
    <w:rsid w:val="63660F93"/>
    <w:rsid w:val="640970FF"/>
    <w:rsid w:val="66FD5393"/>
    <w:rsid w:val="67A4786A"/>
    <w:rsid w:val="6C967015"/>
    <w:rsid w:val="6D400098"/>
    <w:rsid w:val="6D4A2C62"/>
    <w:rsid w:val="72A11576"/>
    <w:rsid w:val="738F0D71"/>
    <w:rsid w:val="74F14153"/>
    <w:rsid w:val="78112CFA"/>
    <w:rsid w:val="7C9D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paragraph" w:customStyle="1" w:styleId="25">
    <w:name w:val="01-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6">
    <w:name w:val="柴_文档名"/>
    <w:basedOn w:val="20"/>
    <w:qFormat/>
    <w:uiPriority w:val="0"/>
    <w:pPr>
      <w:spacing w:after="900" w:afterLines="900"/>
    </w:pPr>
    <w:rPr>
      <w:rFonts w:ascii="黑体" w:hAnsi="黑体" w:eastAsia="黑体" w:cs="黑体"/>
      <w:bCs/>
      <w:spacing w:val="-7"/>
      <w:sz w:val="52"/>
      <w:szCs w:val="52"/>
    </w:rPr>
  </w:style>
  <w:style w:type="table" w:customStyle="1" w:styleId="27">
    <w:name w:val="Table Normal_0"/>
    <w:semiHidden/>
    <w:unhideWhenUsed/>
    <w:qFormat/>
    <w:uiPriority w:val="0"/>
    <w:tblPr>
      <w:tblCellMar>
        <w:top w:w="0" w:type="dxa"/>
        <w:left w:w="0" w:type="dxa"/>
        <w:bottom w:w="0" w:type="dxa"/>
        <w:right w:w="0" w:type="dxa"/>
      </w:tblCellMar>
    </w:tblPr>
  </w:style>
  <w:style w:type="paragraph" w:customStyle="1" w:styleId="28">
    <w:name w:val="Table Text"/>
    <w:basedOn w:val="1"/>
    <w:semiHidden/>
    <w:qFormat/>
    <w:uiPriority w:val="0"/>
    <w:rPr>
      <w:rFonts w:ascii="宋体" w:hAnsi="宋体" w:eastAsia="宋体" w:cs="宋体"/>
      <w:sz w:val="21"/>
      <w:szCs w:val="21"/>
      <w:lang w:val="en-US" w:eastAsia="en-US" w:bidi="ar-SA"/>
    </w:rPr>
  </w:style>
  <w:style w:type="paragraph" w:customStyle="1" w:styleId="29">
    <w:name w:val="柴_标题1"/>
    <w:basedOn w:val="2"/>
    <w:next w:val="30"/>
    <w:link w:val="44"/>
    <w:qFormat/>
    <w:uiPriority w:val="0"/>
    <w:pPr>
      <w:spacing w:before="100" w:after="90" w:line="360" w:lineRule="auto"/>
    </w:pPr>
    <w:rPr>
      <w:rFonts w:ascii="Arial" w:hAnsi="Arial" w:eastAsia="宋体"/>
      <w:sz w:val="32"/>
    </w:rPr>
  </w:style>
  <w:style w:type="paragraph" w:customStyle="1" w:styleId="30">
    <w:name w:val="柴_正文"/>
    <w:basedOn w:val="13"/>
    <w:link w:val="34"/>
    <w:qFormat/>
    <w:uiPriority w:val="0"/>
    <w:pPr>
      <w:spacing w:line="360" w:lineRule="auto"/>
      <w:ind w:firstLine="470" w:firstLineChars="200"/>
    </w:pPr>
    <w:rPr>
      <w:rFonts w:ascii="Arial" w:hAnsi="Arial" w:eastAsia="宋体"/>
      <w:sz w:val="24"/>
      <w:lang w:eastAsia="zh-CN"/>
    </w:rPr>
  </w:style>
  <w:style w:type="paragraph" w:customStyle="1" w:styleId="31">
    <w:name w:val="柴_标题2"/>
    <w:basedOn w:val="3"/>
    <w:next w:val="30"/>
    <w:qFormat/>
    <w:uiPriority w:val="0"/>
    <w:pPr>
      <w:spacing w:line="360" w:lineRule="auto"/>
    </w:pPr>
    <w:rPr>
      <w:rFonts w:ascii="Arial" w:hAnsi="Arial" w:eastAsia="宋体"/>
      <w:sz w:val="28"/>
    </w:rPr>
  </w:style>
  <w:style w:type="paragraph" w:customStyle="1" w:styleId="32">
    <w:name w:val="柴_标题3"/>
    <w:basedOn w:val="4"/>
    <w:next w:val="30"/>
    <w:qFormat/>
    <w:uiPriority w:val="0"/>
    <w:pPr>
      <w:spacing w:line="360" w:lineRule="auto"/>
      <w:ind w:left="0" w:firstLine="472" w:firstLineChars="200"/>
    </w:pPr>
    <w:rPr>
      <w:rFonts w:ascii="宋体" w:hAnsi="宋体" w:eastAsia="宋体" w:cs="宋体"/>
      <w:spacing w:val="-2"/>
      <w:sz w:val="24"/>
      <w:szCs w:val="24"/>
    </w:rPr>
  </w:style>
  <w:style w:type="paragraph" w:customStyle="1" w:styleId="33">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4">
    <w:name w:val="柴_正文 Char"/>
    <w:link w:val="30"/>
    <w:qFormat/>
    <w:uiPriority w:val="0"/>
    <w:rPr>
      <w:rFonts w:ascii="Arial" w:hAnsi="Arial" w:eastAsia="宋体"/>
      <w:sz w:val="24"/>
      <w:lang w:eastAsia="zh-CN"/>
    </w:rPr>
  </w:style>
  <w:style w:type="paragraph" w:customStyle="1" w:styleId="35">
    <w:name w:val="柴_列表1"/>
    <w:basedOn w:val="11"/>
    <w:link w:val="36"/>
    <w:qFormat/>
    <w:uiPriority w:val="0"/>
    <w:pPr>
      <w:numPr>
        <w:ilvl w:val="0"/>
        <w:numId w:val="0"/>
      </w:numPr>
      <w:spacing w:line="360" w:lineRule="auto"/>
      <w:ind w:left="425" w:hanging="425"/>
    </w:pPr>
    <w:rPr>
      <w:rFonts w:ascii="Arial" w:hAnsi="Arial" w:eastAsia="宋体"/>
      <w:sz w:val="24"/>
      <w:lang w:eastAsia="zh-CN"/>
    </w:rPr>
  </w:style>
  <w:style w:type="character" w:customStyle="1" w:styleId="36">
    <w:name w:val="柴_列表1 Char"/>
    <w:link w:val="35"/>
    <w:qFormat/>
    <w:uiPriority w:val="0"/>
    <w:rPr>
      <w:rFonts w:ascii="Arial" w:hAnsi="Arial" w:eastAsia="宋体"/>
      <w:sz w:val="24"/>
      <w:lang w:eastAsia="zh-CN"/>
    </w:rPr>
  </w:style>
  <w:style w:type="paragraph" w:customStyle="1" w:styleId="37">
    <w:name w:val="柴_公司名"/>
    <w:basedOn w:val="20"/>
    <w:qFormat/>
    <w:uiPriority w:val="0"/>
    <w:pPr>
      <w:spacing w:after="600" w:afterLines="600"/>
    </w:pPr>
    <w:rPr>
      <w:rFonts w:hint="eastAsia" w:ascii="宋体" w:hAnsi="宋体" w:eastAsia="宋体" w:cs="宋体"/>
      <w:bCs/>
      <w:spacing w:val="-6"/>
      <w:sz w:val="52"/>
      <w:szCs w:val="52"/>
    </w:rPr>
  </w:style>
  <w:style w:type="table" w:customStyle="1" w:styleId="38">
    <w:name w:val="Table Normal"/>
    <w:semiHidden/>
    <w:unhideWhenUsed/>
    <w:qFormat/>
    <w:uiPriority w:val="0"/>
    <w:tblPr>
      <w:tblCellMar>
        <w:top w:w="0" w:type="dxa"/>
        <w:left w:w="0" w:type="dxa"/>
        <w:bottom w:w="0" w:type="dxa"/>
        <w:right w:w="0" w:type="dxa"/>
      </w:tblCellMar>
    </w:tblPr>
  </w:style>
  <w:style w:type="paragraph" w:customStyle="1" w:styleId="39">
    <w:name w:val="WPSOffice手动目录 1"/>
    <w:qFormat/>
    <w:uiPriority w:val="0"/>
    <w:pPr>
      <w:ind w:leftChars="0"/>
    </w:pPr>
    <w:rPr>
      <w:rFonts w:ascii="Times New Roman" w:hAnsi="Times New Roman" w:eastAsia="宋体" w:cs="Times New Roman"/>
      <w:sz w:val="20"/>
      <w:szCs w:val="20"/>
    </w:rPr>
  </w:style>
  <w:style w:type="paragraph" w:customStyle="1" w:styleId="40">
    <w:name w:val="WPSOffice手动目录 2"/>
    <w:qFormat/>
    <w:uiPriority w:val="0"/>
    <w:pPr>
      <w:ind w:leftChars="200"/>
    </w:pPr>
    <w:rPr>
      <w:rFonts w:ascii="Times New Roman" w:hAnsi="Times New Roman" w:eastAsia="宋体" w:cs="Times New Roman"/>
      <w:sz w:val="20"/>
      <w:szCs w:val="20"/>
    </w:rPr>
  </w:style>
  <w:style w:type="paragraph" w:customStyle="1" w:styleId="41">
    <w:name w:val="WPSOffice手动目录 3"/>
    <w:qFormat/>
    <w:uiPriority w:val="0"/>
    <w:pPr>
      <w:ind w:leftChars="400"/>
    </w:pPr>
    <w:rPr>
      <w:rFonts w:ascii="Times New Roman" w:hAnsi="Times New Roman" w:eastAsia="宋体" w:cs="Times New Roman"/>
      <w:sz w:val="20"/>
      <w:szCs w:val="20"/>
    </w:rPr>
  </w:style>
  <w:style w:type="paragraph" w:customStyle="1" w:styleId="42">
    <w:name w:val="Compact"/>
    <w:basedOn w:val="13"/>
    <w:qFormat/>
    <w:uiPriority w:val="0"/>
    <w:pPr>
      <w:spacing w:before="36" w:after="36"/>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4">
    <w:name w:val="柴_标题1 Char"/>
    <w:link w:val="29"/>
    <w:qFormat/>
    <w:uiPriority w:val="0"/>
    <w:rPr>
      <w:rFonts w:ascii="Arial" w:hAnsi="Arial" w:eastAsia="宋体"/>
      <w:sz w:val="32"/>
    </w:rPr>
  </w:style>
  <w:style w:type="paragraph" w:customStyle="1" w:styleId="45">
    <w:name w:val="柴_正文_无缩进"/>
    <w:basedOn w:val="1"/>
    <w:qFormat/>
    <w:uiPriority w:val="0"/>
    <w:pPr>
      <w:ind w:firstLine="0" w:firstLineChars="0"/>
    </w:pPr>
    <w:rPr>
      <w:rFonts w:ascii="Arial" w:hAnsi="Arial"/>
      <w:sz w:val="24"/>
      <w:lang w:eastAsia="zh-CN"/>
    </w:rPr>
  </w:style>
  <w:style w:type="paragraph" w:customStyle="1" w:styleId="46">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3889</Words>
  <Characters>4145</Characters>
  <Lines>0</Lines>
  <Paragraphs>0</Paragraphs>
  <TotalTime>1</TotalTime>
  <ScaleCrop>false</ScaleCrop>
  <LinksUpToDate>false</LinksUpToDate>
  <CharactersWithSpaces>4326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2025-09-16T09:06:46Z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5907E7FAB05F4C5D98AD5B6FF89DAF02_13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