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pageBreakBefore w:val="0"/>
        <w:wordWrap/>
        <w:overflowPunct/>
        <w:topLine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20516D53">
      <w:pPr>
        <w:keepNext w:val="0"/>
        <w:keepLines w:val="0"/>
        <w:pageBreakBefore w:val="0"/>
        <w:widowControl w:val="0"/>
        <w:kinsoku/>
        <w:wordWrap/>
        <w:overflowPunct/>
        <w:topLinePunct/>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pageBreakBefore w:val="0"/>
        <w:wordWrap/>
        <w:overflowPunct/>
        <w:topLinePunct/>
        <w:bidi w:val="0"/>
      </w:pPr>
      <w:bookmarkStart w:id="0" w:name="_Toc26680"/>
      <w:r>
        <w:rPr>
          <w:rFonts w:hint="eastAsia"/>
          <w:lang w:val="en-US" w:eastAsia="zh-CN"/>
        </w:rPr>
        <w:t>万洲奇智（青岛）信息科技有限</w:t>
      </w:r>
      <w:r>
        <w:t>公司</w:t>
      </w:r>
      <w:bookmarkEnd w:id="0"/>
    </w:p>
    <w:p w14:paraId="3D74D20A">
      <w:pPr>
        <w:pStyle w:val="25"/>
        <w:pageBreakBefore w:val="0"/>
        <w:wordWrap/>
        <w:overflowPunct/>
        <w:topLinePunct/>
        <w:bidi w:val="0"/>
        <w:rPr>
          <w:rFonts w:hint="default" w:eastAsia="黑体"/>
          <w:lang w:val="en-US" w:eastAsia="zh-CN"/>
        </w:rPr>
      </w:pPr>
      <w:bookmarkStart w:id="1" w:name="_Toc18469"/>
      <w:r>
        <w:rPr>
          <w:rFonts w:hint="eastAsia"/>
          <w:lang w:val="en-US" w:eastAsia="zh-CN"/>
        </w:rPr>
        <w:t>人员培训管理制度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pageBreakBefore w:val="0"/>
              <w:widowControl w:val="0"/>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王琼</w:t>
            </w:r>
          </w:p>
        </w:tc>
        <w:tc>
          <w:tcPr>
            <w:tcW w:w="4261" w:type="dxa"/>
          </w:tcPr>
          <w:p w14:paraId="7554A84C">
            <w:pPr>
              <w:pageBreakBefore w:val="0"/>
              <w:widowControl w:val="0"/>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pageBreakBefore w:val="0"/>
              <w:widowControl w:val="0"/>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pageBreakBefore w:val="0"/>
              <w:widowControl w:val="0"/>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pageBreakBefore w:val="0"/>
              <w:widowControl w:val="0"/>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pageBreakBefore w:val="0"/>
              <w:widowControl w:val="0"/>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pPr>
        <w:pageBreakBefore w:val="0"/>
        <w:wordWrap/>
        <w:overflowPunct/>
        <w:topLinePunct/>
        <w:bidi w:val="0"/>
      </w:pPr>
      <w:r>
        <w:br w:type="page"/>
      </w:r>
    </w:p>
    <w:p w14:paraId="49DA19E5">
      <w:pPr>
        <w:pageBreakBefore w:val="0"/>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pageBreakBefore w:val="0"/>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pageBreakBefore w:val="0"/>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pageBreakBefore w:val="0"/>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pageBreakBefore w:val="0"/>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pageBreakBefore w:val="0"/>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pageBreakBefore w:val="0"/>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pageBreakBefore w:val="0"/>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pageBreakBefore w:val="0"/>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pageBreakBefore w:val="0"/>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pageBreakBefore w:val="0"/>
              <w:wordWrap/>
              <w:overflowPunct/>
              <w:topLinePunct/>
              <w:bidi w:val="0"/>
              <w:spacing w:before="172" w:line="228" w:lineRule="auto"/>
              <w:ind w:left="313"/>
              <w:rPr>
                <w:rFonts w:ascii="宋体" w:hAnsi="宋体" w:eastAsia="宋体" w:cs="宋体"/>
                <w:sz w:val="20"/>
                <w:szCs w:val="20"/>
              </w:rPr>
            </w:pPr>
            <w:r>
              <w:rPr>
                <w:rFonts w:hint="eastAsia" w:ascii="宋体" w:hAnsi="宋体" w:eastAsia="宋体" w:cs="宋体"/>
                <w:spacing w:val="5"/>
                <w:sz w:val="20"/>
                <w:szCs w:val="20"/>
                <w:lang w:val="en-US" w:eastAsia="zh-CN"/>
              </w:rPr>
              <w:t>王琼</w:t>
            </w:r>
          </w:p>
        </w:tc>
        <w:tc>
          <w:tcPr>
            <w:tcW w:w="1150" w:type="dxa"/>
            <w:vAlign w:val="top"/>
          </w:tcPr>
          <w:p w14:paraId="008FBE06">
            <w:pPr>
              <w:pageBreakBefore w:val="0"/>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pageBreakBefore w:val="0"/>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ageBreakBefore w:val="0"/>
              <w:wordWrap/>
              <w:overflowPunct/>
              <w:topLinePunct/>
              <w:bidi w:val="0"/>
            </w:pPr>
          </w:p>
        </w:tc>
        <w:tc>
          <w:tcPr>
            <w:tcW w:w="919" w:type="dxa"/>
            <w:vAlign w:val="top"/>
          </w:tcPr>
          <w:p w14:paraId="218F3AD4">
            <w:pPr>
              <w:pStyle w:val="27"/>
              <w:pageBreakBefore w:val="0"/>
              <w:wordWrap/>
              <w:overflowPunct/>
              <w:topLinePunct/>
              <w:bidi w:val="0"/>
            </w:pPr>
          </w:p>
        </w:tc>
        <w:tc>
          <w:tcPr>
            <w:tcW w:w="2289" w:type="dxa"/>
            <w:vAlign w:val="top"/>
          </w:tcPr>
          <w:p w14:paraId="15EFA507">
            <w:pPr>
              <w:pStyle w:val="27"/>
              <w:pageBreakBefore w:val="0"/>
              <w:wordWrap/>
              <w:overflowPunct/>
              <w:topLinePunct/>
              <w:bidi w:val="0"/>
            </w:pPr>
          </w:p>
        </w:tc>
        <w:tc>
          <w:tcPr>
            <w:tcW w:w="1148" w:type="dxa"/>
            <w:vAlign w:val="top"/>
          </w:tcPr>
          <w:p w14:paraId="70C086CB">
            <w:pPr>
              <w:pageBreakBefore w:val="0"/>
              <w:wordWrap/>
              <w:overflowPunct/>
              <w:topLinePunct/>
              <w:bidi w:val="0"/>
              <w:spacing w:before="172" w:line="228" w:lineRule="auto"/>
              <w:ind w:left="313"/>
            </w:pPr>
          </w:p>
        </w:tc>
        <w:tc>
          <w:tcPr>
            <w:tcW w:w="1150" w:type="dxa"/>
            <w:vAlign w:val="top"/>
          </w:tcPr>
          <w:p w14:paraId="35AEC507">
            <w:pPr>
              <w:pageBreakBefore w:val="0"/>
              <w:wordWrap/>
              <w:overflowPunct/>
              <w:topLinePunct/>
              <w:bidi w:val="0"/>
              <w:spacing w:before="172" w:line="228" w:lineRule="auto"/>
              <w:ind w:left="313"/>
            </w:pPr>
          </w:p>
        </w:tc>
        <w:tc>
          <w:tcPr>
            <w:tcW w:w="1240" w:type="dxa"/>
            <w:vAlign w:val="top"/>
          </w:tcPr>
          <w:p w14:paraId="6E8FD876">
            <w:pPr>
              <w:pStyle w:val="27"/>
              <w:pageBreakBefore w:val="0"/>
              <w:wordWrap/>
              <w:overflowPunct/>
              <w:topLinePunct/>
              <w:bidi w:val="0"/>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ageBreakBefore w:val="0"/>
              <w:wordWrap/>
              <w:overflowPunct/>
              <w:topLinePunct/>
              <w:bidi w:val="0"/>
            </w:pPr>
          </w:p>
        </w:tc>
        <w:tc>
          <w:tcPr>
            <w:tcW w:w="919" w:type="dxa"/>
            <w:vAlign w:val="top"/>
          </w:tcPr>
          <w:p w14:paraId="09634355">
            <w:pPr>
              <w:pStyle w:val="27"/>
              <w:pageBreakBefore w:val="0"/>
              <w:wordWrap/>
              <w:overflowPunct/>
              <w:topLinePunct/>
              <w:bidi w:val="0"/>
            </w:pPr>
          </w:p>
        </w:tc>
        <w:tc>
          <w:tcPr>
            <w:tcW w:w="2289" w:type="dxa"/>
            <w:vAlign w:val="top"/>
          </w:tcPr>
          <w:p w14:paraId="5EE6029F">
            <w:pPr>
              <w:pStyle w:val="27"/>
              <w:pageBreakBefore w:val="0"/>
              <w:wordWrap/>
              <w:overflowPunct/>
              <w:topLinePunct/>
              <w:bidi w:val="0"/>
            </w:pPr>
          </w:p>
        </w:tc>
        <w:tc>
          <w:tcPr>
            <w:tcW w:w="1148" w:type="dxa"/>
            <w:vAlign w:val="top"/>
          </w:tcPr>
          <w:p w14:paraId="38EDD11A">
            <w:pPr>
              <w:pageBreakBefore w:val="0"/>
              <w:wordWrap/>
              <w:overflowPunct/>
              <w:topLinePunct/>
              <w:bidi w:val="0"/>
              <w:spacing w:before="173" w:line="229" w:lineRule="auto"/>
              <w:ind w:left="314"/>
            </w:pPr>
          </w:p>
        </w:tc>
        <w:tc>
          <w:tcPr>
            <w:tcW w:w="1150" w:type="dxa"/>
            <w:vAlign w:val="top"/>
          </w:tcPr>
          <w:p w14:paraId="4B30AD5C">
            <w:pPr>
              <w:pageBreakBefore w:val="0"/>
              <w:wordWrap/>
              <w:overflowPunct/>
              <w:topLinePunct/>
              <w:bidi w:val="0"/>
              <w:spacing w:before="173" w:line="229" w:lineRule="auto"/>
              <w:ind w:left="314"/>
            </w:pPr>
          </w:p>
        </w:tc>
        <w:tc>
          <w:tcPr>
            <w:tcW w:w="1240" w:type="dxa"/>
            <w:vAlign w:val="top"/>
          </w:tcPr>
          <w:p w14:paraId="6FBCF8FF">
            <w:pPr>
              <w:pStyle w:val="27"/>
              <w:pageBreakBefore w:val="0"/>
              <w:wordWrap/>
              <w:overflowPunct/>
              <w:topLinePunct/>
              <w:bidi w:val="0"/>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ageBreakBefore w:val="0"/>
              <w:wordWrap/>
              <w:overflowPunct/>
              <w:topLinePunct/>
              <w:bidi w:val="0"/>
            </w:pPr>
          </w:p>
        </w:tc>
        <w:tc>
          <w:tcPr>
            <w:tcW w:w="919" w:type="dxa"/>
            <w:vAlign w:val="top"/>
          </w:tcPr>
          <w:p w14:paraId="1BBFCF07">
            <w:pPr>
              <w:pStyle w:val="27"/>
              <w:pageBreakBefore w:val="0"/>
              <w:wordWrap/>
              <w:overflowPunct/>
              <w:topLinePunct/>
              <w:bidi w:val="0"/>
            </w:pPr>
          </w:p>
        </w:tc>
        <w:tc>
          <w:tcPr>
            <w:tcW w:w="2289" w:type="dxa"/>
            <w:vAlign w:val="top"/>
          </w:tcPr>
          <w:p w14:paraId="238EACEC">
            <w:pPr>
              <w:pStyle w:val="27"/>
              <w:pageBreakBefore w:val="0"/>
              <w:wordWrap/>
              <w:overflowPunct/>
              <w:topLinePunct/>
              <w:bidi w:val="0"/>
            </w:pPr>
          </w:p>
        </w:tc>
        <w:tc>
          <w:tcPr>
            <w:tcW w:w="1148" w:type="dxa"/>
            <w:vAlign w:val="top"/>
          </w:tcPr>
          <w:p w14:paraId="75E51CC0">
            <w:pPr>
              <w:pStyle w:val="27"/>
              <w:pageBreakBefore w:val="0"/>
              <w:wordWrap/>
              <w:overflowPunct/>
              <w:topLinePunct/>
              <w:bidi w:val="0"/>
            </w:pPr>
          </w:p>
        </w:tc>
        <w:tc>
          <w:tcPr>
            <w:tcW w:w="1150" w:type="dxa"/>
            <w:vAlign w:val="top"/>
          </w:tcPr>
          <w:p w14:paraId="06FF3C1B">
            <w:pPr>
              <w:pStyle w:val="27"/>
              <w:pageBreakBefore w:val="0"/>
              <w:wordWrap/>
              <w:overflowPunct/>
              <w:topLinePunct/>
              <w:bidi w:val="0"/>
            </w:pPr>
          </w:p>
        </w:tc>
        <w:tc>
          <w:tcPr>
            <w:tcW w:w="1240" w:type="dxa"/>
            <w:vAlign w:val="top"/>
          </w:tcPr>
          <w:p w14:paraId="5C8B1A3D">
            <w:pPr>
              <w:pStyle w:val="27"/>
              <w:pageBreakBefore w:val="0"/>
              <w:wordWrap/>
              <w:overflowPunct/>
              <w:topLinePunct/>
              <w:bidi w:val="0"/>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ageBreakBefore w:val="0"/>
              <w:wordWrap/>
              <w:overflowPunct/>
              <w:topLinePunct/>
              <w:bidi w:val="0"/>
            </w:pPr>
          </w:p>
        </w:tc>
        <w:tc>
          <w:tcPr>
            <w:tcW w:w="919" w:type="dxa"/>
            <w:vAlign w:val="top"/>
          </w:tcPr>
          <w:p w14:paraId="22DED3EC">
            <w:pPr>
              <w:pStyle w:val="27"/>
              <w:pageBreakBefore w:val="0"/>
              <w:wordWrap/>
              <w:overflowPunct/>
              <w:topLinePunct/>
              <w:bidi w:val="0"/>
            </w:pPr>
          </w:p>
        </w:tc>
        <w:tc>
          <w:tcPr>
            <w:tcW w:w="2289" w:type="dxa"/>
            <w:vAlign w:val="top"/>
          </w:tcPr>
          <w:p w14:paraId="22279F68">
            <w:pPr>
              <w:pStyle w:val="27"/>
              <w:pageBreakBefore w:val="0"/>
              <w:wordWrap/>
              <w:overflowPunct/>
              <w:topLinePunct/>
              <w:bidi w:val="0"/>
            </w:pPr>
          </w:p>
        </w:tc>
        <w:tc>
          <w:tcPr>
            <w:tcW w:w="1148" w:type="dxa"/>
            <w:vAlign w:val="top"/>
          </w:tcPr>
          <w:p w14:paraId="451706B1">
            <w:pPr>
              <w:pStyle w:val="27"/>
              <w:pageBreakBefore w:val="0"/>
              <w:wordWrap/>
              <w:overflowPunct/>
              <w:topLinePunct/>
              <w:bidi w:val="0"/>
            </w:pPr>
          </w:p>
        </w:tc>
        <w:tc>
          <w:tcPr>
            <w:tcW w:w="1150" w:type="dxa"/>
            <w:vAlign w:val="top"/>
          </w:tcPr>
          <w:p w14:paraId="4C95703C">
            <w:pPr>
              <w:pStyle w:val="27"/>
              <w:pageBreakBefore w:val="0"/>
              <w:wordWrap/>
              <w:overflowPunct/>
              <w:topLinePunct/>
              <w:bidi w:val="0"/>
            </w:pPr>
          </w:p>
        </w:tc>
        <w:tc>
          <w:tcPr>
            <w:tcW w:w="1240" w:type="dxa"/>
            <w:vAlign w:val="top"/>
          </w:tcPr>
          <w:p w14:paraId="60889A79">
            <w:pPr>
              <w:pStyle w:val="27"/>
              <w:pageBreakBefore w:val="0"/>
              <w:wordWrap/>
              <w:overflowPunct/>
              <w:topLinePunct/>
              <w:bidi w:val="0"/>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ageBreakBefore w:val="0"/>
              <w:wordWrap/>
              <w:overflowPunct/>
              <w:topLinePunct/>
              <w:bidi w:val="0"/>
            </w:pPr>
          </w:p>
        </w:tc>
        <w:tc>
          <w:tcPr>
            <w:tcW w:w="919" w:type="dxa"/>
            <w:vAlign w:val="top"/>
          </w:tcPr>
          <w:p w14:paraId="68D2552E">
            <w:pPr>
              <w:pStyle w:val="27"/>
              <w:pageBreakBefore w:val="0"/>
              <w:wordWrap/>
              <w:overflowPunct/>
              <w:topLinePunct/>
              <w:bidi w:val="0"/>
            </w:pPr>
          </w:p>
        </w:tc>
        <w:tc>
          <w:tcPr>
            <w:tcW w:w="2289" w:type="dxa"/>
            <w:vAlign w:val="top"/>
          </w:tcPr>
          <w:p w14:paraId="1E79A586">
            <w:pPr>
              <w:pStyle w:val="27"/>
              <w:pageBreakBefore w:val="0"/>
              <w:wordWrap/>
              <w:overflowPunct/>
              <w:topLinePunct/>
              <w:bidi w:val="0"/>
            </w:pPr>
          </w:p>
        </w:tc>
        <w:tc>
          <w:tcPr>
            <w:tcW w:w="1148" w:type="dxa"/>
            <w:vAlign w:val="top"/>
          </w:tcPr>
          <w:p w14:paraId="17919EEC">
            <w:pPr>
              <w:pStyle w:val="27"/>
              <w:pageBreakBefore w:val="0"/>
              <w:wordWrap/>
              <w:overflowPunct/>
              <w:topLinePunct/>
              <w:bidi w:val="0"/>
            </w:pPr>
          </w:p>
        </w:tc>
        <w:tc>
          <w:tcPr>
            <w:tcW w:w="1150" w:type="dxa"/>
            <w:vAlign w:val="top"/>
          </w:tcPr>
          <w:p w14:paraId="2BB87D59">
            <w:pPr>
              <w:pStyle w:val="27"/>
              <w:pageBreakBefore w:val="0"/>
              <w:wordWrap/>
              <w:overflowPunct/>
              <w:topLinePunct/>
              <w:bidi w:val="0"/>
            </w:pPr>
          </w:p>
        </w:tc>
        <w:tc>
          <w:tcPr>
            <w:tcW w:w="1240" w:type="dxa"/>
            <w:vAlign w:val="top"/>
          </w:tcPr>
          <w:p w14:paraId="4CCAE5FE">
            <w:pPr>
              <w:pStyle w:val="27"/>
              <w:pageBreakBefore w:val="0"/>
              <w:wordWrap/>
              <w:overflowPunct/>
              <w:topLinePunct/>
              <w:bidi w:val="0"/>
            </w:pPr>
          </w:p>
        </w:tc>
      </w:tr>
    </w:tbl>
    <w:p w14:paraId="757D1BA6">
      <w:pPr>
        <w:pageBreakBefore w:val="0"/>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5F0D2BC">
          <w:pPr>
            <w:pageBreakBefore w:val="0"/>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19FFED3">
          <w:pPr>
            <w:pStyle w:val="17"/>
            <w:tabs>
              <w:tab w:val="right" w:leader="dot" w:pos="8306"/>
            </w:tabs>
          </w:pPr>
          <w:bookmarkStart w:id="48" w:name="_GoBack"/>
          <w:bookmarkEnd w:id="48"/>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_Toc26680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_Toc26680 \h </w:instrText>
          </w:r>
          <w:r>
            <w:fldChar w:fldCharType="separate"/>
          </w:r>
          <w:r>
            <w:t>1</w:t>
          </w:r>
          <w:r>
            <w:fldChar w:fldCharType="end"/>
          </w:r>
          <w:r>
            <w:rPr>
              <w:rFonts w:hint="eastAsia" w:ascii="宋体" w:hAnsi="宋体" w:eastAsia="宋体" w:cs="宋体"/>
              <w:szCs w:val="24"/>
            </w:rPr>
            <w:fldChar w:fldCharType="end"/>
          </w:r>
        </w:p>
        <w:p w14:paraId="7C93180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_Toc18469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_Toc18469 \h </w:instrText>
          </w:r>
          <w:r>
            <w:fldChar w:fldCharType="separate"/>
          </w:r>
          <w:r>
            <w:t>1</w:t>
          </w:r>
          <w:r>
            <w:fldChar w:fldCharType="end"/>
          </w:r>
          <w:r>
            <w:rPr>
              <w:rFonts w:hint="eastAsia" w:ascii="宋体" w:hAnsi="宋体" w:eastAsia="宋体" w:cs="宋体"/>
              <w:szCs w:val="24"/>
            </w:rPr>
            <w:fldChar w:fldCharType="end"/>
          </w:r>
        </w:p>
        <w:p w14:paraId="6C0DB0D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_Toc8970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_Toc8970 \h </w:instrText>
          </w:r>
          <w:r>
            <w:fldChar w:fldCharType="separate"/>
          </w:r>
          <w:r>
            <w:t>4</w:t>
          </w:r>
          <w:r>
            <w:fldChar w:fldCharType="end"/>
          </w:r>
          <w:r>
            <w:rPr>
              <w:rFonts w:hint="eastAsia" w:ascii="宋体" w:hAnsi="宋体" w:eastAsia="宋体" w:cs="宋体"/>
              <w:szCs w:val="24"/>
            </w:rPr>
            <w:fldChar w:fldCharType="end"/>
          </w:r>
        </w:p>
        <w:p w14:paraId="3E951D1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_Toc4360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_Toc4360 \h </w:instrText>
          </w:r>
          <w:r>
            <w:fldChar w:fldCharType="separate"/>
          </w:r>
          <w:r>
            <w:t>4</w:t>
          </w:r>
          <w:r>
            <w:fldChar w:fldCharType="end"/>
          </w:r>
          <w:r>
            <w:rPr>
              <w:rFonts w:hint="eastAsia" w:ascii="宋体" w:hAnsi="宋体" w:eastAsia="宋体" w:cs="宋体"/>
              <w:szCs w:val="24"/>
            </w:rPr>
            <w:fldChar w:fldCharType="end"/>
          </w:r>
        </w:p>
        <w:p w14:paraId="4271FF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_Toc16123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_Toc16123 \h </w:instrText>
          </w:r>
          <w:r>
            <w:fldChar w:fldCharType="separate"/>
          </w:r>
          <w:r>
            <w:t>4</w:t>
          </w:r>
          <w:r>
            <w:fldChar w:fldCharType="end"/>
          </w:r>
          <w:r>
            <w:rPr>
              <w:rFonts w:hint="eastAsia" w:ascii="宋体" w:hAnsi="宋体" w:eastAsia="宋体" w:cs="宋体"/>
              <w:szCs w:val="24"/>
            </w:rPr>
            <w:fldChar w:fldCharType="end"/>
          </w:r>
        </w:p>
        <w:p w14:paraId="7E11C4A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_Toc12689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_Toc12689 \h </w:instrText>
          </w:r>
          <w:r>
            <w:fldChar w:fldCharType="separate"/>
          </w:r>
          <w:r>
            <w:t>4</w:t>
          </w:r>
          <w:r>
            <w:fldChar w:fldCharType="end"/>
          </w:r>
          <w:r>
            <w:rPr>
              <w:rFonts w:hint="eastAsia" w:ascii="宋体" w:hAnsi="宋体" w:eastAsia="宋体" w:cs="宋体"/>
              <w:szCs w:val="24"/>
            </w:rPr>
            <w:fldChar w:fldCharType="end"/>
          </w:r>
        </w:p>
        <w:p w14:paraId="5F6E5929">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_Toc30708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_Toc30708 \h </w:instrText>
          </w:r>
          <w:r>
            <w:fldChar w:fldCharType="separate"/>
          </w:r>
          <w:r>
            <w:t>4</w:t>
          </w:r>
          <w:r>
            <w:fldChar w:fldCharType="end"/>
          </w:r>
          <w:r>
            <w:rPr>
              <w:rFonts w:hint="eastAsia" w:ascii="宋体" w:hAnsi="宋体" w:eastAsia="宋体" w:cs="宋体"/>
              <w:szCs w:val="24"/>
            </w:rPr>
            <w:fldChar w:fldCharType="end"/>
          </w:r>
        </w:p>
        <w:p w14:paraId="07B380B1">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_Toc20489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_Toc20489 \h </w:instrText>
          </w:r>
          <w:r>
            <w:fldChar w:fldCharType="separate"/>
          </w:r>
          <w:r>
            <w:t>4</w:t>
          </w:r>
          <w:r>
            <w:fldChar w:fldCharType="end"/>
          </w:r>
          <w:r>
            <w:rPr>
              <w:rFonts w:hint="eastAsia" w:ascii="宋体" w:hAnsi="宋体" w:eastAsia="宋体" w:cs="宋体"/>
              <w:szCs w:val="24"/>
            </w:rPr>
            <w:fldChar w:fldCharType="end"/>
          </w:r>
        </w:p>
        <w:p w14:paraId="147530E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_Toc29950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_Toc29950 \h </w:instrText>
          </w:r>
          <w:r>
            <w:fldChar w:fldCharType="separate"/>
          </w:r>
          <w:r>
            <w:t>5</w:t>
          </w:r>
          <w:r>
            <w:fldChar w:fldCharType="end"/>
          </w:r>
          <w:r>
            <w:rPr>
              <w:rFonts w:hint="eastAsia" w:ascii="宋体" w:hAnsi="宋体" w:eastAsia="宋体" w:cs="宋体"/>
              <w:szCs w:val="24"/>
            </w:rPr>
            <w:fldChar w:fldCharType="end"/>
          </w:r>
        </w:p>
        <w:p w14:paraId="71BF5A3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_Toc12726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_Toc12726 \h </w:instrText>
          </w:r>
          <w:r>
            <w:fldChar w:fldCharType="separate"/>
          </w:r>
          <w:r>
            <w:t>5</w:t>
          </w:r>
          <w:r>
            <w:fldChar w:fldCharType="end"/>
          </w:r>
          <w:r>
            <w:rPr>
              <w:rFonts w:hint="eastAsia" w:ascii="宋体" w:hAnsi="宋体" w:eastAsia="宋体" w:cs="宋体"/>
              <w:szCs w:val="24"/>
            </w:rPr>
            <w:fldChar w:fldCharType="end"/>
          </w:r>
        </w:p>
        <w:p w14:paraId="55918B0A">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_Toc7993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_Toc7993 \h </w:instrText>
          </w:r>
          <w:r>
            <w:fldChar w:fldCharType="separate"/>
          </w:r>
          <w:r>
            <w:t>5</w:t>
          </w:r>
          <w:r>
            <w:fldChar w:fldCharType="end"/>
          </w:r>
          <w:r>
            <w:rPr>
              <w:rFonts w:hint="eastAsia" w:ascii="宋体" w:hAnsi="宋体" w:eastAsia="宋体" w:cs="宋体"/>
              <w:szCs w:val="24"/>
            </w:rPr>
            <w:fldChar w:fldCharType="end"/>
          </w:r>
        </w:p>
        <w:p w14:paraId="0B69CE58">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_Toc14430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_Toc14430 \h </w:instrText>
          </w:r>
          <w:r>
            <w:fldChar w:fldCharType="separate"/>
          </w:r>
          <w:r>
            <w:t>5</w:t>
          </w:r>
          <w:r>
            <w:fldChar w:fldCharType="end"/>
          </w:r>
          <w:r>
            <w:rPr>
              <w:rFonts w:hint="eastAsia" w:ascii="宋体" w:hAnsi="宋体" w:eastAsia="宋体" w:cs="宋体"/>
              <w:szCs w:val="24"/>
            </w:rPr>
            <w:fldChar w:fldCharType="end"/>
          </w:r>
        </w:p>
        <w:p w14:paraId="184E2C93">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_Toc8660 </w:instrText>
          </w:r>
          <w:r>
            <w:rPr>
              <w:rFonts w:hint="eastAsia" w:ascii="宋体" w:hAnsi="宋体" w:eastAsia="宋体" w:cs="宋体"/>
              <w:szCs w:val="24"/>
            </w:rPr>
            <w:fldChar w:fldCharType="separate"/>
          </w:r>
          <w:r>
            <w:rPr>
              <w:rFonts w:hint="default"/>
            </w:rPr>
            <w:t xml:space="preserve">5.3. </w:t>
          </w:r>
          <w:r>
            <w:t>培训计划的编制</w:t>
          </w:r>
          <w:r>
            <w:tab/>
          </w:r>
          <w:r>
            <w:fldChar w:fldCharType="begin"/>
          </w:r>
          <w:r>
            <w:instrText xml:space="preserve"> PAGEREF _Toc8660 \h </w:instrText>
          </w:r>
          <w:r>
            <w:fldChar w:fldCharType="separate"/>
          </w:r>
          <w:r>
            <w:t>6</w:t>
          </w:r>
          <w:r>
            <w:fldChar w:fldCharType="end"/>
          </w:r>
          <w:r>
            <w:rPr>
              <w:rFonts w:hint="eastAsia" w:ascii="宋体" w:hAnsi="宋体" w:eastAsia="宋体" w:cs="宋体"/>
              <w:szCs w:val="24"/>
            </w:rPr>
            <w:fldChar w:fldCharType="end"/>
          </w:r>
        </w:p>
        <w:p w14:paraId="6A5EB5AD">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_Toc30958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_Toc30958 \h </w:instrText>
          </w:r>
          <w:r>
            <w:fldChar w:fldCharType="separate"/>
          </w:r>
          <w:r>
            <w:t>6</w:t>
          </w:r>
          <w:r>
            <w:fldChar w:fldCharType="end"/>
          </w:r>
          <w:r>
            <w:rPr>
              <w:rFonts w:hint="eastAsia" w:ascii="宋体" w:hAnsi="宋体" w:eastAsia="宋体" w:cs="宋体"/>
              <w:szCs w:val="24"/>
            </w:rPr>
            <w:fldChar w:fldCharType="end"/>
          </w:r>
        </w:p>
        <w:p w14:paraId="74CC2859">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_Toc25247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_Toc25247 \h </w:instrText>
          </w:r>
          <w:r>
            <w:fldChar w:fldCharType="separate"/>
          </w:r>
          <w:r>
            <w:t>6</w:t>
          </w:r>
          <w:r>
            <w:fldChar w:fldCharType="end"/>
          </w:r>
          <w:r>
            <w:rPr>
              <w:rFonts w:hint="eastAsia" w:ascii="宋体" w:hAnsi="宋体" w:eastAsia="宋体" w:cs="宋体"/>
              <w:szCs w:val="24"/>
            </w:rPr>
            <w:fldChar w:fldCharType="end"/>
          </w:r>
        </w:p>
        <w:p w14:paraId="7CA7050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_Toc7236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_Toc7236 \h </w:instrText>
          </w:r>
          <w:r>
            <w:fldChar w:fldCharType="separate"/>
          </w:r>
          <w:r>
            <w:t>6</w:t>
          </w:r>
          <w:r>
            <w:fldChar w:fldCharType="end"/>
          </w:r>
          <w:r>
            <w:rPr>
              <w:rFonts w:hint="eastAsia" w:ascii="宋体" w:hAnsi="宋体" w:eastAsia="宋体" w:cs="宋体"/>
              <w:szCs w:val="24"/>
            </w:rPr>
            <w:fldChar w:fldCharType="end"/>
          </w:r>
        </w:p>
        <w:p w14:paraId="75077DA4">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_Toc26 \h </w:instrText>
          </w:r>
          <w:r>
            <w:fldChar w:fldCharType="separate"/>
          </w:r>
          <w:r>
            <w:t>6</w:t>
          </w:r>
          <w:r>
            <w:fldChar w:fldCharType="end"/>
          </w:r>
          <w:r>
            <w:rPr>
              <w:rFonts w:hint="eastAsia" w:ascii="宋体" w:hAnsi="宋体" w:eastAsia="宋体" w:cs="宋体"/>
              <w:szCs w:val="24"/>
            </w:rPr>
            <w:fldChar w:fldCharType="end"/>
          </w:r>
        </w:p>
        <w:p w14:paraId="739A023B">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_Toc885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_Toc885 \h </w:instrText>
          </w:r>
          <w:r>
            <w:fldChar w:fldCharType="separate"/>
          </w:r>
          <w:r>
            <w:t>7</w:t>
          </w:r>
          <w:r>
            <w:fldChar w:fldCharType="end"/>
          </w:r>
          <w:r>
            <w:rPr>
              <w:rFonts w:hint="eastAsia" w:ascii="宋体" w:hAnsi="宋体" w:eastAsia="宋体" w:cs="宋体"/>
              <w:szCs w:val="24"/>
            </w:rPr>
            <w:fldChar w:fldCharType="end"/>
          </w:r>
        </w:p>
        <w:p w14:paraId="50CCA0AA">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_Toc2368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_Toc2368 \h </w:instrText>
          </w:r>
          <w:r>
            <w:fldChar w:fldCharType="separate"/>
          </w:r>
          <w:r>
            <w:t>7</w:t>
          </w:r>
          <w:r>
            <w:fldChar w:fldCharType="end"/>
          </w:r>
          <w:r>
            <w:rPr>
              <w:rFonts w:hint="eastAsia" w:ascii="宋体" w:hAnsi="宋体" w:eastAsia="宋体" w:cs="宋体"/>
              <w:szCs w:val="24"/>
            </w:rPr>
            <w:fldChar w:fldCharType="end"/>
          </w:r>
        </w:p>
        <w:p w14:paraId="46B6C83F">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_Toc13053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_Toc13053 \h </w:instrText>
          </w:r>
          <w:r>
            <w:fldChar w:fldCharType="separate"/>
          </w:r>
          <w:r>
            <w:t>7</w:t>
          </w:r>
          <w:r>
            <w:fldChar w:fldCharType="end"/>
          </w:r>
          <w:r>
            <w:rPr>
              <w:rFonts w:hint="eastAsia" w:ascii="宋体" w:hAnsi="宋体" w:eastAsia="宋体" w:cs="宋体"/>
              <w:szCs w:val="24"/>
            </w:rPr>
            <w:fldChar w:fldCharType="end"/>
          </w:r>
        </w:p>
        <w:p w14:paraId="2AB3E8AE">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_Toc1112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_Toc1112 \h </w:instrText>
          </w:r>
          <w:r>
            <w:fldChar w:fldCharType="separate"/>
          </w:r>
          <w:r>
            <w:t>7</w:t>
          </w:r>
          <w:r>
            <w:fldChar w:fldCharType="end"/>
          </w:r>
          <w:r>
            <w:rPr>
              <w:rFonts w:hint="eastAsia" w:ascii="宋体" w:hAnsi="宋体" w:eastAsia="宋体" w:cs="宋体"/>
              <w:szCs w:val="24"/>
            </w:rPr>
            <w:fldChar w:fldCharType="end"/>
          </w:r>
        </w:p>
        <w:p w14:paraId="7C5180DF">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_Toc25792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_Toc25792 \h </w:instrText>
          </w:r>
          <w:r>
            <w:fldChar w:fldCharType="separate"/>
          </w:r>
          <w:r>
            <w:t>8</w:t>
          </w:r>
          <w:r>
            <w:fldChar w:fldCharType="end"/>
          </w:r>
          <w:r>
            <w:rPr>
              <w:rFonts w:hint="eastAsia" w:ascii="宋体" w:hAnsi="宋体" w:eastAsia="宋体" w:cs="宋体"/>
              <w:szCs w:val="24"/>
            </w:rPr>
            <w:fldChar w:fldCharType="end"/>
          </w:r>
        </w:p>
        <w:p w14:paraId="1567127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_Toc17806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_Toc17806 \h </w:instrText>
          </w:r>
          <w:r>
            <w:fldChar w:fldCharType="separate"/>
          </w:r>
          <w:r>
            <w:t>8</w:t>
          </w:r>
          <w:r>
            <w:fldChar w:fldCharType="end"/>
          </w:r>
          <w:r>
            <w:rPr>
              <w:rFonts w:hint="eastAsia" w:ascii="宋体" w:hAnsi="宋体" w:eastAsia="宋体" w:cs="宋体"/>
              <w:szCs w:val="24"/>
            </w:rPr>
            <w:fldChar w:fldCharType="end"/>
          </w:r>
        </w:p>
        <w:p w14:paraId="4CAE03B7">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_Toc24261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_Toc24261 \h </w:instrText>
          </w:r>
          <w:r>
            <w:fldChar w:fldCharType="separate"/>
          </w:r>
          <w:r>
            <w:t>8</w:t>
          </w:r>
          <w:r>
            <w:fldChar w:fldCharType="end"/>
          </w:r>
          <w:r>
            <w:rPr>
              <w:rFonts w:hint="eastAsia" w:ascii="宋体" w:hAnsi="宋体" w:eastAsia="宋体" w:cs="宋体"/>
              <w:szCs w:val="24"/>
            </w:rPr>
            <w:fldChar w:fldCharType="end"/>
          </w:r>
        </w:p>
        <w:p w14:paraId="35AE0D94">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_Toc23337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_Toc23337 \h </w:instrText>
          </w:r>
          <w:r>
            <w:fldChar w:fldCharType="separate"/>
          </w:r>
          <w:r>
            <w:t>8</w:t>
          </w:r>
          <w:r>
            <w:fldChar w:fldCharType="end"/>
          </w:r>
          <w:r>
            <w:rPr>
              <w:rFonts w:hint="eastAsia" w:ascii="宋体" w:hAnsi="宋体" w:eastAsia="宋体" w:cs="宋体"/>
              <w:szCs w:val="24"/>
            </w:rPr>
            <w:fldChar w:fldCharType="end"/>
          </w:r>
        </w:p>
        <w:p w14:paraId="52A5070D">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_Toc23824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_Toc23824 \h </w:instrText>
          </w:r>
          <w:r>
            <w:fldChar w:fldCharType="separate"/>
          </w:r>
          <w:r>
            <w:t>8</w:t>
          </w:r>
          <w:r>
            <w:fldChar w:fldCharType="end"/>
          </w:r>
          <w:r>
            <w:rPr>
              <w:rFonts w:hint="eastAsia" w:ascii="宋体" w:hAnsi="宋体" w:eastAsia="宋体" w:cs="宋体"/>
              <w:szCs w:val="24"/>
            </w:rPr>
            <w:fldChar w:fldCharType="end"/>
          </w:r>
        </w:p>
        <w:p w14:paraId="3D43295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_Toc17557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_Toc17557 \h </w:instrText>
          </w:r>
          <w:r>
            <w:fldChar w:fldCharType="separate"/>
          </w:r>
          <w:r>
            <w:t>8</w:t>
          </w:r>
          <w:r>
            <w:fldChar w:fldCharType="end"/>
          </w:r>
          <w:r>
            <w:rPr>
              <w:rFonts w:hint="eastAsia" w:ascii="宋体" w:hAnsi="宋体" w:eastAsia="宋体" w:cs="宋体"/>
              <w:szCs w:val="24"/>
            </w:rPr>
            <w:fldChar w:fldCharType="end"/>
          </w:r>
        </w:p>
        <w:p w14:paraId="1BEEEC4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_Toc3848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_Toc3848 \h </w:instrText>
          </w:r>
          <w:r>
            <w:fldChar w:fldCharType="separate"/>
          </w:r>
          <w:r>
            <w:t>9</w:t>
          </w:r>
          <w:r>
            <w:fldChar w:fldCharType="end"/>
          </w:r>
          <w:r>
            <w:rPr>
              <w:rFonts w:hint="eastAsia" w:ascii="宋体" w:hAnsi="宋体" w:eastAsia="宋体" w:cs="宋体"/>
              <w:szCs w:val="24"/>
            </w:rPr>
            <w:fldChar w:fldCharType="end"/>
          </w:r>
        </w:p>
        <w:p w14:paraId="0EBD67A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_Toc4764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_Toc4764 \h </w:instrText>
          </w:r>
          <w:r>
            <w:fldChar w:fldCharType="separate"/>
          </w:r>
          <w:r>
            <w:t>9</w:t>
          </w:r>
          <w:r>
            <w:fldChar w:fldCharType="end"/>
          </w:r>
          <w:r>
            <w:rPr>
              <w:rFonts w:hint="eastAsia" w:ascii="宋体" w:hAnsi="宋体" w:eastAsia="宋体" w:cs="宋体"/>
              <w:szCs w:val="24"/>
            </w:rPr>
            <w:fldChar w:fldCharType="end"/>
          </w:r>
        </w:p>
        <w:p w14:paraId="7FC013E1">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_Toc27976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_Toc27976 \h </w:instrText>
          </w:r>
          <w:r>
            <w:fldChar w:fldCharType="separate"/>
          </w:r>
          <w:r>
            <w:t>9</w:t>
          </w:r>
          <w:r>
            <w:fldChar w:fldCharType="end"/>
          </w:r>
          <w:r>
            <w:rPr>
              <w:rFonts w:hint="eastAsia" w:ascii="宋体" w:hAnsi="宋体" w:eastAsia="宋体" w:cs="宋体"/>
              <w:szCs w:val="24"/>
            </w:rPr>
            <w:fldChar w:fldCharType="end"/>
          </w:r>
        </w:p>
        <w:p w14:paraId="780ECB8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_Toc17024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_Toc17024 \h </w:instrText>
          </w:r>
          <w:r>
            <w:fldChar w:fldCharType="separate"/>
          </w:r>
          <w:r>
            <w:t>9</w:t>
          </w:r>
          <w:r>
            <w:fldChar w:fldCharType="end"/>
          </w:r>
          <w:r>
            <w:rPr>
              <w:rFonts w:hint="eastAsia" w:ascii="宋体" w:hAnsi="宋体" w:eastAsia="宋体" w:cs="宋体"/>
              <w:szCs w:val="24"/>
            </w:rPr>
            <w:fldChar w:fldCharType="end"/>
          </w:r>
        </w:p>
        <w:p w14:paraId="27B63639">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_Toc4818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_Toc4818 \h </w:instrText>
          </w:r>
          <w:r>
            <w:fldChar w:fldCharType="separate"/>
          </w:r>
          <w:r>
            <w:t>9</w:t>
          </w:r>
          <w:r>
            <w:fldChar w:fldCharType="end"/>
          </w:r>
          <w:r>
            <w:rPr>
              <w:rFonts w:hint="eastAsia" w:ascii="宋体" w:hAnsi="宋体" w:eastAsia="宋体" w:cs="宋体"/>
              <w:szCs w:val="24"/>
            </w:rPr>
            <w:fldChar w:fldCharType="end"/>
          </w:r>
        </w:p>
        <w:p w14:paraId="6DB634F1">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_Toc29401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_Toc29401 \h </w:instrText>
          </w:r>
          <w:r>
            <w:fldChar w:fldCharType="separate"/>
          </w:r>
          <w:r>
            <w:t>9</w:t>
          </w:r>
          <w:r>
            <w:fldChar w:fldCharType="end"/>
          </w:r>
          <w:r>
            <w:rPr>
              <w:rFonts w:hint="eastAsia" w:ascii="宋体" w:hAnsi="宋体" w:eastAsia="宋体" w:cs="宋体"/>
              <w:szCs w:val="24"/>
            </w:rPr>
            <w:fldChar w:fldCharType="end"/>
          </w:r>
        </w:p>
        <w:p w14:paraId="1199EC7C">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_Toc23803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_Toc23803 \h </w:instrText>
          </w:r>
          <w:r>
            <w:fldChar w:fldCharType="separate"/>
          </w:r>
          <w:r>
            <w:t>11</w:t>
          </w:r>
          <w:r>
            <w:fldChar w:fldCharType="end"/>
          </w:r>
          <w:r>
            <w:rPr>
              <w:rFonts w:hint="eastAsia" w:ascii="宋体" w:hAnsi="宋体" w:eastAsia="宋体" w:cs="宋体"/>
              <w:szCs w:val="24"/>
            </w:rPr>
            <w:fldChar w:fldCharType="end"/>
          </w:r>
        </w:p>
        <w:p w14:paraId="710CEB5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_Toc18527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_Toc18527 \h </w:instrText>
          </w:r>
          <w:r>
            <w:fldChar w:fldCharType="separate"/>
          </w:r>
          <w:r>
            <w:t>11</w:t>
          </w:r>
          <w:r>
            <w:fldChar w:fldCharType="end"/>
          </w:r>
          <w:r>
            <w:rPr>
              <w:rFonts w:hint="eastAsia" w:ascii="宋体" w:hAnsi="宋体" w:eastAsia="宋体" w:cs="宋体"/>
              <w:szCs w:val="24"/>
            </w:rPr>
            <w:fldChar w:fldCharType="end"/>
          </w:r>
        </w:p>
        <w:p w14:paraId="5902EC0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_Toc28551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_Toc28551 \h </w:instrText>
          </w:r>
          <w:r>
            <w:fldChar w:fldCharType="separate"/>
          </w:r>
          <w:r>
            <w:t>11</w:t>
          </w:r>
          <w:r>
            <w:fldChar w:fldCharType="end"/>
          </w:r>
          <w:r>
            <w:rPr>
              <w:rFonts w:hint="eastAsia" w:ascii="宋体" w:hAnsi="宋体" w:eastAsia="宋体" w:cs="宋体"/>
              <w:szCs w:val="24"/>
            </w:rPr>
            <w:fldChar w:fldCharType="end"/>
          </w:r>
        </w:p>
        <w:p w14:paraId="18AFF1B5">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_Toc18952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_Toc18952 \h </w:instrText>
          </w:r>
          <w:r>
            <w:fldChar w:fldCharType="separate"/>
          </w:r>
          <w:r>
            <w:t>11</w:t>
          </w:r>
          <w:r>
            <w:fldChar w:fldCharType="end"/>
          </w:r>
          <w:r>
            <w:rPr>
              <w:rFonts w:hint="eastAsia" w:ascii="宋体" w:hAnsi="宋体" w:eastAsia="宋体" w:cs="宋体"/>
              <w:szCs w:val="24"/>
            </w:rPr>
            <w:fldChar w:fldCharType="end"/>
          </w:r>
        </w:p>
        <w:p w14:paraId="6006395A">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_Toc26314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_Toc26314 \h </w:instrText>
          </w:r>
          <w:r>
            <w:fldChar w:fldCharType="separate"/>
          </w:r>
          <w:r>
            <w:t>12</w:t>
          </w:r>
          <w:r>
            <w:fldChar w:fldCharType="end"/>
          </w:r>
          <w:r>
            <w:rPr>
              <w:rFonts w:hint="eastAsia" w:ascii="宋体" w:hAnsi="宋体" w:eastAsia="宋体" w:cs="宋体"/>
              <w:szCs w:val="24"/>
            </w:rPr>
            <w:fldChar w:fldCharType="end"/>
          </w:r>
        </w:p>
        <w:p w14:paraId="16719A98">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_Toc30503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_Toc30503 \h </w:instrText>
          </w:r>
          <w:r>
            <w:fldChar w:fldCharType="separate"/>
          </w:r>
          <w:r>
            <w:t>12</w:t>
          </w:r>
          <w:r>
            <w:fldChar w:fldCharType="end"/>
          </w:r>
          <w:r>
            <w:rPr>
              <w:rFonts w:hint="eastAsia" w:ascii="宋体" w:hAnsi="宋体" w:eastAsia="宋体" w:cs="宋体"/>
              <w:szCs w:val="24"/>
            </w:rPr>
            <w:fldChar w:fldCharType="end"/>
          </w:r>
        </w:p>
        <w:p w14:paraId="16C332F4">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_Toc4052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_Toc4052 \h </w:instrText>
          </w:r>
          <w:r>
            <w:fldChar w:fldCharType="separate"/>
          </w:r>
          <w:r>
            <w:t>12</w:t>
          </w:r>
          <w:r>
            <w:fldChar w:fldCharType="end"/>
          </w:r>
          <w:r>
            <w:rPr>
              <w:rFonts w:hint="eastAsia" w:ascii="宋体" w:hAnsi="宋体" w:eastAsia="宋体" w:cs="宋体"/>
              <w:szCs w:val="24"/>
            </w:rPr>
            <w:fldChar w:fldCharType="end"/>
          </w:r>
        </w:p>
        <w:p w14:paraId="1C968EF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_Toc12142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_Toc12142 \h </w:instrText>
          </w:r>
          <w:r>
            <w:fldChar w:fldCharType="separate"/>
          </w:r>
          <w:r>
            <w:t>12</w:t>
          </w:r>
          <w:r>
            <w:fldChar w:fldCharType="end"/>
          </w:r>
          <w:r>
            <w:rPr>
              <w:rFonts w:hint="eastAsia" w:ascii="宋体" w:hAnsi="宋体" w:eastAsia="宋体" w:cs="宋体"/>
              <w:szCs w:val="24"/>
            </w:rPr>
            <w:fldChar w:fldCharType="end"/>
          </w:r>
        </w:p>
        <w:p w14:paraId="73CF866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_Toc32493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_Toc32493 \h </w:instrText>
          </w:r>
          <w:r>
            <w:fldChar w:fldCharType="separate"/>
          </w:r>
          <w:r>
            <w:t>12</w:t>
          </w:r>
          <w:r>
            <w:fldChar w:fldCharType="end"/>
          </w:r>
          <w:r>
            <w:rPr>
              <w:rFonts w:hint="eastAsia" w:ascii="宋体" w:hAnsi="宋体" w:eastAsia="宋体" w:cs="宋体"/>
              <w:szCs w:val="24"/>
            </w:rPr>
            <w:fldChar w:fldCharType="end"/>
          </w:r>
        </w:p>
        <w:p w14:paraId="47D9B07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_Toc1018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_Toc1018 \h </w:instrText>
          </w:r>
          <w:r>
            <w:fldChar w:fldCharType="separate"/>
          </w:r>
          <w:r>
            <w:t>12</w:t>
          </w:r>
          <w:r>
            <w:fldChar w:fldCharType="end"/>
          </w:r>
          <w:r>
            <w:rPr>
              <w:rFonts w:hint="eastAsia" w:ascii="宋体" w:hAnsi="宋体" w:eastAsia="宋体" w:cs="宋体"/>
              <w:szCs w:val="24"/>
            </w:rPr>
            <w:fldChar w:fldCharType="end"/>
          </w:r>
        </w:p>
        <w:p w14:paraId="63DA692D">
          <w:pPr>
            <w:pageBreakBefore w:val="0"/>
            <w:wordWrap/>
            <w:overflowPunct/>
            <w:topLinePunct/>
            <w:bidi w:val="0"/>
          </w:pPr>
          <w:r>
            <w:rPr>
              <w:rFonts w:hint="eastAsia" w:ascii="宋体" w:hAnsi="宋体" w:eastAsia="宋体" w:cs="宋体"/>
              <w:szCs w:val="24"/>
            </w:rPr>
            <w:fldChar w:fldCharType="end"/>
          </w:r>
        </w:p>
      </w:sdtContent>
    </w:sdt>
    <w:p w14:paraId="3FF9E524">
      <w:pPr>
        <w:pStyle w:val="28"/>
        <w:pageBreakBefore w:val="0"/>
        <w:wordWrap/>
        <w:overflowPunct/>
        <w:topLinePunct/>
        <w:bidi w:val="0"/>
        <w:rPr>
          <w:rFonts w:hint="eastAsia"/>
          <w:lang w:val="en-US" w:eastAsia="zh-CN"/>
        </w:rPr>
      </w:pPr>
      <w:bookmarkStart w:id="2" w:name="_Toc8970"/>
      <w:r>
        <w:rPr>
          <w:rFonts w:hint="eastAsia"/>
          <w:lang w:val="en-US" w:eastAsia="zh-CN"/>
        </w:rPr>
        <w:t>目的</w:t>
      </w:r>
      <w:bookmarkEnd w:id="2"/>
    </w:p>
    <w:p w14:paraId="0B56859E">
      <w:pPr>
        <w:pageBreakBefore w:val="0"/>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6E3D16ED">
      <w:pPr>
        <w:pStyle w:val="28"/>
        <w:pageBreakBefore w:val="0"/>
        <w:wordWrap/>
        <w:overflowPunct/>
        <w:topLinePunct/>
        <w:bidi w:val="0"/>
      </w:pPr>
      <w:bookmarkStart w:id="3" w:name="bookmark1"/>
      <w:bookmarkEnd w:id="3"/>
      <w:bookmarkStart w:id="4" w:name="_Toc4360"/>
      <w:r>
        <w:rPr>
          <w:rFonts w:hint="eastAsia"/>
          <w:lang w:val="en-US" w:eastAsia="zh-CN"/>
        </w:rPr>
        <w:t>原则</w:t>
      </w:r>
      <w:bookmarkEnd w:id="4"/>
    </w:p>
    <w:p w14:paraId="57E151A1">
      <w:pPr>
        <w:pStyle w:val="29"/>
        <w:pageBreakBefore w:val="0"/>
        <w:wordWrap/>
        <w:overflowPunct/>
        <w:topLinePunct/>
        <w:bidi w:val="0"/>
        <w:rPr>
          <w:rFonts w:hint="default"/>
        </w:rPr>
      </w:pPr>
      <w:r>
        <w:t>培训管理工作遵循</w:t>
      </w:r>
      <w:r>
        <w:rPr>
          <w:rFonts w:hint="default"/>
        </w:rPr>
        <w:t> ‘战略导向、按需施教、学以致用’ 的核心原则，旨在通过系统性的培养，提升员工履职能力与职业素养，支持公司战略目标的实现与可持续发展。</w:t>
      </w:r>
    </w:p>
    <w:p w14:paraId="5574B436">
      <w:pPr>
        <w:pStyle w:val="28"/>
        <w:pageBreakBefore w:val="0"/>
        <w:wordWrap/>
        <w:overflowPunct/>
        <w:topLinePunct/>
        <w:bidi w:val="0"/>
        <w:rPr>
          <w:rFonts w:hint="default"/>
          <w:lang w:val="en-US" w:eastAsia="zh-CN"/>
        </w:rPr>
      </w:pPr>
      <w:bookmarkStart w:id="5" w:name="_Toc16123"/>
      <w:r>
        <w:rPr>
          <w:rFonts w:hint="eastAsia"/>
          <w:lang w:val="en-US" w:eastAsia="zh-CN"/>
        </w:rPr>
        <w:t>适用范围</w:t>
      </w:r>
      <w:bookmarkEnd w:id="5"/>
    </w:p>
    <w:p w14:paraId="409EAF95">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2CF0142B">
      <w:pPr>
        <w:pStyle w:val="28"/>
        <w:pageBreakBefore w:val="0"/>
        <w:wordWrap/>
        <w:overflowPunct/>
        <w:topLinePunct/>
        <w:bidi w:val="0"/>
      </w:pPr>
      <w:bookmarkStart w:id="6" w:name="_Toc12689"/>
      <w:r>
        <w:rPr>
          <w:rFonts w:hint="eastAsia"/>
          <w:lang w:val="en-US" w:eastAsia="zh-CN"/>
        </w:rPr>
        <w:t>岗位</w:t>
      </w:r>
      <w:r>
        <w:t>职责</w:t>
      </w:r>
      <w:bookmarkEnd w:id="6"/>
    </w:p>
    <w:p w14:paraId="2D163C58">
      <w:pPr>
        <w:pStyle w:val="30"/>
        <w:pageBreakBefore w:val="0"/>
        <w:wordWrap/>
        <w:overflowPunct/>
        <w:topLinePunct/>
        <w:bidi w:val="0"/>
        <w:rPr>
          <w:rFonts w:hint="eastAsia"/>
          <w:lang w:val="en-US" w:eastAsia="zh-CN"/>
        </w:rPr>
      </w:pPr>
      <w:bookmarkStart w:id="7" w:name="_Toc30708"/>
      <w:r>
        <w:rPr>
          <w:rFonts w:hint="eastAsia"/>
          <w:lang w:val="en-US" w:eastAsia="zh-CN"/>
        </w:rPr>
        <w:t>总经理：</w:t>
      </w:r>
      <w:bookmarkEnd w:id="7"/>
    </w:p>
    <w:p w14:paraId="2026C0EE">
      <w:pPr>
        <w:keepNext w:val="0"/>
        <w:keepLines w:val="0"/>
        <w:pageBreakBefore w:val="0"/>
        <w:widowControl/>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6C72B516">
      <w:pPr>
        <w:pStyle w:val="30"/>
        <w:pageBreakBefore w:val="0"/>
        <w:wordWrap/>
        <w:overflowPunct/>
        <w:topLinePunct/>
        <w:bidi w:val="0"/>
        <w:rPr>
          <w:rFonts w:hint="eastAsia"/>
          <w:lang w:val="en-US" w:eastAsia="zh-CN"/>
        </w:rPr>
      </w:pPr>
      <w:bookmarkStart w:id="8" w:name="_Toc20489"/>
      <w:r>
        <w:rPr>
          <w:rFonts w:hint="eastAsia"/>
          <w:lang w:val="en-US" w:eastAsia="zh-CN"/>
        </w:rPr>
        <w:t>人力部：</w:t>
      </w:r>
      <w:bookmarkEnd w:id="8"/>
    </w:p>
    <w:p w14:paraId="3537E671">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2ECE7B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EE05A6A">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1B934AA7">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5F934783">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37DB04DB">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08DB8B4E">
      <w:pPr>
        <w:pStyle w:val="30"/>
        <w:pageBreakBefore w:val="0"/>
        <w:wordWrap/>
        <w:overflowPunct/>
        <w:topLinePunct/>
        <w:bidi w:val="0"/>
        <w:rPr>
          <w:rFonts w:hint="default"/>
          <w:lang w:val="en-US" w:eastAsia="zh-CN"/>
        </w:rPr>
      </w:pPr>
      <w:bookmarkStart w:id="9" w:name="_Toc29950"/>
      <w:r>
        <w:rPr>
          <w:rFonts w:hint="eastAsia"/>
          <w:lang w:val="en-US" w:eastAsia="zh-CN"/>
        </w:rPr>
        <w:t>其他运维相关部门</w:t>
      </w:r>
      <w:bookmarkEnd w:id="9"/>
    </w:p>
    <w:p w14:paraId="6E59FAEE">
      <w:pPr>
        <w:pageBreakBefore w:val="0"/>
        <w:wordWrap/>
        <w:overflowPunct/>
        <w:topLinePunct/>
        <w:bidi w:val="0"/>
        <w:spacing w:before="113" w:line="360" w:lineRule="auto"/>
        <w:ind w:right="18"/>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C494860">
      <w:pPr>
        <w:pageBreakBefore w:val="0"/>
        <w:wordWrap/>
        <w:overflowPunct/>
        <w:topLinePunct/>
        <w:bidi w:val="0"/>
        <w:spacing w:before="113" w:line="360" w:lineRule="auto"/>
        <w:ind w:right="18"/>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7B72FCD9">
      <w:pPr>
        <w:pageBreakBefore w:val="0"/>
        <w:wordWrap/>
        <w:overflowPunct/>
        <w:topLinePunct/>
        <w:bidi w:val="0"/>
        <w:spacing w:before="113" w:line="360" w:lineRule="auto"/>
        <w:ind w:right="18"/>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w:t>
      </w:r>
      <w:commentRangeStart w:id="0"/>
      <w:r>
        <w:rPr>
          <w:rFonts w:ascii="宋体" w:hAnsi="宋体" w:eastAsia="宋体" w:cs="宋体"/>
          <w:spacing w:val="1"/>
          <w:sz w:val="24"/>
          <w:szCs w:val="24"/>
        </w:rPr>
        <w:t>督导层</w:t>
      </w:r>
      <w:commentRangeEnd w:id="0"/>
      <w:r>
        <w:commentReference w:id="0"/>
      </w:r>
      <w:r>
        <w:rPr>
          <w:rFonts w:ascii="宋体" w:hAnsi="宋体" w:eastAsia="宋体" w:cs="宋体"/>
          <w:spacing w:val="1"/>
          <w:sz w:val="24"/>
          <w:szCs w:val="24"/>
        </w:rPr>
        <w:t>人员培训的</w:t>
      </w:r>
      <w:r>
        <w:rPr>
          <w:rFonts w:ascii="宋体" w:hAnsi="宋体" w:eastAsia="宋体" w:cs="宋体"/>
          <w:spacing w:val="-4"/>
          <w:sz w:val="24"/>
          <w:szCs w:val="24"/>
        </w:rPr>
        <w:t>职责。</w:t>
      </w:r>
    </w:p>
    <w:p w14:paraId="7B5D8227">
      <w:pPr>
        <w:pStyle w:val="28"/>
        <w:pageBreakBefore w:val="0"/>
        <w:wordWrap/>
        <w:overflowPunct/>
        <w:topLinePunct/>
        <w:bidi w:val="0"/>
        <w:rPr>
          <w:rFonts w:hint="default" w:eastAsia="宋体"/>
          <w:lang w:val="en-US" w:eastAsia="zh-CN"/>
        </w:rPr>
      </w:pPr>
      <w:bookmarkStart w:id="10" w:name="bookmark2"/>
      <w:bookmarkEnd w:id="10"/>
      <w:bookmarkStart w:id="11" w:name="bookmark4"/>
      <w:bookmarkEnd w:id="11"/>
      <w:bookmarkStart w:id="12" w:name="_Toc12726"/>
      <w:r>
        <w:t>培训</w:t>
      </w:r>
      <w:r>
        <w:rPr>
          <w:rFonts w:hint="eastAsia"/>
          <w:lang w:val="en-US" w:eastAsia="zh-CN"/>
        </w:rPr>
        <w:t>计划</w:t>
      </w:r>
      <w:r>
        <w:t>实施</w:t>
      </w:r>
      <w:bookmarkEnd w:id="12"/>
    </w:p>
    <w:p w14:paraId="20CEEADC">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35BF4943">
      <w:pPr>
        <w:pStyle w:val="29"/>
        <w:pageBreakBefore w:val="0"/>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38D5B447">
      <w:pPr>
        <w:pStyle w:val="30"/>
        <w:pageBreakBefore w:val="0"/>
        <w:wordWrap/>
        <w:overflowPunct/>
        <w:topLinePunct/>
        <w:bidi w:val="0"/>
        <w:rPr>
          <w:rFonts w:hint="default"/>
          <w:lang w:val="en-US" w:eastAsia="zh-CN"/>
        </w:rPr>
      </w:pPr>
      <w:bookmarkStart w:id="13" w:name="_Toc7993"/>
      <w:r>
        <w:rPr>
          <w:rFonts w:hint="eastAsia"/>
          <w:lang w:val="en-US" w:eastAsia="zh-CN"/>
        </w:rPr>
        <w:t>培训目的</w:t>
      </w:r>
      <w:bookmarkEnd w:id="13"/>
    </w:p>
    <w:p w14:paraId="5F59F6F1">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3741E576">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p>
    <w:p w14:paraId="6FE74BC4">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p>
    <w:p w14:paraId="0FC05DCB">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6CCD1F33">
      <w:pPr>
        <w:pStyle w:val="30"/>
        <w:pageBreakBefore w:val="0"/>
        <w:wordWrap/>
        <w:overflowPunct/>
        <w:topLinePunct/>
        <w:bidi w:val="0"/>
        <w:rPr>
          <w:rFonts w:hint="default"/>
          <w:lang w:val="en-US" w:eastAsia="zh-CN"/>
        </w:rPr>
      </w:pPr>
      <w:bookmarkStart w:id="14" w:name="_Toc14430"/>
      <w:r>
        <w:rPr>
          <w:rFonts w:hint="eastAsia"/>
          <w:lang w:val="en-US" w:eastAsia="zh-CN"/>
        </w:rPr>
        <w:t>培训方式、性质</w:t>
      </w:r>
      <w:bookmarkEnd w:id="14"/>
    </w:p>
    <w:p w14:paraId="425784DE">
      <w:pPr>
        <w:keepNext w:val="0"/>
        <w:keepLines w:val="0"/>
        <w:pageBreakBefore w:val="0"/>
        <w:widowControl/>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480F7AD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77DA1B7">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3631275D">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10115D2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0A03D218">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6249B2CB">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0BD0DEA8">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2A44E47B">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25CD94A7">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F6862CE">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4D12ADBE">
      <w:pPr>
        <w:pStyle w:val="30"/>
        <w:pageBreakBefore w:val="0"/>
        <w:wordWrap/>
        <w:overflowPunct/>
        <w:topLinePunct/>
        <w:bidi w:val="0"/>
      </w:pPr>
      <w:bookmarkStart w:id="15" w:name="_Toc8660"/>
      <w:r>
        <w:t>培训计划的编制</w:t>
      </w:r>
      <w:bookmarkEnd w:id="15"/>
    </w:p>
    <w:p w14:paraId="2C9D16B9">
      <w:pPr>
        <w:pStyle w:val="29"/>
        <w:pageBreakBefore w:val="0"/>
        <w:wordWrap/>
        <w:overflowPunct/>
        <w:topLinePunct/>
        <w:bidi w:val="0"/>
      </w:pPr>
      <w:r>
        <w:rPr>
          <w:rFonts w:hint="eastAsia"/>
          <w:lang w:val="en-US" w:eastAsia="zh-CN"/>
        </w:rPr>
        <w:t>公</w:t>
      </w:r>
      <w:r>
        <w:t>司年度培训计划：</w:t>
      </w:r>
      <w:r>
        <w:rPr>
          <w:rFonts w:hint="eastAsia"/>
          <w:lang w:val="en-US" w:eastAsia="zh-CN"/>
        </w:rPr>
        <w:t>人力部</w:t>
      </w:r>
      <w:r>
        <w:t>每年十一月份发放“员工培训需求调查表 ”，员工根据自身的培训需求提出申请，由部门统一报至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5D1949DF">
      <w:pPr>
        <w:pStyle w:val="29"/>
        <w:pageBreakBefore w:val="0"/>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22882C9C">
      <w:pPr>
        <w:pStyle w:val="30"/>
        <w:pageBreakBefore w:val="0"/>
        <w:wordWrap/>
        <w:overflowPunct/>
        <w:topLinePunct/>
        <w:bidi w:val="0"/>
      </w:pPr>
      <w:bookmarkStart w:id="16" w:name="_Toc30958"/>
      <w:r>
        <w:t>新员工培训</w:t>
      </w:r>
      <w:bookmarkEnd w:id="16"/>
    </w:p>
    <w:p w14:paraId="77E6BD77">
      <w:pPr>
        <w:pStyle w:val="31"/>
        <w:pageBreakBefore w:val="0"/>
        <w:wordWrap/>
        <w:overflowPunct/>
        <w:topLinePunct/>
        <w:bidi w:val="0"/>
      </w:pPr>
      <w:bookmarkStart w:id="17" w:name="_Toc25247"/>
      <w:r>
        <w:t>培训内容</w:t>
      </w:r>
      <w:bookmarkEnd w:id="17"/>
    </w:p>
    <w:p w14:paraId="3A3476A2">
      <w:pPr>
        <w:pStyle w:val="29"/>
        <w:pageBreakBefore w:val="0"/>
        <w:numPr>
          <w:ilvl w:val="0"/>
          <w:numId w:val="8"/>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3F2C4970">
      <w:pPr>
        <w:pStyle w:val="29"/>
        <w:pageBreakBefore w:val="0"/>
        <w:numPr>
          <w:ilvl w:val="0"/>
          <w:numId w:val="8"/>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56D33CA1">
      <w:pPr>
        <w:pStyle w:val="31"/>
        <w:pageBreakBefore w:val="0"/>
        <w:wordWrap/>
        <w:overflowPunct/>
        <w:topLinePunct/>
        <w:bidi w:val="0"/>
      </w:pPr>
      <w:bookmarkStart w:id="18" w:name="_Toc7236"/>
      <w:r>
        <w:t>培训形式</w:t>
      </w:r>
      <w:bookmarkEnd w:id="18"/>
    </w:p>
    <w:p w14:paraId="475EF6B7">
      <w:pPr>
        <w:pageBreakBefore w:val="0"/>
        <w:wordWrap/>
        <w:overflowPunct/>
        <w:topLinePunct/>
        <w:bidi w:val="0"/>
        <w:spacing w:before="153" w:line="219" w:lineRule="auto"/>
        <w:ind w:left="383"/>
        <w:rPr>
          <w:rFonts w:ascii="宋体" w:hAnsi="宋体" w:eastAsia="宋体" w:cs="宋体"/>
          <w:sz w:val="24"/>
          <w:szCs w:val="24"/>
        </w:rPr>
      </w:pPr>
      <w:r>
        <w:rPr>
          <w:rStyle w:val="33"/>
        </w:rPr>
        <w:t>讲授法、案例法、操作示范法、视听教学法等</w:t>
      </w:r>
      <w:r>
        <w:rPr>
          <w:rFonts w:ascii="宋体" w:hAnsi="宋体" w:eastAsia="宋体" w:cs="宋体"/>
          <w:spacing w:val="-1"/>
          <w:sz w:val="24"/>
          <w:szCs w:val="24"/>
        </w:rPr>
        <w:t>。</w:t>
      </w:r>
    </w:p>
    <w:p w14:paraId="195710A5">
      <w:pPr>
        <w:pStyle w:val="31"/>
        <w:pageBreakBefore w:val="0"/>
        <w:wordWrap/>
        <w:overflowPunct/>
        <w:topLinePunct/>
        <w:bidi w:val="0"/>
      </w:pPr>
      <w:bookmarkStart w:id="19" w:name="_Toc26"/>
      <w:r>
        <w:t>培训实施</w:t>
      </w:r>
      <w:bookmarkEnd w:id="19"/>
    </w:p>
    <w:p w14:paraId="3FFD3595">
      <w:pPr>
        <w:pStyle w:val="29"/>
        <w:pageBreakBefore w:val="0"/>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0E3C48">
      <w:pPr>
        <w:pStyle w:val="29"/>
        <w:pageBreakBefore w:val="0"/>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7FBB7203">
      <w:pPr>
        <w:pStyle w:val="29"/>
        <w:pageBreakBefore w:val="0"/>
        <w:wordWrap/>
        <w:overflowPunct/>
        <w:topLinePunct/>
        <w:bidi w:val="0"/>
      </w:pPr>
      <w:r>
        <w:t>公司新员工入职培训在每月度的中旬组织实施，若当月或前期新入职员工累计不超过5人，可顺延至下一月度。至少每季度应组织一次新员工培训。</w:t>
      </w:r>
    </w:p>
    <w:p w14:paraId="2B2715E8">
      <w:pPr>
        <w:pStyle w:val="29"/>
        <w:pageBreakBefore w:val="0"/>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211BAA7B">
      <w:pPr>
        <w:pStyle w:val="29"/>
        <w:pageBreakBefore w:val="0"/>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4191242">
      <w:pPr>
        <w:pStyle w:val="29"/>
        <w:pageBreakBefore w:val="0"/>
        <w:wordWrap/>
        <w:overflowPunct/>
        <w:topLinePunct/>
        <w:bidi w:val="0"/>
      </w:pPr>
      <w:r>
        <w:t>培训过程中如有请假缺课超过三课时的将不予考核，待下期培训时补完相应课程后再进行考核。</w:t>
      </w:r>
    </w:p>
    <w:p w14:paraId="52C1D1DC">
      <w:pPr>
        <w:pStyle w:val="29"/>
        <w:pageBreakBefore w:val="0"/>
        <w:wordWrap/>
        <w:overflowPunct/>
        <w:topLinePunct/>
        <w:bidi w:val="0"/>
      </w:pPr>
      <w:r>
        <w:t>未经过新员工入职培训的员工，不得参加试用期转正考试，成为公司正式员工。</w:t>
      </w:r>
    </w:p>
    <w:p w14:paraId="3A08A1BA">
      <w:pPr>
        <w:pStyle w:val="29"/>
        <w:pageBreakBefore w:val="0"/>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179537CD">
      <w:pPr>
        <w:pStyle w:val="30"/>
        <w:pageBreakBefore w:val="0"/>
        <w:wordWrap/>
        <w:overflowPunct/>
        <w:topLinePunct/>
        <w:bidi w:val="0"/>
      </w:pPr>
      <w:bookmarkStart w:id="20" w:name="_Toc885"/>
      <w:r>
        <w:t>在岗员工、转岗员工培训</w:t>
      </w:r>
      <w:bookmarkEnd w:id="20"/>
    </w:p>
    <w:p w14:paraId="40194FDE">
      <w:pPr>
        <w:pStyle w:val="31"/>
        <w:pageBreakBefore w:val="0"/>
        <w:wordWrap/>
        <w:overflowPunct/>
        <w:topLinePunct/>
        <w:bidi w:val="0"/>
      </w:pPr>
      <w:bookmarkStart w:id="21" w:name="_Toc2368"/>
      <w:r>
        <w:t>培训内容</w:t>
      </w:r>
      <w:bookmarkEnd w:id="21"/>
    </w:p>
    <w:p w14:paraId="5CC306DF">
      <w:pPr>
        <w:pStyle w:val="29"/>
        <w:pageBreakBefore w:val="0"/>
        <w:wordWrap/>
        <w:overflowPunct/>
        <w:topLinePunct/>
        <w:bidi w:val="0"/>
      </w:pPr>
      <w:r>
        <w:t>部门应知应会内容，主要为业务知识和操作技能培训。</w:t>
      </w:r>
    </w:p>
    <w:p w14:paraId="247CEC7D">
      <w:pPr>
        <w:pStyle w:val="31"/>
        <w:pageBreakBefore w:val="0"/>
        <w:wordWrap/>
        <w:overflowPunct/>
        <w:topLinePunct/>
        <w:bidi w:val="0"/>
      </w:pPr>
      <w:bookmarkStart w:id="22" w:name="_Toc13053"/>
      <w:r>
        <w:t>培训形式</w:t>
      </w:r>
      <w:bookmarkEnd w:id="22"/>
    </w:p>
    <w:p w14:paraId="00F572C9">
      <w:pPr>
        <w:pStyle w:val="29"/>
        <w:pageBreakBefore w:val="0"/>
        <w:wordWrap/>
        <w:overflowPunct/>
        <w:topLinePunct/>
        <w:bidi w:val="0"/>
      </w:pPr>
      <w:r>
        <w:t>讲授法、案例法、操作示范法、视听教学法和讨论法等。</w:t>
      </w:r>
    </w:p>
    <w:p w14:paraId="1B993FA9">
      <w:pPr>
        <w:pStyle w:val="31"/>
        <w:pageBreakBefore w:val="0"/>
        <w:wordWrap/>
        <w:overflowPunct/>
        <w:topLinePunct/>
        <w:bidi w:val="0"/>
      </w:pPr>
      <w:bookmarkStart w:id="23" w:name="_Toc1112"/>
      <w:r>
        <w:t>培训实施</w:t>
      </w:r>
      <w:bookmarkEnd w:id="23"/>
    </w:p>
    <w:p w14:paraId="224AA88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试用期满且正式录用的员工，为提升工作技能和综合素质，必须接受在岗培训，每位员工都最大程度地掌握应有的专业知识，也使公司的每个岗位上都有最适合该工作的员工，做到人尽其才。</w:t>
      </w:r>
    </w:p>
    <w:p w14:paraId="60CD963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在岗培训主要包括</w:t>
      </w:r>
      <w:r>
        <w:rPr>
          <w:rFonts w:hint="eastAsia"/>
          <w:lang w:eastAsia="zh-CN"/>
        </w:rPr>
        <w:t>人力部</w:t>
      </w:r>
      <w:r>
        <w:t>每个月举办的各项专题培训和各部门组织的岗位技能培训。</w:t>
      </w:r>
    </w:p>
    <w:p w14:paraId="00E7A577">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在岗培训由</w:t>
      </w:r>
      <w:r>
        <w:rPr>
          <w:rFonts w:hint="eastAsia"/>
          <w:lang w:eastAsia="zh-CN"/>
        </w:rPr>
        <w:t>人力部</w:t>
      </w:r>
      <w:r>
        <w:t>或各部门拟定培训计划，并按计划由</w:t>
      </w:r>
      <w:r>
        <w:rPr>
          <w:rFonts w:hint="eastAsia"/>
          <w:lang w:eastAsia="zh-CN"/>
        </w:rPr>
        <w:t>人力部</w:t>
      </w:r>
      <w:r>
        <w:t>或各部门的相关讲师执行，以期达到最佳效果。</w:t>
      </w:r>
    </w:p>
    <w:p w14:paraId="0DC11B79">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转岗员工新岗位的业务技能培训由所在部门负责，转岗后每月由</w:t>
      </w:r>
      <w:r>
        <w:rPr>
          <w:rFonts w:hint="eastAsia"/>
          <w:lang w:eastAsia="zh-CN"/>
        </w:rPr>
        <w:t>人力部</w:t>
      </w:r>
      <w:r>
        <w:t>与部门对其共同考核，超过二个月仍达不到新岗位要求的，退回原岗位。部门对转岗员工培训不到位的，</w:t>
      </w:r>
      <w:r>
        <w:rPr>
          <w:rFonts w:hint="eastAsia"/>
          <w:lang w:eastAsia="zh-CN"/>
        </w:rPr>
        <w:t>人力部</w:t>
      </w:r>
      <w:r>
        <w:t>做出考核。</w:t>
      </w:r>
    </w:p>
    <w:p w14:paraId="6111F1B2">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pPr>
      <w:r>
        <w:t>具体培训内容根据培训需求而定。</w:t>
      </w:r>
    </w:p>
    <w:p w14:paraId="462B418B">
      <w:pPr>
        <w:pStyle w:val="30"/>
        <w:pageBreakBefore w:val="0"/>
        <w:wordWrap/>
        <w:overflowPunct/>
        <w:topLinePunct/>
        <w:bidi w:val="0"/>
      </w:pPr>
      <w:bookmarkStart w:id="24" w:name="_Toc25792"/>
      <w:r>
        <w:t>基层管理人员培训</w:t>
      </w:r>
      <w:bookmarkEnd w:id="24"/>
    </w:p>
    <w:p w14:paraId="588A0253">
      <w:pPr>
        <w:pStyle w:val="31"/>
        <w:pageBreakBefore w:val="0"/>
        <w:wordWrap/>
        <w:overflowPunct/>
        <w:topLinePunct/>
        <w:bidi w:val="0"/>
      </w:pPr>
      <w:bookmarkStart w:id="25" w:name="_Toc17806"/>
      <w:r>
        <w:t>培训内容</w:t>
      </w:r>
      <w:bookmarkEnd w:id="25"/>
    </w:p>
    <w:p w14:paraId="06F16525">
      <w:pPr>
        <w:pStyle w:val="29"/>
        <w:pageBreakBefore w:val="0"/>
        <w:wordWrap/>
        <w:overflowPunct/>
        <w:topLinePunct/>
        <w:bidi w:val="0"/>
      </w:pPr>
      <w:r>
        <w:t>角色认知、沟通技巧、团队管理、时间管理、授权管理、情绪管理、面试技巧、自我更新、领导能力、班会的召开、工作计划的制定等。</w:t>
      </w:r>
    </w:p>
    <w:p w14:paraId="70587929">
      <w:pPr>
        <w:pStyle w:val="31"/>
        <w:pageBreakBefore w:val="0"/>
        <w:wordWrap/>
        <w:overflowPunct/>
        <w:topLinePunct/>
        <w:bidi w:val="0"/>
      </w:pPr>
      <w:bookmarkStart w:id="26" w:name="_Toc24261"/>
      <w:r>
        <w:t>培训形式</w:t>
      </w:r>
      <w:bookmarkEnd w:id="26"/>
    </w:p>
    <w:p w14:paraId="137AFB4B">
      <w:pPr>
        <w:pStyle w:val="29"/>
        <w:pageBreakBefore w:val="0"/>
        <w:wordWrap/>
        <w:overflowPunct/>
        <w:topLinePunct/>
        <w:bidi w:val="0"/>
      </w:pPr>
      <w:r>
        <w:t>讲授法、案例法、讨论法、自学法（发放资料）、管理游戏法、外出培训学习等。</w:t>
      </w:r>
    </w:p>
    <w:p w14:paraId="76B67CF7">
      <w:pPr>
        <w:pStyle w:val="31"/>
        <w:pageBreakBefore w:val="0"/>
        <w:wordWrap/>
        <w:overflowPunct/>
        <w:topLinePunct/>
        <w:bidi w:val="0"/>
      </w:pPr>
      <w:bookmarkStart w:id="27" w:name="_Toc23337"/>
      <w:r>
        <w:t>培训实施</w:t>
      </w:r>
      <w:bookmarkEnd w:id="27"/>
    </w:p>
    <w:p w14:paraId="4ED3539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每年至少举办六期对督导人员的培训，授课人为部门经理以上人员。</w:t>
      </w:r>
    </w:p>
    <w:p w14:paraId="2F1B707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每位督导级人员必须接受培训，全年参与培训不足三分之二课程的人员将给予降级或降薪处理。</w:t>
      </w:r>
    </w:p>
    <w:p w14:paraId="4F281FEB">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F595CE4">
      <w:pPr>
        <w:pStyle w:val="29"/>
        <w:keepNext w:val="0"/>
        <w:keepLines w:val="0"/>
        <w:pageBreakBefore w:val="0"/>
        <w:widowControl/>
        <w:numPr>
          <w:ilvl w:val="0"/>
          <w:numId w:val="10"/>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送总经理或执行总经理审核批准后讲授。</w:t>
      </w:r>
    </w:p>
    <w:p w14:paraId="5FE1C33D">
      <w:pPr>
        <w:pStyle w:val="30"/>
        <w:pageBreakBefore w:val="0"/>
        <w:wordWrap/>
        <w:overflowPunct/>
        <w:topLinePunct/>
        <w:bidi w:val="0"/>
      </w:pPr>
      <w:bookmarkStart w:id="28" w:name="_Toc23824"/>
      <w:r>
        <w:t>中高层管理人员培训</w:t>
      </w:r>
      <w:bookmarkEnd w:id="28"/>
    </w:p>
    <w:p w14:paraId="6E0FC068">
      <w:pPr>
        <w:pStyle w:val="31"/>
        <w:pageBreakBefore w:val="0"/>
        <w:wordWrap/>
        <w:overflowPunct/>
        <w:topLinePunct/>
        <w:bidi w:val="0"/>
      </w:pPr>
      <w:bookmarkStart w:id="29" w:name="_Toc17557"/>
      <w:r>
        <w:t>培训内容</w:t>
      </w:r>
      <w:bookmarkEnd w:id="29"/>
    </w:p>
    <w:p w14:paraId="6FCD5FAD">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4AAC1DF9">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05E1DE42">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236408E8">
      <w:pPr>
        <w:keepNext w:val="0"/>
        <w:keepLines w:val="0"/>
        <w:pageBreakBefore w:val="0"/>
        <w:widowControl/>
        <w:numPr>
          <w:ilvl w:val="0"/>
          <w:numId w:val="11"/>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2B98BAC2">
      <w:pPr>
        <w:pStyle w:val="31"/>
        <w:pageBreakBefore w:val="0"/>
        <w:wordWrap/>
        <w:overflowPunct/>
        <w:topLinePunct/>
        <w:bidi w:val="0"/>
      </w:pPr>
      <w:bookmarkStart w:id="30" w:name="_Toc3848"/>
      <w:r>
        <w:t>培训形式</w:t>
      </w:r>
      <w:bookmarkEnd w:id="30"/>
    </w:p>
    <w:p w14:paraId="6D291A6E">
      <w:pPr>
        <w:pageBreakBefore w:val="0"/>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03E1C2AC">
      <w:pPr>
        <w:pStyle w:val="31"/>
        <w:pageBreakBefore w:val="0"/>
        <w:wordWrap/>
        <w:overflowPunct/>
        <w:topLinePunct/>
        <w:bidi w:val="0"/>
      </w:pPr>
      <w:bookmarkStart w:id="31" w:name="_Toc4764"/>
      <w:r>
        <w:t>培训实施</w:t>
      </w:r>
      <w:bookmarkEnd w:id="31"/>
    </w:p>
    <w:p w14:paraId="5F2C9954">
      <w:pPr>
        <w:pageBreakBefore w:val="0"/>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6FD695D6">
      <w:pPr>
        <w:pageBreakBefore w:val="0"/>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251F694E">
      <w:pPr>
        <w:pageBreakBefore w:val="0"/>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14E73BC0">
      <w:pPr>
        <w:pStyle w:val="30"/>
        <w:pageBreakBefore w:val="0"/>
        <w:wordWrap/>
        <w:overflowPunct/>
        <w:topLinePunct/>
        <w:bidi w:val="0"/>
      </w:pPr>
      <w:bookmarkStart w:id="32" w:name="_Toc27976"/>
      <w:r>
        <w:t>外派培训</w:t>
      </w:r>
      <w:bookmarkEnd w:id="32"/>
    </w:p>
    <w:p w14:paraId="726BC666">
      <w:pPr>
        <w:pStyle w:val="31"/>
        <w:pageBreakBefore w:val="0"/>
        <w:wordWrap/>
        <w:overflowPunct/>
        <w:topLinePunct/>
        <w:bidi w:val="0"/>
      </w:pPr>
      <w:bookmarkStart w:id="33" w:name="_Toc17024"/>
      <w:r>
        <w:rPr>
          <w:rFonts w:hint="eastAsia"/>
          <w:lang w:val="en-US" w:eastAsia="zh-CN"/>
        </w:rPr>
        <w:t>培训内容</w:t>
      </w:r>
      <w:bookmarkEnd w:id="33"/>
    </w:p>
    <w:p w14:paraId="1B731371">
      <w:pPr>
        <w:pStyle w:val="29"/>
        <w:pageBreakBefore w:val="0"/>
        <w:wordWrap/>
        <w:overflowPunct/>
        <w:topLinePunct/>
        <w:bidi w:val="0"/>
        <w:rPr>
          <w:rFonts w:hint="default"/>
          <w:lang w:val="en-US" w:eastAsia="zh-CN"/>
        </w:rPr>
      </w:pPr>
      <w:r>
        <w:rPr>
          <w:rFonts w:hint="eastAsia"/>
          <w:lang w:val="en-US" w:eastAsia="zh-CN"/>
        </w:rPr>
        <w:t>各部门经理主要学生部门管理方面内容，基层员工主要学习操作类专业技能。</w:t>
      </w:r>
    </w:p>
    <w:p w14:paraId="5BD1AB54">
      <w:pPr>
        <w:pStyle w:val="31"/>
        <w:pageBreakBefore w:val="0"/>
        <w:wordWrap/>
        <w:overflowPunct/>
        <w:topLinePunct/>
        <w:bidi w:val="0"/>
      </w:pPr>
      <w:bookmarkStart w:id="34" w:name="_Toc4818"/>
      <w:r>
        <w:rPr>
          <w:rFonts w:hint="eastAsia"/>
          <w:lang w:val="en-US" w:eastAsia="zh-CN"/>
        </w:rPr>
        <w:t>培训形式</w:t>
      </w:r>
      <w:bookmarkEnd w:id="34"/>
    </w:p>
    <w:p w14:paraId="5E1ADD8C">
      <w:pPr>
        <w:pStyle w:val="29"/>
        <w:pageBreakBefore w:val="0"/>
        <w:wordWrap/>
        <w:overflowPunct/>
        <w:topLinePunct/>
        <w:bidi w:val="0"/>
        <w:rPr>
          <w:rFonts w:hint="default"/>
          <w:lang w:val="en-US" w:eastAsia="zh-CN"/>
        </w:rPr>
      </w:pPr>
      <w:r>
        <w:rPr>
          <w:rFonts w:hint="eastAsia"/>
          <w:lang w:val="en-US" w:eastAsia="zh-CN"/>
        </w:rPr>
        <w:t>外部参观学习。</w:t>
      </w:r>
    </w:p>
    <w:p w14:paraId="098E709E">
      <w:pPr>
        <w:pStyle w:val="31"/>
        <w:pageBreakBefore w:val="0"/>
        <w:wordWrap/>
        <w:overflowPunct/>
        <w:topLinePunct/>
        <w:bidi w:val="0"/>
      </w:pPr>
      <w:bookmarkStart w:id="35" w:name="_Toc29401"/>
      <w:r>
        <w:t>培训实施</w:t>
      </w:r>
      <w:bookmarkEnd w:id="35"/>
    </w:p>
    <w:p w14:paraId="173C497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56EB5F3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73849F5D">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0390C607">
      <w:pPr>
        <w:pStyle w:val="29"/>
        <w:pageBreakBefore w:val="0"/>
        <w:numPr>
          <w:ilvl w:val="0"/>
          <w:numId w:val="12"/>
        </w:numPr>
        <w:wordWrap/>
        <w:overflowPunct/>
        <w:topLinePunct/>
        <w:bidi w:val="0"/>
        <w:ind w:left="425" w:leftChars="0" w:hanging="425" w:firstLineChars="0"/>
      </w:pPr>
      <w:r>
        <w:t>对有考试任务（公司要求必须通过考试）的外派培训，受训员工必须在培训结束的第一时间参加考试。若该考试涉及到额外的考试费用，则费用处理方式如下：</w:t>
      </w:r>
    </w:p>
    <w:p w14:paraId="19903FDD">
      <w:pPr>
        <w:pageBreakBefore w:val="0"/>
        <w:numPr>
          <w:ilvl w:val="0"/>
          <w:numId w:val="13"/>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7B33C943">
      <w:pPr>
        <w:pageBreakBefore w:val="0"/>
        <w:numPr>
          <w:ilvl w:val="0"/>
          <w:numId w:val="13"/>
        </w:numPr>
        <w:wordWrap/>
        <w:overflowPunct/>
        <w:topLinePunct/>
        <w:bidi w:val="0"/>
        <w:spacing w:before="153" w:line="280"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7AD992BD">
      <w:pPr>
        <w:pageBreakBefore w:val="0"/>
        <w:numPr>
          <w:ilvl w:val="0"/>
          <w:numId w:val="13"/>
        </w:numPr>
        <w:wordWrap/>
        <w:overflowPunct/>
        <w:topLinePunct/>
        <w:bidi w:val="0"/>
        <w:spacing w:before="153" w:line="279" w:lineRule="auto"/>
        <w:ind w:left="845" w:leftChars="0" w:right="13" w:hanging="425" w:firstLineChars="0"/>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53BCE2FA">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公司员工参加各类外派培训除应遵守本公司的规章制度外，还应遵守培训单位的有关规定，维护本公司的良好形象，力争取得优异成绩。</w:t>
      </w:r>
    </w:p>
    <w:p w14:paraId="23DFE3CE">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11D533A0">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05B23D8C">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关于外派培训协议期限：凡公司出资的外派培训，按培训费用的额度定</w:t>
      </w:r>
      <w:r>
        <w:rPr>
          <w:rFonts w:ascii="宋体" w:hAnsi="宋体" w:eastAsia="宋体" w:cs="宋体"/>
          <w:spacing w:val="-3"/>
          <w:sz w:val="24"/>
          <w:szCs w:val="24"/>
        </w:rPr>
        <w:t>协议期限。</w:t>
      </w:r>
    </w:p>
    <w:p w14:paraId="1CEF2E68">
      <w:pPr>
        <w:pageBreakBefore w:val="0"/>
        <w:numPr>
          <w:ilvl w:val="0"/>
          <w:numId w:val="14"/>
        </w:numPr>
        <w:wordWrap/>
        <w:overflowPunct/>
        <w:topLinePunct/>
        <w:bidi w:val="0"/>
        <w:spacing w:before="147"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费用总计在1000元（含</w:t>
      </w:r>
      <w:r>
        <w:rPr>
          <w:rFonts w:ascii="宋体" w:hAnsi="宋体" w:eastAsia="宋体" w:cs="宋体"/>
          <w:spacing w:val="-46"/>
          <w:sz w:val="24"/>
          <w:szCs w:val="24"/>
        </w:rPr>
        <w:t xml:space="preserve"> </w:t>
      </w:r>
      <w:r>
        <w:rPr>
          <w:rFonts w:ascii="宋体" w:hAnsi="宋体" w:eastAsia="宋体" w:cs="宋体"/>
          <w:spacing w:val="-3"/>
          <w:sz w:val="24"/>
          <w:szCs w:val="24"/>
        </w:rPr>
        <w:t>500元）以内的，协议期为一年；</w:t>
      </w:r>
    </w:p>
    <w:p w14:paraId="121FDBAF">
      <w:pPr>
        <w:pageBreakBefore w:val="0"/>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费用总计1000-2000元（含1500元）以内的，协议期为两年；</w:t>
      </w:r>
    </w:p>
    <w:p w14:paraId="67FD128E">
      <w:pPr>
        <w:pageBreakBefore w:val="0"/>
        <w:numPr>
          <w:ilvl w:val="0"/>
          <w:numId w:val="14"/>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1"/>
          <w:sz w:val="24"/>
          <w:szCs w:val="24"/>
        </w:rPr>
        <w:t xml:space="preserve"> </w:t>
      </w:r>
      <w:r>
        <w:rPr>
          <w:rFonts w:ascii="宋体" w:hAnsi="宋体" w:eastAsia="宋体" w:cs="宋体"/>
          <w:spacing w:val="-2"/>
          <w:sz w:val="24"/>
          <w:szCs w:val="24"/>
        </w:rPr>
        <w:t>3000元以上的，协议期为三年。</w:t>
      </w:r>
    </w:p>
    <w:p w14:paraId="2746B478">
      <w:pPr>
        <w:pageBreakBefore w:val="0"/>
        <w:numPr>
          <w:ilvl w:val="0"/>
          <w:numId w:val="14"/>
        </w:numPr>
        <w:wordWrap/>
        <w:overflowPunct/>
        <w:topLinePunct/>
        <w:bidi w:val="0"/>
        <w:spacing w:before="155" w:line="279" w:lineRule="auto"/>
        <w:ind w:left="845" w:leftChars="0" w:right="111"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6"/>
          <w:sz w:val="24"/>
          <w:szCs w:val="24"/>
        </w:rPr>
        <w:t xml:space="preserve"> </w:t>
      </w:r>
      <w:r>
        <w:rPr>
          <w:rFonts w:ascii="宋体" w:hAnsi="宋体" w:eastAsia="宋体" w:cs="宋体"/>
          <w:spacing w:val="-2"/>
          <w:sz w:val="24"/>
          <w:szCs w:val="24"/>
        </w:rPr>
        <w:t>5000元-6000元的，协议期为4年，6000元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35C0A745">
      <w:pPr>
        <w:pageBreakBefore w:val="0"/>
        <w:numPr>
          <w:ilvl w:val="0"/>
          <w:numId w:val="12"/>
        </w:numPr>
        <w:wordWrap/>
        <w:overflowPunct/>
        <w:topLinePunct/>
        <w:bidi w:val="0"/>
        <w:spacing w:before="154" w:line="219"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违约赔偿：</w:t>
      </w:r>
    </w:p>
    <w:p w14:paraId="0D864D1C">
      <w:pPr>
        <w:pageBreakBefore w:val="0"/>
        <w:numPr>
          <w:ilvl w:val="0"/>
          <w:numId w:val="15"/>
        </w:numPr>
        <w:wordWrap/>
        <w:overflowPunct/>
        <w:topLinePunct/>
        <w:bidi w:val="0"/>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090D39D7">
      <w:pPr>
        <w:pageBreakBefore w:val="0"/>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6CA3AD52">
      <w:pPr>
        <w:pageBreakBefore w:val="0"/>
        <w:wordWrap/>
        <w:overflowPunct/>
        <w:topLinePunct/>
        <w:bidi w:val="0"/>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1C491D4B">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7C223F2">
      <w:pPr>
        <w:pStyle w:val="30"/>
        <w:pageBreakBefore w:val="0"/>
        <w:wordWrap/>
        <w:overflowPunct/>
        <w:topLinePunct/>
        <w:bidi w:val="0"/>
      </w:pPr>
      <w:bookmarkStart w:id="36" w:name="_Toc23803"/>
      <w:r>
        <w:t>外聘讲师培训</w:t>
      </w:r>
      <w:bookmarkEnd w:id="36"/>
    </w:p>
    <w:p w14:paraId="4B8726FD">
      <w:pPr>
        <w:pStyle w:val="31"/>
        <w:pageBreakBefore w:val="0"/>
        <w:wordWrap/>
        <w:overflowPunct/>
        <w:topLinePunct/>
        <w:bidi w:val="0"/>
        <w:rPr>
          <w:rFonts w:hint="eastAsia"/>
          <w:lang w:val="en-US" w:eastAsia="zh-CN"/>
        </w:rPr>
      </w:pPr>
      <w:bookmarkStart w:id="37" w:name="_Toc18527"/>
      <w:r>
        <w:rPr>
          <w:rFonts w:hint="eastAsia"/>
          <w:lang w:val="en-US" w:eastAsia="zh-CN"/>
        </w:rPr>
        <w:t>培训内容</w:t>
      </w:r>
      <w:bookmarkEnd w:id="37"/>
    </w:p>
    <w:p w14:paraId="631980E7">
      <w:pPr>
        <w:pStyle w:val="29"/>
        <w:pageBreakBefore w:val="0"/>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61B0CE6">
      <w:pPr>
        <w:pStyle w:val="31"/>
        <w:pageBreakBefore w:val="0"/>
        <w:wordWrap/>
        <w:overflowPunct/>
        <w:topLinePunct/>
        <w:bidi w:val="0"/>
        <w:rPr>
          <w:rFonts w:hint="eastAsia"/>
          <w:lang w:val="en-US" w:eastAsia="zh-CN"/>
        </w:rPr>
      </w:pPr>
      <w:bookmarkStart w:id="38" w:name="_Toc28551"/>
      <w:r>
        <w:rPr>
          <w:rFonts w:hint="eastAsia"/>
          <w:lang w:val="en-US" w:eastAsia="zh-CN"/>
        </w:rPr>
        <w:t>培训形式</w:t>
      </w:r>
      <w:bookmarkEnd w:id="38"/>
    </w:p>
    <w:p w14:paraId="3D2A2A3C">
      <w:pPr>
        <w:pStyle w:val="29"/>
        <w:pageBreakBefore w:val="0"/>
        <w:wordWrap/>
        <w:overflowPunct/>
        <w:topLinePunct/>
        <w:bidi w:val="0"/>
      </w:pPr>
      <w:r>
        <w:t>讲授法、讨论法、案例法、管理游戏法、外出观摩、外出培训学习、脱岗进修等</w:t>
      </w:r>
    </w:p>
    <w:p w14:paraId="09B6F23F">
      <w:pPr>
        <w:pStyle w:val="31"/>
        <w:pageBreakBefore w:val="0"/>
        <w:wordWrap/>
        <w:overflowPunct/>
        <w:topLinePunct/>
        <w:bidi w:val="0"/>
        <w:rPr>
          <w:rFonts w:hint="default"/>
          <w:lang w:val="en-US" w:eastAsia="zh-CN"/>
        </w:rPr>
      </w:pPr>
      <w:bookmarkStart w:id="39" w:name="_Toc18952"/>
      <w:r>
        <w:rPr>
          <w:rFonts w:hint="eastAsia"/>
          <w:lang w:val="en-US" w:eastAsia="zh-CN"/>
        </w:rPr>
        <w:t>培训实施</w:t>
      </w:r>
      <w:bookmarkEnd w:id="39"/>
    </w:p>
    <w:p w14:paraId="6E40A5B4">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4E2B974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7C92AF6D">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5B2DF758">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00F6D84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5F341D59">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308D76FF">
      <w:pPr>
        <w:keepNext w:val="0"/>
        <w:keepLines w:val="0"/>
        <w:pageBreakBefore w:val="0"/>
        <w:widowControl/>
        <w:numPr>
          <w:ilvl w:val="0"/>
          <w:numId w:val="16"/>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0304FFC4">
      <w:pPr>
        <w:pStyle w:val="30"/>
        <w:bidi w:val="0"/>
      </w:pPr>
      <w:bookmarkStart w:id="40" w:name="bookmark5"/>
      <w:bookmarkEnd w:id="40"/>
      <w:bookmarkStart w:id="41" w:name="_Toc26314"/>
      <w:r>
        <w:t>培训的考核</w:t>
      </w:r>
      <w:bookmarkEnd w:id="41"/>
    </w:p>
    <w:p w14:paraId="0FA9003D">
      <w:pPr>
        <w:pStyle w:val="29"/>
        <w:pageBreakBefore w:val="0"/>
        <w:wordWrap/>
        <w:overflowPunct/>
        <w:topLinePunct/>
        <w:bidi w:val="0"/>
      </w:pPr>
      <w:r>
        <w:t>公司员工有参加培训的权利，同时参加培训也是每个员工的义务。员工对于参加的每项培训，都需要认真对待，按时参加，公司也会进行严格考核。</w:t>
      </w:r>
    </w:p>
    <w:p w14:paraId="6A3C1375">
      <w:pPr>
        <w:pStyle w:val="31"/>
        <w:bidi w:val="0"/>
      </w:pPr>
      <w:bookmarkStart w:id="42" w:name="_Toc30503"/>
      <w:r>
        <w:t>考勤要求</w:t>
      </w:r>
      <w:bookmarkEnd w:id="42"/>
    </w:p>
    <w:p w14:paraId="56D71F34">
      <w:pPr>
        <w:pageBreakBefore w:val="0"/>
        <w:numPr>
          <w:ilvl w:val="0"/>
          <w:numId w:val="17"/>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425B6B3B">
      <w:pPr>
        <w:pageBreakBefore w:val="0"/>
        <w:numPr>
          <w:ilvl w:val="0"/>
          <w:numId w:val="17"/>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2709E1AC">
      <w:pPr>
        <w:pageBreakBefore w:val="0"/>
        <w:numPr>
          <w:ilvl w:val="0"/>
          <w:numId w:val="17"/>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6E68F3CE">
      <w:pPr>
        <w:pStyle w:val="31"/>
        <w:bidi w:val="0"/>
      </w:pPr>
      <w:bookmarkStart w:id="43" w:name="_Toc4052"/>
      <w:r>
        <w:t>考核要求</w:t>
      </w:r>
      <w:bookmarkEnd w:id="43"/>
    </w:p>
    <w:p w14:paraId="68ABF947">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285DCF36">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4931A3DC">
      <w:pPr>
        <w:keepNext w:val="0"/>
        <w:keepLines w:val="0"/>
        <w:pageBreakBefore w:val="0"/>
        <w:widowControl/>
        <w:numPr>
          <w:ilvl w:val="0"/>
          <w:numId w:val="18"/>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2C4D5677">
      <w:pPr>
        <w:pStyle w:val="28"/>
        <w:pageBreakBefore w:val="0"/>
        <w:wordWrap/>
        <w:overflowPunct/>
        <w:topLinePunct/>
        <w:bidi w:val="0"/>
      </w:pPr>
      <w:bookmarkStart w:id="44" w:name="bookmark6"/>
      <w:bookmarkEnd w:id="44"/>
      <w:bookmarkStart w:id="45" w:name="_Toc12142"/>
      <w:r>
        <w:t>附则</w:t>
      </w:r>
      <w:bookmarkEnd w:id="45"/>
    </w:p>
    <w:p w14:paraId="02F24E8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28FFE5E5">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本制度自颁布之日起施行。</w:t>
      </w:r>
    </w:p>
    <w:p w14:paraId="0C2549BF">
      <w:pPr>
        <w:pStyle w:val="28"/>
        <w:pageBreakBefore w:val="0"/>
        <w:wordWrap/>
        <w:overflowPunct/>
        <w:topLinePunct/>
        <w:bidi w:val="0"/>
        <w:rPr>
          <w:rFonts w:hint="eastAsia"/>
          <w:lang w:val="en-US" w:eastAsia="zh-CN"/>
        </w:rPr>
      </w:pPr>
      <w:bookmarkStart w:id="46" w:name="_Toc32493"/>
      <w:r>
        <w:rPr>
          <w:rFonts w:hint="eastAsia"/>
          <w:lang w:val="en-US" w:eastAsia="zh-CN"/>
        </w:rPr>
        <w:t>附件</w:t>
      </w:r>
      <w:bookmarkEnd w:id="46"/>
    </w:p>
    <w:p w14:paraId="0B3EB7FF">
      <w:pPr>
        <w:pStyle w:val="29"/>
        <w:pageBreakBefore w:val="0"/>
        <w:wordWrap/>
        <w:overflowPunct/>
        <w:topLinePunct/>
        <w:bidi w:val="0"/>
        <w:rPr>
          <w:rFonts w:hint="default"/>
          <w:lang w:val="en-US" w:eastAsia="zh-CN"/>
        </w:rPr>
      </w:pPr>
      <w:r>
        <w:rPr>
          <w:rFonts w:hint="eastAsia"/>
          <w:lang w:val="en-US" w:eastAsia="zh-CN"/>
        </w:rPr>
        <w:t>无</w:t>
      </w:r>
    </w:p>
    <w:p w14:paraId="0B408585">
      <w:pPr>
        <w:pStyle w:val="28"/>
        <w:pageBreakBefore w:val="0"/>
        <w:wordWrap/>
        <w:overflowPunct/>
        <w:topLinePunct/>
        <w:bidi w:val="0"/>
      </w:pPr>
      <w:bookmarkStart w:id="47" w:name="_Toc1018"/>
      <w:r>
        <w:t>记录</w:t>
      </w:r>
      <w:bookmarkEnd w:id="47"/>
    </w:p>
    <w:tbl>
      <w:tblPr>
        <w:tblStyle w:val="26"/>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518517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vAlign w:val="top"/>
          </w:tcPr>
          <w:p w14:paraId="29D92619">
            <w:pPr>
              <w:pageBreakBefore w:val="0"/>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vAlign w:val="top"/>
          </w:tcPr>
          <w:p w14:paraId="02DF80D4">
            <w:pPr>
              <w:pageBreakBefore w:val="0"/>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vAlign w:val="top"/>
          </w:tcPr>
          <w:p w14:paraId="63F4C3F5">
            <w:pPr>
              <w:pageBreakBefore w:val="0"/>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vAlign w:val="top"/>
          </w:tcPr>
          <w:p w14:paraId="1C483DD5">
            <w:pPr>
              <w:pageBreakBefore w:val="0"/>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vAlign w:val="top"/>
          </w:tcPr>
          <w:p w14:paraId="76B990F1">
            <w:pPr>
              <w:pageBreakBefore w:val="0"/>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vAlign w:val="top"/>
          </w:tcPr>
          <w:p w14:paraId="739222CC">
            <w:pPr>
              <w:pageBreakBefore w:val="0"/>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CDCE37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vAlign w:val="top"/>
          </w:tcPr>
          <w:p w14:paraId="422A90E8">
            <w:pPr>
              <w:pageBreakBefore w:val="0"/>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vAlign w:val="top"/>
          </w:tcPr>
          <w:p w14:paraId="6595AD7B">
            <w:pPr>
              <w:pageBreakBefore w:val="0"/>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ITSS-09-03-01</w:t>
            </w:r>
          </w:p>
        </w:tc>
        <w:tc>
          <w:tcPr>
            <w:tcW w:w="2292" w:type="dxa"/>
            <w:vAlign w:val="top"/>
          </w:tcPr>
          <w:p w14:paraId="4530305B">
            <w:pPr>
              <w:pageBreakBefore w:val="0"/>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vAlign w:val="top"/>
          </w:tcPr>
          <w:p w14:paraId="7650ACAD">
            <w:pPr>
              <w:pageBreakBefore w:val="0"/>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538E42C3">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5FD4E824">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58FDDA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vAlign w:val="top"/>
          </w:tcPr>
          <w:p w14:paraId="25218246">
            <w:pPr>
              <w:pageBreakBefore w:val="0"/>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vAlign w:val="top"/>
          </w:tcPr>
          <w:p w14:paraId="21E94D86">
            <w:pPr>
              <w:pageBreakBefore w:val="0"/>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ITSS-09-03-02</w:t>
            </w:r>
          </w:p>
        </w:tc>
        <w:tc>
          <w:tcPr>
            <w:tcW w:w="2292" w:type="dxa"/>
            <w:vAlign w:val="top"/>
          </w:tcPr>
          <w:p w14:paraId="317C4BA8">
            <w:pPr>
              <w:pageBreakBefore w:val="0"/>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vAlign w:val="top"/>
          </w:tcPr>
          <w:p w14:paraId="650BF38F">
            <w:pPr>
              <w:pageBreakBefore w:val="0"/>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289D3D63">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7577CA8C">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DAAEB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vAlign w:val="top"/>
          </w:tcPr>
          <w:p w14:paraId="7291F678">
            <w:pPr>
              <w:pageBreakBefore w:val="0"/>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vAlign w:val="top"/>
          </w:tcPr>
          <w:p w14:paraId="5A387192">
            <w:pPr>
              <w:pageBreakBefore w:val="0"/>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ITSS-09-03-03</w:t>
            </w:r>
          </w:p>
        </w:tc>
        <w:tc>
          <w:tcPr>
            <w:tcW w:w="2292" w:type="dxa"/>
            <w:vAlign w:val="top"/>
          </w:tcPr>
          <w:p w14:paraId="783DBA9D">
            <w:pPr>
              <w:pageBreakBefore w:val="0"/>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vAlign w:val="top"/>
          </w:tcPr>
          <w:p w14:paraId="2A43B544">
            <w:pPr>
              <w:pageBreakBefore w:val="0"/>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1B0BA5DD">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C5C8556">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384343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vAlign w:val="top"/>
          </w:tcPr>
          <w:p w14:paraId="3ABD338B">
            <w:pPr>
              <w:pageBreakBefore w:val="0"/>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vAlign w:val="top"/>
          </w:tcPr>
          <w:p w14:paraId="37588D2D">
            <w:pPr>
              <w:pageBreakBefore w:val="0"/>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ITSS-09-03-04</w:t>
            </w:r>
          </w:p>
        </w:tc>
        <w:tc>
          <w:tcPr>
            <w:tcW w:w="2292" w:type="dxa"/>
            <w:vAlign w:val="top"/>
          </w:tcPr>
          <w:p w14:paraId="6D786865">
            <w:pPr>
              <w:pageBreakBefore w:val="0"/>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vAlign w:val="top"/>
          </w:tcPr>
          <w:p w14:paraId="47AEF148">
            <w:pPr>
              <w:pageBreakBefore w:val="0"/>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vAlign w:val="top"/>
          </w:tcPr>
          <w:p w14:paraId="44F79F94">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vAlign w:val="top"/>
          </w:tcPr>
          <w:p w14:paraId="25548A76">
            <w:pPr>
              <w:pageBreakBefore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 年</w:t>
            </w:r>
          </w:p>
        </w:tc>
      </w:tr>
    </w:tbl>
    <w:p w14:paraId="6A4BA033">
      <w:pPr>
        <w:pStyle w:val="13"/>
        <w:pageBreakBefore w:val="0"/>
        <w:wordWrap/>
        <w:overflowPunct/>
        <w:topLinePunct/>
        <w:bidi w:val="0"/>
      </w:pPr>
    </w:p>
    <w:sectPr>
      <w:headerReference r:id="rId7" w:type="default"/>
      <w:pgSz w:w="11906" w:h="16838"/>
      <w:pgMar w:top="1417" w:right="1800" w:bottom="1440" w:left="1800" w:header="1140"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郝宇" w:date="2025-09-05T00:56:19Z" w:initials="">
    <w:p w14:paraId="0D547EC8">
      <w:pPr>
        <w:pStyle w:val="12"/>
        <w:rPr>
          <w:rFonts w:hint="default" w:eastAsia="宋体"/>
          <w:lang w:val="en-US" w:eastAsia="zh-CN"/>
        </w:rPr>
      </w:pPr>
      <w:r>
        <w:rPr>
          <w:rFonts w:hint="eastAsia" w:eastAsia="宋体"/>
          <w:lang w:val="en-US" w:eastAsia="zh-CN"/>
        </w:rPr>
        <w:t>这个看后面有用到不，没有就去掉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547E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B58B1E06"/>
    <w:multiLevelType w:val="singleLevel"/>
    <w:tmpl w:val="B58B1E06"/>
    <w:lvl w:ilvl="0" w:tentative="0">
      <w:start w:val="1"/>
      <w:numFmt w:val="decimal"/>
      <w:lvlText w:val="%1."/>
      <w:lvlJc w:val="left"/>
      <w:pPr>
        <w:ind w:left="425" w:hanging="425"/>
      </w:pPr>
      <w:rPr>
        <w:rFonts w:hint="default"/>
      </w:rPr>
    </w:lvl>
  </w:abstractNum>
  <w:abstractNum w:abstractNumId="4">
    <w:nsid w:val="D10CC76E"/>
    <w:multiLevelType w:val="singleLevel"/>
    <w:tmpl w:val="D10CC76E"/>
    <w:lvl w:ilvl="0" w:tentative="0">
      <w:start w:val="1"/>
      <w:numFmt w:val="decimal"/>
      <w:lvlText w:val="(%1)"/>
      <w:lvlJc w:val="left"/>
      <w:pPr>
        <w:tabs>
          <w:tab w:val="left" w:pos="420"/>
        </w:tabs>
        <w:ind w:left="845" w:hanging="425"/>
      </w:pPr>
      <w:rPr>
        <w:rFonts w:hint="default"/>
      </w:rPr>
    </w:lvl>
  </w:abstractNum>
  <w:abstractNum w:abstractNumId="5">
    <w:nsid w:val="DF824C0B"/>
    <w:multiLevelType w:val="singleLevel"/>
    <w:tmpl w:val="DF824C0B"/>
    <w:lvl w:ilvl="0" w:tentative="0">
      <w:start w:val="1"/>
      <w:numFmt w:val="decimal"/>
      <w:pStyle w:val="11"/>
      <w:lvlText w:val="%1."/>
      <w:lvlJc w:val="left"/>
      <w:pPr>
        <w:tabs>
          <w:tab w:val="left" w:pos="360"/>
        </w:tabs>
        <w:ind w:left="360" w:hanging="360"/>
      </w:pPr>
    </w:lvl>
  </w:abstractNum>
  <w:abstractNum w:abstractNumId="6">
    <w:nsid w:val="E1DFE2B7"/>
    <w:multiLevelType w:val="singleLevel"/>
    <w:tmpl w:val="E1DFE2B7"/>
    <w:lvl w:ilvl="0" w:tentative="0">
      <w:start w:val="1"/>
      <w:numFmt w:val="decimal"/>
      <w:lvlText w:val="%1."/>
      <w:lvlJc w:val="left"/>
      <w:pPr>
        <w:ind w:left="425" w:hanging="425"/>
      </w:pPr>
      <w:rPr>
        <w:rFonts w:hint="default"/>
        <w:b w:val="0"/>
        <w:bCs w:val="0"/>
      </w:rPr>
    </w:lvl>
  </w:abstractNum>
  <w:abstractNum w:abstractNumId="7">
    <w:nsid w:val="E6359437"/>
    <w:multiLevelType w:val="singleLevel"/>
    <w:tmpl w:val="E6359437"/>
    <w:lvl w:ilvl="0" w:tentative="0">
      <w:start w:val="1"/>
      <w:numFmt w:val="decimal"/>
      <w:lvlText w:val="%1."/>
      <w:lvlJc w:val="left"/>
      <w:pPr>
        <w:ind w:left="425" w:hanging="425"/>
      </w:pPr>
      <w:rPr>
        <w:rFonts w:hint="default"/>
      </w:rPr>
    </w:lvl>
  </w:abstractNum>
  <w:abstractNum w:abstractNumId="8">
    <w:nsid w:val="F1FD33D1"/>
    <w:multiLevelType w:val="singleLevel"/>
    <w:tmpl w:val="F1FD33D1"/>
    <w:lvl w:ilvl="0" w:tentative="0">
      <w:start w:val="1"/>
      <w:numFmt w:val="decimal"/>
      <w:lvlText w:val="%1."/>
      <w:lvlJc w:val="left"/>
      <w:pPr>
        <w:ind w:left="425" w:hanging="425"/>
      </w:pPr>
      <w:rPr>
        <w:rFonts w:hint="default"/>
      </w:rPr>
    </w:lvl>
  </w:abstractNum>
  <w:abstractNum w:abstractNumId="9">
    <w:nsid w:val="F9539CF3"/>
    <w:multiLevelType w:val="singleLevel"/>
    <w:tmpl w:val="F9539CF3"/>
    <w:lvl w:ilvl="0" w:tentative="0">
      <w:start w:val="1"/>
      <w:numFmt w:val="decimal"/>
      <w:lvlText w:val="%1."/>
      <w:lvlJc w:val="left"/>
      <w:pPr>
        <w:ind w:left="425" w:hanging="425"/>
      </w:pPr>
      <w:rPr>
        <w:rFonts w:hint="default"/>
      </w:rPr>
    </w:lvl>
  </w:abstractNum>
  <w:abstractNum w:abstractNumId="10">
    <w:nsid w:val="09AB7FD2"/>
    <w:multiLevelType w:val="singleLevel"/>
    <w:tmpl w:val="09AB7FD2"/>
    <w:lvl w:ilvl="0" w:tentative="0">
      <w:start w:val="1"/>
      <w:numFmt w:val="decimal"/>
      <w:lvlText w:val="%1."/>
      <w:lvlJc w:val="left"/>
      <w:pPr>
        <w:ind w:left="425" w:hanging="425"/>
      </w:pPr>
      <w:rPr>
        <w:rFonts w:hint="default"/>
      </w:rPr>
    </w:lvl>
  </w:abstractNum>
  <w:abstractNum w:abstractNumId="11">
    <w:nsid w:val="2AD25C73"/>
    <w:multiLevelType w:val="singleLevel"/>
    <w:tmpl w:val="2AD25C73"/>
    <w:lvl w:ilvl="0" w:tentative="0">
      <w:start w:val="1"/>
      <w:numFmt w:val="decimal"/>
      <w:suff w:val="nothing"/>
      <w:lvlText w:val="（%1）"/>
      <w:lvlJc w:val="left"/>
    </w:lvl>
  </w:abstractNum>
  <w:abstractNum w:abstractNumId="12">
    <w:nsid w:val="39CEFF65"/>
    <w:multiLevelType w:val="singleLevel"/>
    <w:tmpl w:val="39CEFF65"/>
    <w:lvl w:ilvl="0" w:tentative="0">
      <w:start w:val="1"/>
      <w:numFmt w:val="decimal"/>
      <w:lvlText w:val="%1."/>
      <w:lvlJc w:val="left"/>
      <w:pPr>
        <w:ind w:left="425" w:hanging="425"/>
      </w:pPr>
      <w:rPr>
        <w:rFonts w:hint="default"/>
      </w:rPr>
    </w:lvl>
  </w:abstractNum>
  <w:abstractNum w:abstractNumId="13">
    <w:nsid w:val="476E8910"/>
    <w:multiLevelType w:val="singleLevel"/>
    <w:tmpl w:val="476E8910"/>
    <w:lvl w:ilvl="0" w:tentative="0">
      <w:start w:val="1"/>
      <w:numFmt w:val="decimal"/>
      <w:lvlText w:val="%1."/>
      <w:lvlJc w:val="left"/>
      <w:pPr>
        <w:ind w:left="425" w:hanging="425"/>
      </w:pPr>
      <w:rPr>
        <w:rFonts w:hint="default"/>
      </w:rPr>
    </w:lvl>
  </w:abstractNum>
  <w:abstractNum w:abstractNumId="14">
    <w:nsid w:val="4FAD6B1F"/>
    <w:multiLevelType w:val="singleLevel"/>
    <w:tmpl w:val="4FAD6B1F"/>
    <w:lvl w:ilvl="0" w:tentative="0">
      <w:start w:val="1"/>
      <w:numFmt w:val="decimal"/>
      <w:lvlText w:val="%1."/>
      <w:lvlJc w:val="left"/>
      <w:pPr>
        <w:ind w:left="425" w:hanging="425"/>
      </w:pPr>
      <w:rPr>
        <w:rFonts w:hint="default"/>
      </w:rPr>
    </w:lvl>
  </w:abstractNum>
  <w:abstractNum w:abstractNumId="15">
    <w:nsid w:val="56905F5E"/>
    <w:multiLevelType w:val="singleLevel"/>
    <w:tmpl w:val="56905F5E"/>
    <w:lvl w:ilvl="0" w:tentative="0">
      <w:start w:val="1"/>
      <w:numFmt w:val="decimal"/>
      <w:lvlText w:val="%1."/>
      <w:lvlJc w:val="left"/>
      <w:pPr>
        <w:ind w:left="425" w:hanging="425"/>
      </w:pPr>
      <w:rPr>
        <w:rFonts w:hint="default"/>
      </w:rPr>
    </w:lvl>
  </w:abstractNum>
  <w:abstractNum w:abstractNumId="16">
    <w:nsid w:val="6375B2CA"/>
    <w:multiLevelType w:val="singleLevel"/>
    <w:tmpl w:val="6375B2CA"/>
    <w:lvl w:ilvl="0" w:tentative="0">
      <w:start w:val="1"/>
      <w:numFmt w:val="decimal"/>
      <w:lvlText w:val="%1."/>
      <w:lvlJc w:val="left"/>
      <w:pPr>
        <w:ind w:left="425" w:hanging="425"/>
      </w:pPr>
      <w:rPr>
        <w:rFonts w:hint="default"/>
      </w:rPr>
    </w:lvl>
  </w:abstractNum>
  <w:abstractNum w:abstractNumId="17">
    <w:nsid w:val="6A14A1DE"/>
    <w:multiLevelType w:val="singleLevel"/>
    <w:tmpl w:val="6A14A1DE"/>
    <w:lvl w:ilvl="0" w:tentative="0">
      <w:start w:val="1"/>
      <w:numFmt w:val="decimal"/>
      <w:lvlText w:val="%1."/>
      <w:lvlJc w:val="left"/>
      <w:pPr>
        <w:ind w:left="425" w:hanging="425"/>
      </w:pPr>
      <w:rPr>
        <w:rFonts w:hint="default"/>
      </w:rPr>
    </w:lvl>
  </w:abstractNum>
  <w:abstractNum w:abstractNumId="18">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12"/>
  </w:num>
  <w:num w:numId="4">
    <w:abstractNumId w:val="2"/>
  </w:num>
  <w:num w:numId="5">
    <w:abstractNumId w:val="18"/>
  </w:num>
  <w:num w:numId="6">
    <w:abstractNumId w:val="17"/>
  </w:num>
  <w:num w:numId="7">
    <w:abstractNumId w:val="7"/>
  </w:num>
  <w:num w:numId="8">
    <w:abstractNumId w:val="16"/>
  </w:num>
  <w:num w:numId="9">
    <w:abstractNumId w:val="10"/>
  </w:num>
  <w:num w:numId="10">
    <w:abstractNumId w:val="14"/>
  </w:num>
  <w:num w:numId="11">
    <w:abstractNumId w:val="13"/>
  </w:num>
  <w:num w:numId="12">
    <w:abstractNumId w:val="6"/>
  </w:num>
  <w:num w:numId="13">
    <w:abstractNumId w:val="1"/>
  </w:num>
  <w:num w:numId="14">
    <w:abstractNumId w:val="4"/>
  </w:num>
  <w:num w:numId="15">
    <w:abstractNumId w:val="11"/>
  </w:num>
  <w:num w:numId="16">
    <w:abstractNumId w:val="3"/>
  </w:num>
  <w:num w:numId="17">
    <w:abstractNumId w:val="15"/>
  </w:num>
  <w:num w:numId="18">
    <w:abstractNumId w:val="8"/>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郝宇">
    <w15:presenceInfo w15:providerId="WPS Office" w15:userId="396087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0C024B"/>
    <w:rsid w:val="00537FBE"/>
    <w:rsid w:val="02E77997"/>
    <w:rsid w:val="03220F85"/>
    <w:rsid w:val="032D07A7"/>
    <w:rsid w:val="05C8669A"/>
    <w:rsid w:val="062C184B"/>
    <w:rsid w:val="07827F96"/>
    <w:rsid w:val="086D4054"/>
    <w:rsid w:val="08AE286A"/>
    <w:rsid w:val="093255BB"/>
    <w:rsid w:val="09A241D6"/>
    <w:rsid w:val="09BB7D1A"/>
    <w:rsid w:val="0B02417D"/>
    <w:rsid w:val="0B07202C"/>
    <w:rsid w:val="0B13248D"/>
    <w:rsid w:val="0B930577"/>
    <w:rsid w:val="0BD14243"/>
    <w:rsid w:val="0BE9283B"/>
    <w:rsid w:val="0D420C4A"/>
    <w:rsid w:val="0EFE3455"/>
    <w:rsid w:val="0F973FB7"/>
    <w:rsid w:val="10685029"/>
    <w:rsid w:val="10BD35C7"/>
    <w:rsid w:val="119775A7"/>
    <w:rsid w:val="120B0362"/>
    <w:rsid w:val="12D22891"/>
    <w:rsid w:val="12F50CAB"/>
    <w:rsid w:val="148368D6"/>
    <w:rsid w:val="161617D1"/>
    <w:rsid w:val="16841220"/>
    <w:rsid w:val="16AB5C70"/>
    <w:rsid w:val="16C265E3"/>
    <w:rsid w:val="184B0D70"/>
    <w:rsid w:val="197B4B4A"/>
    <w:rsid w:val="1A000989"/>
    <w:rsid w:val="1A1E49AB"/>
    <w:rsid w:val="1AA84B0D"/>
    <w:rsid w:val="1AC27A2C"/>
    <w:rsid w:val="1B8D153C"/>
    <w:rsid w:val="1C217D49"/>
    <w:rsid w:val="1C4701E9"/>
    <w:rsid w:val="1C707260"/>
    <w:rsid w:val="1CAA63DB"/>
    <w:rsid w:val="1CD525C6"/>
    <w:rsid w:val="1CFF0AC4"/>
    <w:rsid w:val="1D452102"/>
    <w:rsid w:val="1E360515"/>
    <w:rsid w:val="1EE6018D"/>
    <w:rsid w:val="20EB4CCD"/>
    <w:rsid w:val="21617F9F"/>
    <w:rsid w:val="22BD1205"/>
    <w:rsid w:val="23411E36"/>
    <w:rsid w:val="245E07C6"/>
    <w:rsid w:val="250A26FB"/>
    <w:rsid w:val="27363334"/>
    <w:rsid w:val="278B7B24"/>
    <w:rsid w:val="28862099"/>
    <w:rsid w:val="295E3D05"/>
    <w:rsid w:val="296511D8"/>
    <w:rsid w:val="2A021BF3"/>
    <w:rsid w:val="2B966A97"/>
    <w:rsid w:val="2BC0763F"/>
    <w:rsid w:val="2D381E44"/>
    <w:rsid w:val="2D60110A"/>
    <w:rsid w:val="2DB144DC"/>
    <w:rsid w:val="2DD13DB6"/>
    <w:rsid w:val="2DFE521A"/>
    <w:rsid w:val="2F135073"/>
    <w:rsid w:val="3026116C"/>
    <w:rsid w:val="313B4368"/>
    <w:rsid w:val="34034EE6"/>
    <w:rsid w:val="341101CB"/>
    <w:rsid w:val="352E5F92"/>
    <w:rsid w:val="36E264CD"/>
    <w:rsid w:val="37BF1626"/>
    <w:rsid w:val="389F176C"/>
    <w:rsid w:val="38B33C0C"/>
    <w:rsid w:val="3A056ACA"/>
    <w:rsid w:val="3A2430CF"/>
    <w:rsid w:val="3A3D6832"/>
    <w:rsid w:val="3A936FCA"/>
    <w:rsid w:val="3B6E533A"/>
    <w:rsid w:val="3D156FFD"/>
    <w:rsid w:val="3E7C0C45"/>
    <w:rsid w:val="3F5A203E"/>
    <w:rsid w:val="3F8F762D"/>
    <w:rsid w:val="3FE03B95"/>
    <w:rsid w:val="410A1661"/>
    <w:rsid w:val="41474664"/>
    <w:rsid w:val="416D6F45"/>
    <w:rsid w:val="426B25D4"/>
    <w:rsid w:val="4416031D"/>
    <w:rsid w:val="448E4109"/>
    <w:rsid w:val="45D7178A"/>
    <w:rsid w:val="45ED50AE"/>
    <w:rsid w:val="4642189D"/>
    <w:rsid w:val="471A69C9"/>
    <w:rsid w:val="47453FF4"/>
    <w:rsid w:val="47E81FD1"/>
    <w:rsid w:val="482714C6"/>
    <w:rsid w:val="4893018E"/>
    <w:rsid w:val="4AA3483E"/>
    <w:rsid w:val="4B302CD5"/>
    <w:rsid w:val="4B747A79"/>
    <w:rsid w:val="4D026565"/>
    <w:rsid w:val="4E0336C0"/>
    <w:rsid w:val="4E0F5DAB"/>
    <w:rsid w:val="4E8D742E"/>
    <w:rsid w:val="4EB726FD"/>
    <w:rsid w:val="4ECA2430"/>
    <w:rsid w:val="50CB623F"/>
    <w:rsid w:val="50CE7C1E"/>
    <w:rsid w:val="516B2BDD"/>
    <w:rsid w:val="524E3378"/>
    <w:rsid w:val="542C1497"/>
    <w:rsid w:val="544C2923"/>
    <w:rsid w:val="546B0211"/>
    <w:rsid w:val="549B5AB8"/>
    <w:rsid w:val="54CD67D6"/>
    <w:rsid w:val="554418B3"/>
    <w:rsid w:val="55FB7373"/>
    <w:rsid w:val="56951575"/>
    <w:rsid w:val="5721105B"/>
    <w:rsid w:val="5859544B"/>
    <w:rsid w:val="59A73A9A"/>
    <w:rsid w:val="5A3F1F24"/>
    <w:rsid w:val="5A74775D"/>
    <w:rsid w:val="5A981634"/>
    <w:rsid w:val="5ADC59C5"/>
    <w:rsid w:val="5BC619FD"/>
    <w:rsid w:val="5BE81608"/>
    <w:rsid w:val="5C717B35"/>
    <w:rsid w:val="5D867E6A"/>
    <w:rsid w:val="5DE8337C"/>
    <w:rsid w:val="5E133B7E"/>
    <w:rsid w:val="5E4C4C10"/>
    <w:rsid w:val="5E8425FB"/>
    <w:rsid w:val="5F28567D"/>
    <w:rsid w:val="5F3631AD"/>
    <w:rsid w:val="60705FA0"/>
    <w:rsid w:val="60716BAF"/>
    <w:rsid w:val="60A03F98"/>
    <w:rsid w:val="60FF797D"/>
    <w:rsid w:val="62364D94"/>
    <w:rsid w:val="62853344"/>
    <w:rsid w:val="62992D43"/>
    <w:rsid w:val="63A64DC2"/>
    <w:rsid w:val="64EF699B"/>
    <w:rsid w:val="65D81262"/>
    <w:rsid w:val="66195D1F"/>
    <w:rsid w:val="665E1984"/>
    <w:rsid w:val="676E3E49"/>
    <w:rsid w:val="67931B01"/>
    <w:rsid w:val="67F51E74"/>
    <w:rsid w:val="689A2A1B"/>
    <w:rsid w:val="68D221B5"/>
    <w:rsid w:val="69A77179"/>
    <w:rsid w:val="6B380F8F"/>
    <w:rsid w:val="6BCE135A"/>
    <w:rsid w:val="6C636971"/>
    <w:rsid w:val="6CAE5601"/>
    <w:rsid w:val="6E453429"/>
    <w:rsid w:val="70180DF5"/>
    <w:rsid w:val="72895FDA"/>
    <w:rsid w:val="72DC0914"/>
    <w:rsid w:val="73F13E37"/>
    <w:rsid w:val="766952AA"/>
    <w:rsid w:val="77020109"/>
    <w:rsid w:val="772F1887"/>
    <w:rsid w:val="77831895"/>
    <w:rsid w:val="779F004E"/>
    <w:rsid w:val="77D5273D"/>
    <w:rsid w:val="78CC6D3B"/>
    <w:rsid w:val="7A787E1D"/>
    <w:rsid w:val="7A7A73F9"/>
    <w:rsid w:val="7A910122"/>
    <w:rsid w:val="7AF366E7"/>
    <w:rsid w:val="7B4A4D1D"/>
    <w:rsid w:val="7BA774D1"/>
    <w:rsid w:val="7BBF12B8"/>
    <w:rsid w:val="7D1868D9"/>
    <w:rsid w:val="7D1E37CD"/>
    <w:rsid w:val="7D845D1C"/>
    <w:rsid w:val="7DD86C30"/>
    <w:rsid w:val="7E993157"/>
    <w:rsid w:val="7EC14D4E"/>
    <w:rsid w:val="7EF50554"/>
    <w:rsid w:val="7FE0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01-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qFormat/>
    <w:uiPriority w:val="0"/>
    <w:pPr>
      <w:spacing w:before="100" w:after="90" w:line="360" w:lineRule="auto"/>
    </w:pPr>
    <w:rPr>
      <w:rFonts w:ascii="Arial" w:hAnsi="Arial" w:eastAsia="宋体"/>
      <w:sz w:val="32"/>
    </w:rPr>
  </w:style>
  <w:style w:type="paragraph" w:customStyle="1" w:styleId="29">
    <w:name w:val="柴_正文"/>
    <w:basedOn w:val="13"/>
    <w:link w:val="33"/>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1"/>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3">
    <w:name w:val="柴_正文 Char"/>
    <w:link w:val="29"/>
    <w:qFormat/>
    <w:uiPriority w:val="0"/>
    <w:rPr>
      <w:rFonts w:ascii="Arial" w:hAnsi="Arial" w:eastAsia="宋体"/>
      <w:sz w:val="24"/>
      <w:lang w:eastAsia="zh-CN"/>
    </w:rPr>
  </w:style>
  <w:style w:type="paragraph" w:customStyle="1" w:styleId="34">
    <w:name w:val="柴_列表1"/>
    <w:basedOn w:val="11"/>
    <w:link w:val="35"/>
    <w:qFormat/>
    <w:uiPriority w:val="0"/>
    <w:pPr>
      <w:numPr>
        <w:ilvl w:val="0"/>
        <w:numId w:val="0"/>
      </w:numPr>
      <w:spacing w:line="360" w:lineRule="auto"/>
      <w:ind w:left="425" w:hanging="425"/>
    </w:pPr>
    <w:rPr>
      <w:rFonts w:ascii="Arial" w:hAnsi="Arial" w:eastAsia="宋体"/>
      <w:sz w:val="24"/>
      <w:lang w:eastAsia="zh-CN"/>
    </w:rPr>
  </w:style>
  <w:style w:type="character" w:customStyle="1" w:styleId="35">
    <w:name w:val="柴_列表1 Char"/>
    <w:link w:val="34"/>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4770</Words>
  <Characters>5060</Characters>
  <Lines>0</Lines>
  <Paragraphs>0</Paragraphs>
  <TotalTime>0</TotalTime>
  <ScaleCrop>false</ScaleCrop>
  <LinksUpToDate>false</LinksUpToDate>
  <CharactersWithSpaces>5154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2025-09-05T10:22:39Z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5907E7FAB05F4C5D98AD5B6FF89DAF02_13</vt:lpwstr>
  </property>
  <property fmtid="{D5CDD505-2E9C-101B-9397-08002B2CF9AE}" pid="4" name="KSOTemplateDocerSaveRecord">
    <vt:lpwstr>eyJoZGlkIjoiMDY5NmFjMmM4ZTljMGJiZDAxN2JmYTc0NGI0NmFiNDgiLCJ1c2VySWQiOiIxMDc1MzgyOSJ9</vt:lpwstr>
  </property>
</Properties>
</file>