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keepLines w:val="0"/>
        <w:pageBreakBefore w:val="0"/>
        <w:widowControl/>
        <w:wordWrap/>
        <w:overflowPunct/>
        <w:bidi w:val="0"/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5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-05</w:t>
      </w:r>
    </w:p>
    <w:p w14:paraId="20516D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5"/>
        <w:keepLines w:val="0"/>
        <w:pageBreakBefore w:val="0"/>
        <w:widowControl/>
        <w:wordWrap/>
        <w:overflowPunct/>
        <w:bidi w:val="0"/>
      </w:pPr>
      <w:bookmarkStart w:id="0" w:name="_Toc8561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D74D20A">
      <w:pPr>
        <w:pStyle w:val="26"/>
        <w:keepLines w:val="0"/>
        <w:pageBreakBefore w:val="0"/>
        <w:widowControl/>
        <w:wordWrap/>
        <w:overflowPunct/>
        <w:bidi w:val="0"/>
        <w:rPr>
          <w:rFonts w:hint="default"/>
          <w:lang w:val="en-US"/>
        </w:rPr>
      </w:pPr>
      <w:bookmarkStart w:id="1" w:name="_Toc14057"/>
      <w:r>
        <w:rPr>
          <w:rFonts w:hint="eastAsia"/>
          <w:lang w:val="en-US" w:eastAsia="zh-CN"/>
        </w:rPr>
        <w:t>人员工作交接管理制度</w:t>
      </w:r>
      <w:bookmarkEnd w:id="1"/>
    </w:p>
    <w:tbl>
      <w:tblPr>
        <w:tblStyle w:val="22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keepLines w:val="0"/>
              <w:pageBreakBefore w:val="0"/>
              <w:widowControl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王琼</w:t>
            </w:r>
          </w:p>
        </w:tc>
        <w:tc>
          <w:tcPr>
            <w:tcW w:w="4261" w:type="dxa"/>
          </w:tcPr>
          <w:p w14:paraId="7554A84C">
            <w:pPr>
              <w:keepLines w:val="0"/>
              <w:pageBreakBefore w:val="0"/>
              <w:widowControl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keepLines w:val="0"/>
              <w:pageBreakBefore w:val="0"/>
              <w:widowControl/>
              <w:wordWrap/>
              <w:overflowPunct/>
              <w:bidi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keepLines w:val="0"/>
              <w:pageBreakBefore w:val="0"/>
              <w:widowControl/>
              <w:wordWrap/>
              <w:overflowPunct/>
              <w:bidi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keepLines w:val="0"/>
              <w:pageBreakBefore w:val="0"/>
              <w:widowControl/>
              <w:wordWrap/>
              <w:overflowPunct/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keepLines w:val="0"/>
              <w:pageBreakBefore w:val="0"/>
              <w:widowControl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3207BFDE">
      <w:pPr>
        <w:keepLines w:val="0"/>
        <w:pageBreakBefore w:val="0"/>
        <w:widowControl/>
        <w:wordWrap/>
        <w:overflowPunct/>
        <w:bidi w:val="0"/>
      </w:pPr>
      <w:r>
        <w:br w:type="page"/>
      </w:r>
    </w:p>
    <w:p w14:paraId="49DA19E5">
      <w:pPr>
        <w:keepLines w:val="0"/>
        <w:pageBreakBefore w:val="0"/>
        <w:widowControl/>
        <w:wordWrap/>
        <w:overflowPunct/>
        <w:bidi w:val="0"/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7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keepLines w:val="0"/>
              <w:pageBreakBefore w:val="0"/>
              <w:widowControl/>
              <w:wordWrap/>
              <w:overflowPunct/>
              <w:bidi w:val="0"/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keepLines w:val="0"/>
              <w:pageBreakBefore w:val="0"/>
              <w:widowControl/>
              <w:wordWrap/>
              <w:overflowPunct/>
              <w:bidi w:val="0"/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keepLines w:val="0"/>
              <w:pageBreakBefore w:val="0"/>
              <w:widowControl/>
              <w:wordWrap/>
              <w:overflowPunct/>
              <w:bidi w:val="0"/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keepLines w:val="0"/>
              <w:pageBreakBefore w:val="0"/>
              <w:widowControl/>
              <w:wordWrap/>
              <w:overflowPunct/>
              <w:bidi w:val="0"/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keepLines w:val="0"/>
              <w:pageBreakBefore w:val="0"/>
              <w:widowControl/>
              <w:wordWrap/>
              <w:overflowPunct/>
              <w:bidi w:val="0"/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keepLines w:val="0"/>
              <w:pageBreakBefore w:val="0"/>
              <w:widowControl/>
              <w:wordWrap/>
              <w:overflowPunct/>
              <w:bidi w:val="0"/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keepLines w:val="0"/>
              <w:pageBreakBefore w:val="0"/>
              <w:widowControl/>
              <w:wordWrap/>
              <w:overflowPunct/>
              <w:bidi w:val="0"/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  <w:vAlign w:val="top"/>
          </w:tcPr>
          <w:p w14:paraId="648AD6AC">
            <w:pPr>
              <w:keepLines w:val="0"/>
              <w:pageBreakBefore w:val="0"/>
              <w:widowControl/>
              <w:wordWrap/>
              <w:overflowPunct/>
              <w:bidi w:val="0"/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keepLines w:val="0"/>
              <w:pageBreakBefore w:val="0"/>
              <w:widowControl/>
              <w:wordWrap/>
              <w:overflowPunct/>
              <w:bidi w:val="0"/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keepLines w:val="0"/>
              <w:pageBreakBefore w:val="0"/>
              <w:widowControl/>
              <w:wordWrap/>
              <w:overflowPunct/>
              <w:bidi w:val="0"/>
              <w:spacing w:before="172" w:line="228" w:lineRule="auto"/>
              <w:ind w:left="3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王琼</w:t>
            </w:r>
          </w:p>
        </w:tc>
        <w:tc>
          <w:tcPr>
            <w:tcW w:w="1150" w:type="dxa"/>
            <w:vAlign w:val="top"/>
          </w:tcPr>
          <w:p w14:paraId="008FBE06">
            <w:pPr>
              <w:keepLines w:val="0"/>
              <w:pageBreakBefore w:val="0"/>
              <w:widowControl/>
              <w:wordWrap/>
              <w:overflowPunct/>
              <w:bidi w:val="0"/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keepLines w:val="0"/>
              <w:pageBreakBefore w:val="0"/>
              <w:widowControl/>
              <w:wordWrap/>
              <w:overflowPunct/>
              <w:bidi w:val="0"/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48" w:type="dxa"/>
            <w:vAlign w:val="top"/>
          </w:tcPr>
          <w:p w14:paraId="70C086CB">
            <w:pPr>
              <w:keepLines w:val="0"/>
              <w:pageBreakBefore w:val="0"/>
              <w:widowControl/>
              <w:wordWrap/>
              <w:overflowPunct/>
              <w:bidi w:val="0"/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keepLines w:val="0"/>
              <w:pageBreakBefore w:val="0"/>
              <w:widowControl/>
              <w:wordWrap/>
              <w:overflowPunct/>
              <w:bidi w:val="0"/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48" w:type="dxa"/>
            <w:vAlign w:val="top"/>
          </w:tcPr>
          <w:p w14:paraId="38EDD11A">
            <w:pPr>
              <w:keepLines w:val="0"/>
              <w:pageBreakBefore w:val="0"/>
              <w:widowControl/>
              <w:wordWrap/>
              <w:overflowPunct/>
              <w:bidi w:val="0"/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keepLines w:val="0"/>
              <w:pageBreakBefore w:val="0"/>
              <w:widowControl/>
              <w:wordWrap/>
              <w:overflowPunct/>
              <w:bidi w:val="0"/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8"/>
              <w:keepLines w:val="0"/>
              <w:pageBreakBefore w:val="0"/>
              <w:widowControl/>
              <w:wordWrap/>
              <w:overflowPunct/>
              <w:bidi w:val="0"/>
            </w:pPr>
          </w:p>
        </w:tc>
      </w:tr>
    </w:tbl>
    <w:p w14:paraId="757D1BA6">
      <w:pPr>
        <w:keepLines w:val="0"/>
        <w:pageBreakBefore w:val="0"/>
        <w:widowControl/>
        <w:wordWrap/>
        <w:overflowPunct/>
        <w:bidi w:val="0"/>
      </w:pPr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464632CD">
          <w:pPr>
            <w:keepLines w:val="0"/>
            <w:pageBreakBefore w:val="0"/>
            <w:widowControl/>
            <w:wordWrap/>
            <w:overflowPunct/>
            <w:bidi w:val="0"/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7DB70198">
          <w:pPr>
            <w:pStyle w:val="17"/>
            <w:keepLines w:val="0"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_Toc8561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_Toc8561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1C32030">
          <w:pPr>
            <w:pStyle w:val="17"/>
            <w:keepLines w:val="0"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_Toc14057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人员工作交接管理制度</w:t>
          </w:r>
          <w:r>
            <w:tab/>
          </w:r>
          <w:r>
            <w:fldChar w:fldCharType="begin"/>
          </w:r>
          <w:r>
            <w:instrText xml:space="preserve"> PAGEREF _Toc14057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CCDF793">
          <w:pPr>
            <w:pStyle w:val="17"/>
            <w:keepLines w:val="0"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_Toc13533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_Toc13533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9A066AE">
          <w:pPr>
            <w:pStyle w:val="17"/>
            <w:keepLines w:val="0"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_Toc14618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_Toc14618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5C466D1">
          <w:pPr>
            <w:pStyle w:val="17"/>
            <w:keepLines w:val="0"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_Toc18054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适用</w:t>
          </w:r>
          <w:r>
            <w:t>范围：</w:t>
          </w:r>
          <w:r>
            <w:tab/>
          </w:r>
          <w:r>
            <w:fldChar w:fldCharType="begin"/>
          </w:r>
          <w:r>
            <w:instrText xml:space="preserve"> PAGEREF _Toc18054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36AA60B">
          <w:pPr>
            <w:pStyle w:val="17"/>
            <w:keepLines w:val="0"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_Toc21135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岗位职责</w:t>
          </w:r>
          <w:r>
            <w:tab/>
          </w:r>
          <w:r>
            <w:fldChar w:fldCharType="begin"/>
          </w:r>
          <w:r>
            <w:instrText xml:space="preserve"> PAGEREF _Toc21135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005B4E5">
          <w:pPr>
            <w:pStyle w:val="17"/>
            <w:keepLines w:val="0"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_Toc18810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工作交接实施</w:t>
          </w:r>
          <w:r>
            <w:tab/>
          </w:r>
          <w:r>
            <w:fldChar w:fldCharType="begin"/>
          </w:r>
          <w:r>
            <w:instrText xml:space="preserve"> PAGEREF _Toc18810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432F3BE">
          <w:pPr>
            <w:pStyle w:val="18"/>
            <w:keepLines w:val="0"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_Toc11216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t>离职类别</w:t>
          </w:r>
          <w:r>
            <w:rPr>
              <w:rFonts w:hint="eastAsia"/>
              <w:lang w:val="en-US" w:eastAsia="zh-CN"/>
            </w:rPr>
            <w:t>识别</w:t>
          </w:r>
          <w:r>
            <w:t>：</w:t>
          </w:r>
          <w:r>
            <w:tab/>
          </w:r>
          <w:r>
            <w:fldChar w:fldCharType="begin"/>
          </w:r>
          <w:r>
            <w:instrText xml:space="preserve"> PAGEREF _Toc11216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DE65526">
          <w:pPr>
            <w:pStyle w:val="18"/>
            <w:keepLines w:val="0"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_Toc9978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 </w:t>
          </w:r>
          <w:r>
            <w:t>离职办理程序</w:t>
          </w:r>
          <w:r>
            <w:tab/>
          </w:r>
          <w:r>
            <w:fldChar w:fldCharType="begin"/>
          </w:r>
          <w:r>
            <w:instrText xml:space="preserve"> PAGEREF _Toc9978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2C547B6">
          <w:pPr>
            <w:pStyle w:val="14"/>
            <w:keepLines w:val="0"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_Toc10410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5.2.1. </w:t>
          </w:r>
          <w:r>
            <w:t>辞职程序</w:t>
          </w:r>
          <w:r>
            <w:tab/>
          </w:r>
          <w:r>
            <w:fldChar w:fldCharType="begin"/>
          </w:r>
          <w:r>
            <w:instrText xml:space="preserve"> PAGEREF _Toc10410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63DA3FD">
          <w:pPr>
            <w:pStyle w:val="14"/>
            <w:keepLines w:val="0"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_Toc31995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5.2.2. </w:t>
          </w:r>
          <w:r>
            <w:t>辞退</w:t>
          </w:r>
          <w:r>
            <w:tab/>
          </w:r>
          <w:r>
            <w:fldChar w:fldCharType="begin"/>
          </w:r>
          <w:r>
            <w:instrText xml:space="preserve"> PAGEREF _Toc31995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11C7B3D">
          <w:pPr>
            <w:pStyle w:val="14"/>
            <w:keepLines w:val="0"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_Toc6937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5.2.3. </w:t>
          </w:r>
          <w:r>
            <w:t>协商解除劳动关系程序</w:t>
          </w:r>
          <w:r>
            <w:tab/>
          </w:r>
          <w:r>
            <w:fldChar w:fldCharType="begin"/>
          </w:r>
          <w:r>
            <w:instrText xml:space="preserve"> PAGEREF _Toc6937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BB62887">
          <w:pPr>
            <w:pStyle w:val="14"/>
            <w:keepLines w:val="0"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_Toc14846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5.2.4. </w:t>
          </w:r>
          <w:r>
            <w:rPr>
              <w:rFonts w:hint="eastAsia"/>
              <w:lang w:val="en-US" w:eastAsia="zh-CN"/>
            </w:rPr>
            <w:t>自动离职</w:t>
          </w:r>
          <w:r>
            <w:tab/>
          </w:r>
          <w:r>
            <w:fldChar w:fldCharType="begin"/>
          </w:r>
          <w:r>
            <w:instrText xml:space="preserve"> PAGEREF _Toc14846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0D779F8">
          <w:pPr>
            <w:pStyle w:val="18"/>
            <w:keepLines w:val="0"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_Toc21055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 </w:t>
          </w:r>
          <w:r>
            <w:t>工作交接</w:t>
          </w:r>
          <w:r>
            <w:rPr>
              <w:rFonts w:hint="eastAsia"/>
              <w:lang w:val="en-US" w:eastAsia="zh-CN"/>
            </w:rPr>
            <w:t>程序</w:t>
          </w:r>
          <w:r>
            <w:tab/>
          </w:r>
          <w:r>
            <w:fldChar w:fldCharType="begin"/>
          </w:r>
          <w:r>
            <w:instrText xml:space="preserve"> PAGEREF _Toc21055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EE1D092">
          <w:pPr>
            <w:pStyle w:val="14"/>
            <w:keepLines w:val="0"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_Toc18592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5.3.1. </w:t>
          </w:r>
          <w:r>
            <w:t>工作交接</w:t>
          </w:r>
          <w:r>
            <w:tab/>
          </w:r>
          <w:r>
            <w:fldChar w:fldCharType="begin"/>
          </w:r>
          <w:r>
            <w:instrText xml:space="preserve"> PAGEREF _Toc18592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F3AE939">
          <w:pPr>
            <w:pStyle w:val="14"/>
            <w:keepLines w:val="0"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_Toc3650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5.3.2. </w:t>
          </w:r>
          <w:r>
            <w:rPr>
              <w:rFonts w:hint="eastAsia"/>
              <w:lang w:val="en-US" w:eastAsia="zh-CN"/>
            </w:rPr>
            <w:t>相</w:t>
          </w:r>
          <w:r>
            <w:t>关部门签字确认</w:t>
          </w:r>
          <w:r>
            <w:tab/>
          </w:r>
          <w:r>
            <w:fldChar w:fldCharType="begin"/>
          </w:r>
          <w:r>
            <w:instrText xml:space="preserve"> PAGEREF _Toc3650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03873EE">
          <w:pPr>
            <w:pStyle w:val="18"/>
            <w:keepLines w:val="0"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_Toc20606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5.4. </w:t>
          </w:r>
          <w:r>
            <w:t>其他事项</w:t>
          </w:r>
          <w:r>
            <w:tab/>
          </w:r>
          <w:r>
            <w:fldChar w:fldCharType="begin"/>
          </w:r>
          <w:r>
            <w:instrText xml:space="preserve"> PAGEREF _Toc20606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C990199">
          <w:pPr>
            <w:pStyle w:val="17"/>
            <w:keepLines w:val="0"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_Toc26644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6. </w:t>
          </w:r>
          <w:r>
            <w:rPr>
              <w:rFonts w:hint="eastAsia" w:eastAsia="宋体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_Toc26644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93E7179">
          <w:pPr>
            <w:pStyle w:val="17"/>
            <w:keepLines w:val="0"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_Toc32612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附件:</w:t>
          </w:r>
          <w:r>
            <w:tab/>
          </w:r>
          <w:r>
            <w:fldChar w:fldCharType="begin"/>
          </w:r>
          <w:r>
            <w:instrText xml:space="preserve"> PAGEREF _Toc32612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27C6DD2">
          <w:pPr>
            <w:pStyle w:val="17"/>
            <w:keepLines w:val="0"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_Toc29801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记录</w:t>
          </w:r>
          <w:r>
            <w:tab/>
          </w:r>
          <w:r>
            <w:fldChar w:fldCharType="begin"/>
          </w:r>
          <w:r>
            <w:instrText xml:space="preserve"> PAGEREF _Toc29801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587950E">
          <w:pPr>
            <w:keepLines w:val="0"/>
            <w:pageBreakBefore w:val="0"/>
            <w:widowControl/>
            <w:wordWrap/>
            <w:overflowPunct/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75DCC050">
      <w:pPr>
        <w:keepLines w:val="0"/>
        <w:pageBreakBefore w:val="0"/>
        <w:widowControl/>
        <w:wordWrap/>
        <w:overflowPunct/>
        <w:bidi w:val="0"/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191B6498">
      <w:pPr>
        <w:pStyle w:val="29"/>
        <w:keepLines w:val="0"/>
        <w:pageBreakBefore w:val="0"/>
        <w:widowControl/>
        <w:wordWrap/>
        <w:overflowPunct/>
        <w:bidi w:val="0"/>
      </w:pPr>
      <w:bookmarkStart w:id="2" w:name="_Toc13533"/>
      <w:r>
        <w:t>目的</w:t>
      </w:r>
      <w:bookmarkEnd w:id="2"/>
    </w:p>
    <w:p w14:paraId="6C70B028">
      <w:pPr>
        <w:pStyle w:val="30"/>
        <w:keepLines w:val="0"/>
        <w:pageBreakBefore w:val="0"/>
        <w:widowControl/>
        <w:wordWrap/>
        <w:overflowPunct/>
        <w:bidi w:val="0"/>
      </w:pPr>
      <w:r>
        <w:t>为规范公司员工的离职及工作交接管理，明确离职各环节的操作流程及相关权限，确保公司和离职员工的正当权益，制订本制度。</w:t>
      </w:r>
    </w:p>
    <w:p w14:paraId="2D240536">
      <w:pPr>
        <w:pStyle w:val="29"/>
        <w:keepLines w:val="0"/>
        <w:pageBreakBefore w:val="0"/>
        <w:widowControl/>
        <w:wordWrap/>
        <w:overflowPunct/>
        <w:bidi w:val="0"/>
        <w:rPr>
          <w:rFonts w:hint="eastAsia"/>
          <w:lang w:val="en-US" w:eastAsia="zh-CN"/>
        </w:rPr>
      </w:pPr>
      <w:bookmarkStart w:id="3" w:name="_Toc14618"/>
      <w:r>
        <w:rPr>
          <w:rFonts w:hint="eastAsia"/>
          <w:lang w:val="en-US" w:eastAsia="zh-CN"/>
        </w:rPr>
        <w:t>原则</w:t>
      </w:r>
      <w:bookmarkEnd w:id="3"/>
    </w:p>
    <w:p w14:paraId="5114EBA4">
      <w:pPr>
        <w:pStyle w:val="30"/>
        <w:keepLines w:val="0"/>
        <w:pageBreakBefore w:val="0"/>
        <w:widowControl/>
        <w:wordWrap/>
        <w:overflowPunct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遵循“完整清晰、责任明确、无缝衔接”的原则。从而实现工作交接“资料齐全”、“流程清晰”、“待办明确”杜绝遗留问题。</w:t>
      </w:r>
    </w:p>
    <w:p w14:paraId="6BD52D84">
      <w:pPr>
        <w:pStyle w:val="29"/>
        <w:keepLines w:val="0"/>
        <w:pageBreakBefore w:val="0"/>
        <w:widowControl/>
        <w:wordWrap/>
        <w:overflowPunct/>
        <w:bidi w:val="0"/>
      </w:pPr>
      <w:bookmarkStart w:id="4" w:name="_Toc18054"/>
      <w:r>
        <w:rPr>
          <w:rFonts w:hint="eastAsia"/>
          <w:lang w:val="en-US" w:eastAsia="zh-CN"/>
        </w:rPr>
        <w:t>适用</w:t>
      </w:r>
      <w:r>
        <w:t>范围：</w:t>
      </w:r>
      <w:bookmarkEnd w:id="4"/>
    </w:p>
    <w:p w14:paraId="5C2D15AF">
      <w:pPr>
        <w:pStyle w:val="30"/>
        <w:keepLines w:val="0"/>
        <w:pageBreakBefore w:val="0"/>
        <w:widowControl/>
        <w:wordWrap/>
        <w:overflowPunct/>
        <w:bidi w:val="0"/>
      </w:pPr>
      <w:r>
        <w:t>公司所有员工，不论何种原因离职，均按照本制度办理。</w:t>
      </w:r>
    </w:p>
    <w:p w14:paraId="72F6781A">
      <w:pPr>
        <w:pStyle w:val="29"/>
        <w:keepLines w:val="0"/>
        <w:pageBreakBefore w:val="0"/>
        <w:widowControl/>
        <w:wordWrap/>
        <w:overflowPunct/>
        <w:bidi w:val="0"/>
        <w:rPr>
          <w:rFonts w:hint="eastAsia"/>
          <w:lang w:val="en-US" w:eastAsia="zh-CN"/>
        </w:rPr>
      </w:pPr>
      <w:bookmarkStart w:id="5" w:name="_Toc21135"/>
      <w:r>
        <w:rPr>
          <w:rFonts w:hint="eastAsia"/>
          <w:lang w:val="en-US" w:eastAsia="zh-CN"/>
        </w:rPr>
        <w:t>岗位职责</w:t>
      </w:r>
      <w:bookmarkEnd w:id="5"/>
    </w:p>
    <w:p w14:paraId="010ABBB4">
      <w:pPr>
        <w:pStyle w:val="30"/>
        <w:keepLines w:val="0"/>
        <w:pageBreakBefore w:val="0"/>
        <w:widowControl/>
        <w:wordWrap/>
        <w:overflowPunct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总经理：负责人员交接工作审批。</w:t>
      </w:r>
    </w:p>
    <w:p w14:paraId="5FFCB044">
      <w:pPr>
        <w:pStyle w:val="30"/>
        <w:keepLines w:val="0"/>
        <w:pageBreakBefore w:val="0"/>
        <w:widowControl/>
        <w:wordWrap/>
        <w:overflowPunct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部门经理：负责所属部门员工工作交接审批。</w:t>
      </w:r>
    </w:p>
    <w:p w14:paraId="7E6E312E">
      <w:pPr>
        <w:pStyle w:val="29"/>
        <w:keepLines w:val="0"/>
        <w:pageBreakBefore w:val="0"/>
        <w:widowControl/>
        <w:wordWrap/>
        <w:overflowPunct/>
        <w:bidi w:val="0"/>
        <w:rPr>
          <w:rFonts w:hint="default"/>
          <w:lang w:val="en-US" w:eastAsia="zh-CN"/>
        </w:rPr>
      </w:pPr>
      <w:bookmarkStart w:id="6" w:name="_Toc18810"/>
      <w:bookmarkStart w:id="32" w:name="_GoBack"/>
      <w:r>
        <w:rPr>
          <w:rFonts w:hint="eastAsia"/>
          <w:lang w:val="en-US" w:eastAsia="zh-CN"/>
        </w:rPr>
        <w:t>工作交接实施</w:t>
      </w:r>
      <w:bookmarkEnd w:id="6"/>
    </w:p>
    <w:bookmarkEnd w:id="32"/>
    <w:p w14:paraId="471BA3EB">
      <w:pPr>
        <w:pStyle w:val="31"/>
        <w:keepLines w:val="0"/>
        <w:pageBreakBefore w:val="0"/>
        <w:widowControl/>
        <w:wordWrap/>
        <w:overflowPunct/>
        <w:bidi w:val="0"/>
        <w:rPr>
          <w:rFonts w:hint="default"/>
          <w:lang w:val="en-US" w:eastAsia="zh-CN"/>
        </w:rPr>
      </w:pPr>
      <w:bookmarkStart w:id="7" w:name="bookmark3"/>
      <w:bookmarkEnd w:id="7"/>
      <w:bookmarkStart w:id="8" w:name="_Toc11216"/>
      <w:r>
        <w:t>离职类别</w:t>
      </w:r>
      <w:r>
        <w:rPr>
          <w:rFonts w:hint="eastAsia"/>
          <w:lang w:val="en-US" w:eastAsia="zh-CN"/>
        </w:rPr>
        <w:t>识别</w:t>
      </w:r>
      <w:r>
        <w:t>：</w:t>
      </w:r>
      <w:bookmarkEnd w:id="8"/>
    </w:p>
    <w:p w14:paraId="02418618">
      <w:pPr>
        <w:pStyle w:val="30"/>
        <w:keepLines w:val="0"/>
        <w:pageBreakBefore w:val="0"/>
        <w:widowControl/>
        <w:wordWrap/>
        <w:overflowPunct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为明确不同场景下的交接流程，首先应明确离职类型。</w:t>
      </w:r>
    </w:p>
    <w:p w14:paraId="46437FC4">
      <w:pPr>
        <w:pStyle w:val="30"/>
        <w:keepLines w:val="0"/>
        <w:pageBreakBefore w:val="0"/>
        <w:widowControl/>
        <w:wordWrap/>
        <w:overflowPunct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离职主要有以下几种类型：</w:t>
      </w:r>
    </w:p>
    <w:p w14:paraId="1057B0B3">
      <w:pPr>
        <w:pStyle w:val="30"/>
        <w:keepLines w:val="0"/>
        <w:pageBreakBefore w:val="0"/>
        <w:widowControl/>
        <w:wordWrap/>
        <w:overflowPunct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ascii="Cascadia Mono" w:hAnsi="Cascadia Mono" w:eastAsia="Cascadia Mono" w:cs="Cascadia Mono"/>
          <w:i w:val="0"/>
          <w:iCs w:val="0"/>
          <w:caps w:val="0"/>
          <w:color w:val="0F1115"/>
          <w:spacing w:val="0"/>
          <w:sz w:val="16"/>
          <w:szCs w:val="16"/>
          <w:shd w:val="clear" w:fill="EBEEF2"/>
        </w:rPr>
        <w:instrText xml:space="preserve">STYLEREF 1 \n</w:instrText>
      </w:r>
      <w:r>
        <w:rPr>
          <w:rFonts w:hint="eastAsia"/>
          <w:lang w:val="en-US" w:eastAsia="zh-CN"/>
        </w:rPr>
        <w:fldChar w:fldCharType="end"/>
      </w:r>
    </w:p>
    <w:tbl>
      <w:tblPr>
        <w:tblStyle w:val="38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6391"/>
      </w:tblGrid>
      <w:tr w14:paraId="65357F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7A72AAA">
            <w:pPr>
              <w:pStyle w:val="37"/>
              <w:keepLines w:val="0"/>
              <w:pageBreakBefore w:val="0"/>
              <w:widowControl/>
              <w:wordWrap/>
              <w:overflowPunct/>
              <w:bidi w:val="0"/>
              <w:jc w:val="left"/>
            </w:pPr>
            <w:r>
              <w:rPr>
                <w:rFonts w:hint="eastAsia"/>
              </w:rPr>
              <w:t>离职类型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E38F032">
            <w:pPr>
              <w:pStyle w:val="37"/>
              <w:keepLines w:val="0"/>
              <w:pageBreakBefore w:val="0"/>
              <w:widowControl/>
              <w:wordWrap/>
              <w:overflowPunct/>
              <w:bidi w:val="0"/>
              <w:jc w:val="left"/>
            </w:pPr>
            <w:r>
              <w:rPr>
                <w:rFonts w:hint="eastAsia"/>
              </w:rPr>
              <w:t>定义</w:t>
            </w:r>
          </w:p>
        </w:tc>
      </w:tr>
      <w:tr w14:paraId="10DBE4B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66950C9">
            <w:pPr>
              <w:pStyle w:val="37"/>
              <w:keepLines w:val="0"/>
              <w:pageBreakBefore w:val="0"/>
              <w:widowControl/>
              <w:wordWrap/>
              <w:overflowPunct/>
              <w:bidi w:val="0"/>
              <w:jc w:val="left"/>
            </w:pPr>
            <w:r>
              <w:rPr>
                <w:rFonts w:hint="eastAsia"/>
                <w:b/>
                <w:bCs/>
              </w:rPr>
              <w:t>辞职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074342D">
            <w:pPr>
              <w:pStyle w:val="37"/>
              <w:keepLines w:val="0"/>
              <w:pageBreakBefore w:val="0"/>
              <w:widowControl/>
              <w:wordWrap/>
              <w:overflowPunct/>
              <w:bidi w:val="0"/>
              <w:jc w:val="left"/>
            </w:pPr>
            <w:r>
              <w:rPr>
                <w:rFonts w:hint="eastAsia"/>
              </w:rPr>
              <w:t>是指在任职期间内，有员工提出提前终止劳动关系的行为。</w:t>
            </w:r>
          </w:p>
        </w:tc>
      </w:tr>
      <w:tr w14:paraId="433CE67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04B53D9">
            <w:pPr>
              <w:pStyle w:val="37"/>
              <w:keepLines w:val="0"/>
              <w:pageBreakBefore w:val="0"/>
              <w:widowControl/>
              <w:wordWrap/>
              <w:overflowPunct/>
              <w:bidi w:val="0"/>
              <w:jc w:val="left"/>
            </w:pPr>
            <w:r>
              <w:rPr>
                <w:rFonts w:hint="eastAsia"/>
                <w:b/>
                <w:bCs/>
              </w:rPr>
              <w:t>辞退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39609F0">
            <w:pPr>
              <w:pStyle w:val="37"/>
              <w:keepLines w:val="0"/>
              <w:pageBreakBefore w:val="0"/>
              <w:widowControl/>
              <w:wordWrap/>
              <w:overflowPunct/>
              <w:bidi w:val="0"/>
              <w:jc w:val="left"/>
            </w:pPr>
            <w:r>
              <w:rPr>
                <w:rFonts w:hint="eastAsia"/>
              </w:rPr>
              <w:t>是指在任职期间内，按照公司制度，员工符合辞退条件的，公司提前终止与员工的劳动关系，予以辞退的行为。</w:t>
            </w:r>
          </w:p>
        </w:tc>
      </w:tr>
      <w:tr w14:paraId="04CF133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7283EBB">
            <w:pPr>
              <w:pStyle w:val="37"/>
              <w:keepLines w:val="0"/>
              <w:pageBreakBefore w:val="0"/>
              <w:widowControl/>
              <w:wordWrap/>
              <w:overflowPunct/>
              <w:bidi w:val="0"/>
              <w:jc w:val="left"/>
            </w:pPr>
            <w:r>
              <w:rPr>
                <w:rFonts w:hint="eastAsia"/>
                <w:b/>
                <w:bCs/>
              </w:rPr>
              <w:t>协商解除劳动关系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767F599">
            <w:pPr>
              <w:pStyle w:val="37"/>
              <w:keepLines w:val="0"/>
              <w:pageBreakBefore w:val="0"/>
              <w:widowControl/>
              <w:wordWrap/>
              <w:overflowPunct/>
              <w:bidi w:val="0"/>
              <w:jc w:val="left"/>
            </w:pPr>
            <w:r>
              <w:rPr>
                <w:rFonts w:hint="eastAsia"/>
              </w:rPr>
              <w:t>是指双方均可提出，经协商一致提前解除劳动关系，并签署解除协议。</w:t>
            </w:r>
          </w:p>
        </w:tc>
      </w:tr>
      <w:tr w14:paraId="1B9CE6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D4FB69E">
            <w:pPr>
              <w:pStyle w:val="37"/>
              <w:keepLines w:val="0"/>
              <w:pageBreakBefore w:val="0"/>
              <w:widowControl/>
              <w:wordWrap/>
              <w:overflowPunct/>
              <w:bidi w:val="0"/>
              <w:jc w:val="left"/>
            </w:pPr>
            <w:r>
              <w:rPr>
                <w:rFonts w:hint="eastAsia"/>
                <w:b/>
                <w:bCs/>
              </w:rPr>
              <w:t>自动离职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6B63816">
            <w:pPr>
              <w:pStyle w:val="37"/>
              <w:keepLines w:val="0"/>
              <w:pageBreakBefore w:val="0"/>
              <w:widowControl/>
              <w:wordWrap/>
              <w:overflowPunct/>
              <w:bidi w:val="0"/>
              <w:jc w:val="left"/>
            </w:pPr>
            <w:r>
              <w:rPr>
                <w:rFonts w:hint="eastAsia"/>
              </w:rPr>
              <w:t>是指在任职期间内，员工未经公司批准而擅自离开工作岗位的行为。</w:t>
            </w:r>
          </w:p>
        </w:tc>
      </w:tr>
    </w:tbl>
    <w:p w14:paraId="0D49D098">
      <w:pPr>
        <w:pStyle w:val="30"/>
        <w:keepLines w:val="0"/>
        <w:pageBreakBefore w:val="0"/>
        <w:widowControl/>
        <w:wordWrap/>
        <w:overflowPunct/>
        <w:bidi w:val="0"/>
      </w:pPr>
      <w:r>
        <w:t>有下列情况之一者，公司将按员工自动离职处理，并暂时冻结其工资：</w:t>
      </w:r>
    </w:p>
    <w:p w14:paraId="33A807E9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连续旷工</w:t>
      </w:r>
      <w:r>
        <w:rPr>
          <w:rFonts w:ascii="宋体" w:hAnsi="宋体" w:eastAsia="宋体" w:cs="宋体"/>
          <w:spacing w:val="-4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3个工作日或者1个月内累计旷工达</w:t>
      </w:r>
      <w:r>
        <w:rPr>
          <w:rFonts w:ascii="宋体" w:hAnsi="宋体" w:eastAsia="宋体" w:cs="宋体"/>
          <w:spacing w:val="-4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3个工作日，经劝诫</w:t>
      </w:r>
      <w:r>
        <w:rPr>
          <w:rFonts w:ascii="宋体" w:hAnsi="宋体" w:eastAsia="宋体" w:cs="宋体"/>
          <w:spacing w:val="-4"/>
          <w:sz w:val="24"/>
          <w:szCs w:val="24"/>
        </w:rPr>
        <w:t>无效者。</w:t>
      </w:r>
    </w:p>
    <w:p w14:paraId="2A931ECB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未按正规手续申请离职而自行离开工作岗位者。</w:t>
      </w:r>
    </w:p>
    <w:p w14:paraId="2A7CF669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已申请离职但未办妥离职交接手续而自行离开公司者。</w:t>
      </w:r>
    </w:p>
    <w:p w14:paraId="1A8122E4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员工未经批准而自行离职的，公司不予办理任何手续；给公司造成损</w:t>
      </w:r>
      <w:r>
        <w:rPr>
          <w:rFonts w:ascii="宋体" w:hAnsi="宋体" w:eastAsia="宋体" w:cs="宋体"/>
          <w:spacing w:val="-1"/>
          <w:sz w:val="24"/>
          <w:szCs w:val="24"/>
        </w:rPr>
        <w:t>失的，应负赔偿责任。</w:t>
      </w:r>
    </w:p>
    <w:p w14:paraId="0DF3066A">
      <w:pPr>
        <w:pStyle w:val="31"/>
        <w:keepLines w:val="0"/>
        <w:pageBreakBefore w:val="0"/>
        <w:widowControl/>
        <w:wordWrap/>
        <w:overflowPunct/>
        <w:bidi w:val="0"/>
      </w:pPr>
      <w:bookmarkStart w:id="9" w:name="bookmark4"/>
      <w:bookmarkEnd w:id="9"/>
      <w:bookmarkStart w:id="10" w:name="_Toc9978"/>
      <w:r>
        <w:t>离职办理程序</w:t>
      </w:r>
      <w:bookmarkEnd w:id="10"/>
    </w:p>
    <w:p w14:paraId="771E08FB">
      <w:pPr>
        <w:pStyle w:val="30"/>
        <w:keepLines w:val="0"/>
        <w:pageBreakBefore w:val="0"/>
        <w:widowControl/>
        <w:wordWrap/>
        <w:overflowPunct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针对辞职、辞退、协商解除劳动关系、自动离职四种类型，分别执行不同的离职办理程序</w:t>
      </w:r>
    </w:p>
    <w:p w14:paraId="74341B8C">
      <w:pPr>
        <w:pStyle w:val="32"/>
        <w:keepLines w:val="0"/>
        <w:pageBreakBefore w:val="0"/>
        <w:widowControl/>
        <w:wordWrap/>
        <w:overflowPunct/>
        <w:bidi w:val="0"/>
      </w:pPr>
      <w:bookmarkStart w:id="11" w:name="bookmark5"/>
      <w:bookmarkEnd w:id="11"/>
      <w:bookmarkStart w:id="12" w:name="bookmark6"/>
      <w:bookmarkEnd w:id="12"/>
      <w:bookmarkStart w:id="13" w:name="_Toc10410"/>
      <w:r>
        <w:t>辞职程序</w:t>
      </w:r>
      <w:bookmarkEnd w:id="13"/>
    </w:p>
    <w:p w14:paraId="215797D8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辞职申请的提出：员工申请辞职，须填写《员工离职申请表》，已转正员工需提前三十日以书面</w:t>
      </w:r>
      <w:r>
        <w:rPr>
          <w:rFonts w:ascii="宋体" w:hAnsi="宋体" w:eastAsia="宋体" w:cs="宋体"/>
          <w:spacing w:val="-2"/>
          <w:sz w:val="24"/>
          <w:szCs w:val="24"/>
        </w:rPr>
        <w:t>形式通知部门负责人，试用期内的员工辞职，须提前三日</w:t>
      </w:r>
      <w:r>
        <w:rPr>
          <w:rFonts w:ascii="宋体" w:hAnsi="宋体" w:eastAsia="宋体" w:cs="宋体"/>
          <w:spacing w:val="-3"/>
          <w:sz w:val="24"/>
          <w:szCs w:val="24"/>
        </w:rPr>
        <w:t>通知</w:t>
      </w:r>
      <w:r>
        <w:rPr>
          <w:rFonts w:hint="eastAsia" w:ascii="宋体" w:hAnsi="宋体" w:eastAsia="宋体" w:cs="宋体"/>
          <w:spacing w:val="-3"/>
          <w:sz w:val="24"/>
          <w:szCs w:val="24"/>
          <w:lang w:val="en-US" w:eastAsia="zh-CN"/>
        </w:rPr>
        <w:t>人力</w:t>
      </w:r>
      <w:r>
        <w:rPr>
          <w:rFonts w:ascii="宋体" w:hAnsi="宋体" w:eastAsia="宋体" w:cs="宋体"/>
          <w:spacing w:val="-3"/>
          <w:sz w:val="24"/>
          <w:szCs w:val="24"/>
        </w:rPr>
        <w:t>部门，并办理工作交接手续，以保</w:t>
      </w:r>
      <w:r>
        <w:rPr>
          <w:rFonts w:ascii="宋体" w:hAnsi="宋体" w:eastAsia="宋体" w:cs="宋体"/>
          <w:spacing w:val="-2"/>
          <w:sz w:val="24"/>
          <w:szCs w:val="24"/>
        </w:rPr>
        <w:t>障公司的正常运转。</w:t>
      </w:r>
    </w:p>
    <w:p w14:paraId="723AAB85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辞职申请的审批权限：员工本人提出书面申请，直接由部门负责人审核，并由部门上报公司分管</w:t>
      </w:r>
      <w:r>
        <w:rPr>
          <w:rFonts w:ascii="宋体" w:hAnsi="宋体" w:eastAsia="宋体" w:cs="宋体"/>
          <w:spacing w:val="-1"/>
          <w:sz w:val="24"/>
          <w:szCs w:val="24"/>
        </w:rPr>
        <w:t>领导批准，总经理最终确认。</w:t>
      </w:r>
    </w:p>
    <w:p w14:paraId="2B9ECE8D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员工辞职申请经公司审批同意后，方可办理相关</w:t>
      </w:r>
      <w:r>
        <w:rPr>
          <w:rFonts w:ascii="宋体" w:hAnsi="宋体" w:eastAsia="宋体" w:cs="宋体"/>
          <w:spacing w:val="-1"/>
          <w:sz w:val="24"/>
          <w:szCs w:val="24"/>
        </w:rPr>
        <w:t>离职手续。辞职申请由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1"/>
          <w:sz w:val="24"/>
          <w:szCs w:val="24"/>
        </w:rPr>
        <w:t>保存。</w:t>
      </w:r>
    </w:p>
    <w:p w14:paraId="19F37A9D">
      <w:pPr>
        <w:pStyle w:val="32"/>
        <w:keepLines w:val="0"/>
        <w:pageBreakBefore w:val="0"/>
        <w:widowControl/>
        <w:wordWrap/>
        <w:overflowPunct/>
        <w:bidi w:val="0"/>
      </w:pPr>
      <w:bookmarkStart w:id="14" w:name="bookmark7"/>
      <w:bookmarkEnd w:id="14"/>
      <w:bookmarkStart w:id="15" w:name="_Toc31995"/>
      <w:r>
        <w:t>辞退</w:t>
      </w:r>
      <w:bookmarkEnd w:id="15"/>
    </w:p>
    <w:p w14:paraId="5B8B934C">
      <w:pPr>
        <w:pStyle w:val="30"/>
        <w:keepLines w:val="0"/>
        <w:pageBreakBefore w:val="0"/>
        <w:widowControl/>
        <w:wordWrap/>
        <w:overflowPunct/>
        <w:bidi w:val="0"/>
      </w:pPr>
      <w:r>
        <w:t>符合辞退条件的员工，公司有权辞退，由起所在部门负责人/</w:t>
      </w:r>
      <w:r>
        <w:rPr>
          <w:rFonts w:hint="eastAsia"/>
          <w:lang w:eastAsia="zh-CN"/>
        </w:rPr>
        <w:t>人力部</w:t>
      </w:r>
      <w:r>
        <w:t>提出申请，公司分管领导同意</w:t>
      </w:r>
      <w:r>
        <w:rPr>
          <w:rFonts w:hint="eastAsia"/>
          <w:lang w:val="en-US" w:eastAsia="zh-CN"/>
        </w:rPr>
        <w:t>。</w:t>
      </w:r>
      <w:r>
        <w:t>总经理办公司最后确认同意，方可作辞退处理。</w:t>
      </w:r>
    </w:p>
    <w:p w14:paraId="16919869">
      <w:pPr>
        <w:pStyle w:val="32"/>
        <w:keepLines w:val="0"/>
        <w:pageBreakBefore w:val="0"/>
        <w:widowControl/>
        <w:wordWrap/>
        <w:overflowPunct/>
        <w:bidi w:val="0"/>
      </w:pPr>
      <w:bookmarkStart w:id="16" w:name="_Toc6937"/>
      <w:r>
        <w:t>协商解除劳动关系程序</w:t>
      </w:r>
      <w:bookmarkEnd w:id="16"/>
    </w:p>
    <w:p w14:paraId="060B3722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公司提出协商解除的，由所在部门负责人与员工面谈，明确告知其部门意向，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z w:val="24"/>
          <w:szCs w:val="24"/>
        </w:rPr>
        <w:t>可提供</w:t>
      </w:r>
      <w:r>
        <w:rPr>
          <w:rFonts w:ascii="宋体" w:hAnsi="宋体" w:eastAsia="宋体" w:cs="宋体"/>
          <w:spacing w:val="-1"/>
          <w:sz w:val="24"/>
          <w:szCs w:val="24"/>
        </w:rPr>
        <w:t>必要</w:t>
      </w:r>
      <w:r>
        <w:rPr>
          <w:rFonts w:ascii="宋体" w:hAnsi="宋体" w:eastAsia="宋体" w:cs="宋体"/>
          <w:spacing w:val="-8"/>
          <w:sz w:val="24"/>
          <w:szCs w:val="24"/>
        </w:rPr>
        <w:t>的支持。</w:t>
      </w:r>
    </w:p>
    <w:p w14:paraId="1694F4DC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jc w:val="left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员工提出协商解除的，由所在部门负责人与员工面谈，进行充分的沟通，了解其离</w:t>
      </w:r>
      <w:r>
        <w:rPr>
          <w:rFonts w:ascii="宋体" w:hAnsi="宋体" w:eastAsia="宋体" w:cs="宋体"/>
          <w:spacing w:val="-4"/>
          <w:sz w:val="24"/>
          <w:szCs w:val="24"/>
        </w:rPr>
        <w:t>职的根本原因。</w:t>
      </w:r>
    </w:p>
    <w:p w14:paraId="4998CD95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jc w:val="left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最后由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z w:val="24"/>
          <w:szCs w:val="24"/>
        </w:rPr>
        <w:t>与员工进行协商，达成一致意见后签署解除劳动关系协议，员工填写《员工离职交</w:t>
      </w:r>
      <w:r>
        <w:rPr>
          <w:rFonts w:ascii="宋体" w:hAnsi="宋体" w:eastAsia="宋体" w:cs="宋体"/>
          <w:spacing w:val="-1"/>
          <w:sz w:val="24"/>
          <w:szCs w:val="24"/>
        </w:rPr>
        <w:t>接表》，并办理离职手续。</w:t>
      </w:r>
    </w:p>
    <w:p w14:paraId="59CBED0E">
      <w:pPr>
        <w:pStyle w:val="32"/>
        <w:keepLines w:val="0"/>
        <w:pageBreakBefore w:val="0"/>
        <w:widowControl/>
        <w:wordWrap/>
        <w:overflowPunct/>
        <w:bidi w:val="0"/>
        <w:rPr>
          <w:rFonts w:hint="eastAsia"/>
          <w:lang w:val="en-US" w:eastAsia="zh-CN"/>
        </w:rPr>
      </w:pPr>
      <w:bookmarkStart w:id="17" w:name="_Toc14846"/>
      <w:r>
        <w:rPr>
          <w:rFonts w:hint="eastAsia"/>
          <w:lang w:val="en-US" w:eastAsia="zh-CN"/>
        </w:rPr>
        <w:t>自动离职</w:t>
      </w:r>
      <w:bookmarkEnd w:id="17"/>
    </w:p>
    <w:p w14:paraId="43703EFE">
      <w:pPr>
        <w:pStyle w:val="30"/>
        <w:keepLines w:val="0"/>
        <w:pageBreakBefore w:val="0"/>
        <w:widowControl/>
        <w:numPr>
          <w:ilvl w:val="0"/>
          <w:numId w:val="5"/>
        </w:numPr>
        <w:wordWrap/>
        <w:overflowPunct/>
        <w:bidi w:val="0"/>
        <w:ind w:left="425" w:leftChars="0" w:hanging="425" w:firstLineChars="0"/>
      </w:pPr>
      <w:r>
        <w:rPr>
          <w:rFonts w:hint="default"/>
        </w:rPr>
        <w:t>尝试联系员工，视情况发送《返岗通知书》或《解除劳动合同通知书》，明确告知其法律后果。</w:t>
      </w:r>
    </w:p>
    <w:p w14:paraId="6EADD5B1">
      <w:pPr>
        <w:pStyle w:val="30"/>
        <w:keepLines w:val="0"/>
        <w:pageBreakBefore w:val="0"/>
        <w:widowControl/>
        <w:numPr>
          <w:ilvl w:val="0"/>
          <w:numId w:val="5"/>
        </w:numPr>
        <w:wordWrap/>
        <w:overflowPunct/>
        <w:bidi w:val="0"/>
        <w:ind w:left="425" w:leftChars="0" w:hanging="425" w:firstLineChars="0"/>
      </w:pPr>
      <w:r>
        <w:rPr>
          <w:rFonts w:hint="default"/>
        </w:rPr>
        <w:t>履行通知送达程序后，按公司规定办理劳动关系终止、社保公积金停缴及工资结算等后续手续。</w:t>
      </w:r>
    </w:p>
    <w:p w14:paraId="0A25688E">
      <w:pPr>
        <w:pStyle w:val="31"/>
        <w:keepLines w:val="0"/>
        <w:pageBreakBefore w:val="0"/>
        <w:widowControl/>
        <w:wordWrap/>
        <w:overflowPunct/>
        <w:bidi w:val="0"/>
      </w:pPr>
      <w:bookmarkStart w:id="18" w:name="bookmark13"/>
      <w:bookmarkEnd w:id="18"/>
      <w:bookmarkStart w:id="19" w:name="bookmark8"/>
      <w:bookmarkEnd w:id="19"/>
      <w:bookmarkStart w:id="20" w:name="_Toc21055"/>
      <w:r>
        <w:t>工作交接</w:t>
      </w:r>
      <w:r>
        <w:rPr>
          <w:rFonts w:hint="eastAsia"/>
          <w:lang w:val="en-US" w:eastAsia="zh-CN"/>
        </w:rPr>
        <w:t>程序</w:t>
      </w:r>
      <w:bookmarkEnd w:id="20"/>
    </w:p>
    <w:p w14:paraId="6D2C5CF1">
      <w:pPr>
        <w:pStyle w:val="30"/>
        <w:keepLines w:val="0"/>
        <w:pageBreakBefore w:val="0"/>
        <w:widowControl/>
        <w:wordWrap/>
        <w:overflowPunct/>
        <w:bidi w:val="0"/>
      </w:pPr>
      <w:r>
        <w:t>确定员工离职，部门负责人安排其他人员接替其他人员接替其工作和职责，有离职员工的部门负责人安排工作交接事项，并安排其到</w:t>
      </w:r>
      <w:r>
        <w:rPr>
          <w:rFonts w:hint="eastAsia"/>
          <w:lang w:eastAsia="zh-CN"/>
        </w:rPr>
        <w:t>人力部</w:t>
      </w:r>
      <w:r>
        <w:t>领取《员工离职交接单》，并按照顺序依次办理。</w:t>
      </w:r>
    </w:p>
    <w:p w14:paraId="686FBA82">
      <w:pPr>
        <w:pStyle w:val="32"/>
        <w:keepLines w:val="0"/>
        <w:pageBreakBefore w:val="0"/>
        <w:widowControl/>
        <w:wordWrap/>
        <w:overflowPunct/>
        <w:bidi w:val="0"/>
      </w:pPr>
      <w:bookmarkStart w:id="21" w:name="bookmark9"/>
      <w:bookmarkEnd w:id="21"/>
      <w:bookmarkStart w:id="22" w:name="_Toc18592"/>
      <w:r>
        <w:t>工作交接</w:t>
      </w:r>
      <w:bookmarkEnd w:id="22"/>
    </w:p>
    <w:p w14:paraId="696780C6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将本人经办的各项工作、业务资料以及公司的一切财物、保管或保存的各类实</w:t>
      </w:r>
      <w:r>
        <w:rPr>
          <w:rFonts w:ascii="宋体" w:hAnsi="宋体" w:eastAsia="宋体" w:cs="宋体"/>
          <w:spacing w:val="-1"/>
          <w:sz w:val="24"/>
          <w:szCs w:val="24"/>
        </w:rPr>
        <w:t>物或电子版工作</w:t>
      </w:r>
      <w:r>
        <w:rPr>
          <w:rFonts w:ascii="宋体" w:hAnsi="宋体" w:eastAsia="宋体" w:cs="宋体"/>
          <w:spacing w:val="-2"/>
          <w:sz w:val="24"/>
          <w:szCs w:val="24"/>
        </w:rPr>
        <w:t>资料、文件、文具、办公用品等交部门负责人指定的</w:t>
      </w:r>
      <w:r>
        <w:rPr>
          <w:rFonts w:ascii="宋体" w:hAnsi="宋体" w:eastAsia="宋体" w:cs="宋体"/>
          <w:spacing w:val="-3"/>
          <w:sz w:val="24"/>
          <w:szCs w:val="24"/>
        </w:rPr>
        <w:t>人员，并要求交接人和部门负责人在《员工离职</w:t>
      </w:r>
      <w:r>
        <w:rPr>
          <w:rFonts w:ascii="宋体" w:hAnsi="宋体" w:eastAsia="宋体" w:cs="宋体"/>
          <w:spacing w:val="-2"/>
          <w:sz w:val="24"/>
          <w:szCs w:val="24"/>
        </w:rPr>
        <w:t>交接单》上签字。</w:t>
      </w:r>
    </w:p>
    <w:p w14:paraId="00007F1B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经部门负责人批准，将经受的各类项目、业务等事项移交至指定人员</w:t>
      </w:r>
    </w:p>
    <w:p w14:paraId="64455CAE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以上各项交接须经部门负责人审核后方可认定交接完成。</w:t>
      </w:r>
    </w:p>
    <w:p w14:paraId="4D307658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员工辞职、被辞退、被开除或终止聘（雇）用，在离开公司以</w:t>
      </w:r>
      <w:r>
        <w:rPr>
          <w:rFonts w:ascii="宋体" w:hAnsi="宋体" w:eastAsia="宋体" w:cs="宋体"/>
          <w:spacing w:val="-3"/>
          <w:sz w:val="24"/>
          <w:szCs w:val="24"/>
        </w:rPr>
        <w:t>前，必须交还、文件及业务资料，并</w:t>
      </w:r>
      <w:r>
        <w:rPr>
          <w:rFonts w:ascii="宋体" w:hAnsi="宋体" w:eastAsia="宋体" w:cs="宋体"/>
          <w:sz w:val="24"/>
          <w:szCs w:val="24"/>
        </w:rPr>
        <w:t>移交业务渠道。否则，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z w:val="24"/>
          <w:szCs w:val="24"/>
        </w:rPr>
        <w:t>不予办理任何手续，给公司造</w:t>
      </w:r>
      <w:r>
        <w:rPr>
          <w:rFonts w:ascii="宋体" w:hAnsi="宋体" w:eastAsia="宋体" w:cs="宋体"/>
          <w:spacing w:val="-1"/>
          <w:sz w:val="24"/>
          <w:szCs w:val="24"/>
        </w:rPr>
        <w:t>成损失的，应负赔偿责任。</w:t>
      </w:r>
    </w:p>
    <w:p w14:paraId="22E380D6">
      <w:pPr>
        <w:pStyle w:val="32"/>
        <w:keepLines w:val="0"/>
        <w:pageBreakBefore w:val="0"/>
        <w:widowControl/>
        <w:wordWrap/>
        <w:overflowPunct/>
        <w:bidi w:val="0"/>
      </w:pPr>
      <w:bookmarkStart w:id="23" w:name="bookmark10"/>
      <w:bookmarkEnd w:id="23"/>
      <w:bookmarkStart w:id="24" w:name="_Toc3650"/>
      <w:r>
        <w:rPr>
          <w:rFonts w:hint="eastAsia"/>
          <w:lang w:val="en-US" w:eastAsia="zh-CN"/>
        </w:rPr>
        <w:t>相</w:t>
      </w:r>
      <w:r>
        <w:t>关部门签字确认</w:t>
      </w:r>
      <w:bookmarkEnd w:id="24"/>
    </w:p>
    <w:p w14:paraId="1894BAD6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相关部门人员需要做好本部门与离职员工涉及的工作、物品、文件审核。</w:t>
      </w:r>
    </w:p>
    <w:p w14:paraId="412A3338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员工离职交接，涉及各部门交接手续，各部门办</w:t>
      </w:r>
      <w:r>
        <w:rPr>
          <w:rFonts w:ascii="宋体" w:hAnsi="宋体" w:eastAsia="宋体" w:cs="宋体"/>
          <w:spacing w:val="-3"/>
          <w:sz w:val="24"/>
          <w:szCs w:val="24"/>
        </w:rPr>
        <w:t>事人员需认真检查与审查离职员工与本部门</w:t>
      </w:r>
      <w:r>
        <w:rPr>
          <w:rFonts w:ascii="宋体" w:hAnsi="宋体" w:eastAsia="宋体" w:cs="宋体"/>
          <w:spacing w:val="-2"/>
          <w:sz w:val="24"/>
          <w:szCs w:val="24"/>
        </w:rPr>
        <w:t>涉及的工作事宜。</w:t>
      </w:r>
    </w:p>
    <w:p w14:paraId="5FDEFE1E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离职员工必须亲自办理离职手续，并在双方确</w:t>
      </w:r>
      <w:r>
        <w:rPr>
          <w:rFonts w:ascii="宋体" w:hAnsi="宋体" w:eastAsia="宋体" w:cs="宋体"/>
          <w:spacing w:val="-1"/>
          <w:sz w:val="24"/>
          <w:szCs w:val="24"/>
        </w:rPr>
        <w:t>定的离职日期办理完工作交接手续。</w:t>
      </w:r>
    </w:p>
    <w:p w14:paraId="4D94CCEB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离职员工若在未办理或未办完交接手续而擅自离开公司者，公司不结算任何薪资。给公司造成重</w:t>
      </w:r>
      <w:r>
        <w:rPr>
          <w:rFonts w:ascii="宋体" w:hAnsi="宋体" w:eastAsia="宋体" w:cs="宋体"/>
          <w:spacing w:val="-1"/>
          <w:sz w:val="24"/>
          <w:szCs w:val="24"/>
        </w:rPr>
        <w:t>大损失的，公司有权通过法律手段追究其法律责任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。</w:t>
      </w:r>
    </w:p>
    <w:p w14:paraId="380EFBD4">
      <w:pPr>
        <w:pStyle w:val="31"/>
        <w:keepLines w:val="0"/>
        <w:pageBreakBefore w:val="0"/>
        <w:widowControl/>
        <w:wordWrap/>
        <w:overflowPunct/>
        <w:bidi w:val="0"/>
      </w:pPr>
      <w:bookmarkStart w:id="25" w:name="bookmark11"/>
      <w:bookmarkEnd w:id="25"/>
      <w:bookmarkStart w:id="26" w:name="_Toc20606"/>
      <w:r>
        <w:t>其他事项</w:t>
      </w:r>
      <w:bookmarkEnd w:id="26"/>
    </w:p>
    <w:p w14:paraId="200DBCF6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严禁同岗位同一时间段提出辞职，为保障公司的正常运转，公司有权不给予批复。</w:t>
      </w:r>
    </w:p>
    <w:p w14:paraId="7635AB92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离职员工一年内不得在相同区域从事相同工种和岗位，否则公司有权要求双倍赔偿，并追究当</w:t>
      </w:r>
      <w:r>
        <w:rPr>
          <w:rFonts w:ascii="宋体" w:hAnsi="宋体" w:eastAsia="宋体" w:cs="宋体"/>
          <w:spacing w:val="-2"/>
          <w:sz w:val="24"/>
          <w:szCs w:val="24"/>
        </w:rPr>
        <w:t>事人的法律责任。</w:t>
      </w:r>
    </w:p>
    <w:p w14:paraId="1292F1DE">
      <w:pPr>
        <w:pStyle w:val="29"/>
        <w:keepLines w:val="0"/>
        <w:pageBreakBefore w:val="0"/>
        <w:widowControl/>
        <w:wordWrap/>
        <w:overflowPunct/>
        <w:bidi w:val="0"/>
        <w:rPr>
          <w:rStyle w:val="39"/>
          <w:rFonts w:hint="default" w:eastAsia="宋体"/>
          <w:lang w:val="en-US" w:eastAsia="zh-CN"/>
        </w:rPr>
      </w:pPr>
      <w:bookmarkStart w:id="27" w:name="_Toc17424"/>
      <w:bookmarkStart w:id="28" w:name="_Toc26644"/>
      <w:r>
        <w:rPr>
          <w:rStyle w:val="39"/>
          <w:rFonts w:hint="eastAsia" w:eastAsia="宋体"/>
          <w:lang w:val="en-US" w:eastAsia="zh-CN"/>
        </w:rPr>
        <w:t>附则</w:t>
      </w:r>
      <w:bookmarkEnd w:id="27"/>
      <w:bookmarkEnd w:id="28"/>
    </w:p>
    <w:p w14:paraId="02F24E85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bookmarkStart w:id="29" w:name="bookmark14"/>
      <w:bookmarkEnd w:id="29"/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02158050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  <w:lang w:val="en-US" w:eastAsia="en-US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572E3990">
      <w:pPr>
        <w:pStyle w:val="29"/>
        <w:keepLines w:val="0"/>
        <w:pageBreakBefore w:val="0"/>
        <w:widowControl/>
        <w:wordWrap/>
        <w:overflowPunct/>
        <w:bidi w:val="0"/>
        <w:rPr>
          <w:rFonts w:hint="default"/>
          <w:lang w:val="en-US" w:eastAsia="zh-CN"/>
        </w:rPr>
      </w:pPr>
      <w:bookmarkStart w:id="30" w:name="_Toc32612"/>
      <w:r>
        <w:rPr>
          <w:rFonts w:hint="eastAsia"/>
          <w:lang w:val="en-US" w:eastAsia="zh-CN"/>
        </w:rPr>
        <w:t>附件:</w:t>
      </w:r>
      <w:bookmarkEnd w:id="30"/>
    </w:p>
    <w:p w14:paraId="1D01077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《员工离职申请表》</w:t>
      </w:r>
    </w:p>
    <w:p w14:paraId="305B726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《员工离职交接表》</w:t>
      </w:r>
    </w:p>
    <w:p w14:paraId="3B578C70">
      <w:pPr>
        <w:pStyle w:val="29"/>
        <w:keepLines w:val="0"/>
        <w:pageBreakBefore w:val="0"/>
        <w:widowControl/>
        <w:wordWrap/>
        <w:overflowPunct/>
        <w:bidi w:val="0"/>
        <w:rPr>
          <w:rFonts w:hint="eastAsia"/>
          <w:lang w:val="en-US" w:eastAsia="zh-CN"/>
        </w:rPr>
      </w:pPr>
      <w:bookmarkStart w:id="31" w:name="_Toc29801"/>
      <w:r>
        <w:rPr>
          <w:rFonts w:hint="eastAsia"/>
          <w:lang w:val="en-US" w:eastAsia="zh-CN"/>
        </w:rPr>
        <w:t>记录</w:t>
      </w:r>
      <w:bookmarkEnd w:id="31"/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2AFF" w:usb1="C200F9FB" w:usb2="00040020" w:usb3="00000000" w:csb0="6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6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9FB84DF6"/>
    <w:multiLevelType w:val="singleLevel"/>
    <w:tmpl w:val="9FB84DF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EDBA23F1"/>
    <w:multiLevelType w:val="singleLevel"/>
    <w:tmpl w:val="EDBA23F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F1557598"/>
    <w:multiLevelType w:val="singleLevel"/>
    <w:tmpl w:val="F155759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F54452EE"/>
    <w:multiLevelType w:val="singleLevel"/>
    <w:tmpl w:val="F54452E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08DB2521"/>
    <w:multiLevelType w:val="singleLevel"/>
    <w:tmpl w:val="08DB252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602D4418"/>
    <w:multiLevelType w:val="singleLevel"/>
    <w:tmpl w:val="602D441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739021FE"/>
    <w:multiLevelType w:val="singleLevel"/>
    <w:tmpl w:val="739021F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2105DD0"/>
    <w:rsid w:val="05C8669A"/>
    <w:rsid w:val="09615163"/>
    <w:rsid w:val="0B13248D"/>
    <w:rsid w:val="0B930577"/>
    <w:rsid w:val="0CD86FD7"/>
    <w:rsid w:val="0E4869E6"/>
    <w:rsid w:val="100912AD"/>
    <w:rsid w:val="104D4694"/>
    <w:rsid w:val="112A43FB"/>
    <w:rsid w:val="119775A7"/>
    <w:rsid w:val="152A7A45"/>
    <w:rsid w:val="15D44068"/>
    <w:rsid w:val="160F7CF5"/>
    <w:rsid w:val="167A1613"/>
    <w:rsid w:val="16C265E3"/>
    <w:rsid w:val="170C7BDF"/>
    <w:rsid w:val="1A264519"/>
    <w:rsid w:val="1AC27A2C"/>
    <w:rsid w:val="1B8D153C"/>
    <w:rsid w:val="1BE063BC"/>
    <w:rsid w:val="1CFA72C7"/>
    <w:rsid w:val="1D7B4B8F"/>
    <w:rsid w:val="1E360515"/>
    <w:rsid w:val="209179EB"/>
    <w:rsid w:val="21617F9F"/>
    <w:rsid w:val="26747E2C"/>
    <w:rsid w:val="27363334"/>
    <w:rsid w:val="279B1602"/>
    <w:rsid w:val="28862099"/>
    <w:rsid w:val="296511D8"/>
    <w:rsid w:val="2A0635A2"/>
    <w:rsid w:val="2B141C1D"/>
    <w:rsid w:val="2B9C4A12"/>
    <w:rsid w:val="2BC0763F"/>
    <w:rsid w:val="2D381E44"/>
    <w:rsid w:val="2F135073"/>
    <w:rsid w:val="2F4A02C4"/>
    <w:rsid w:val="301D1535"/>
    <w:rsid w:val="34034EE6"/>
    <w:rsid w:val="36F25E64"/>
    <w:rsid w:val="37626A98"/>
    <w:rsid w:val="37BF1626"/>
    <w:rsid w:val="384A559C"/>
    <w:rsid w:val="3A3D6832"/>
    <w:rsid w:val="3B6E533A"/>
    <w:rsid w:val="3C28373B"/>
    <w:rsid w:val="3C634773"/>
    <w:rsid w:val="3D156FFD"/>
    <w:rsid w:val="3D695DB9"/>
    <w:rsid w:val="3E7C0C45"/>
    <w:rsid w:val="3EAB0654"/>
    <w:rsid w:val="3F5A203E"/>
    <w:rsid w:val="410A1661"/>
    <w:rsid w:val="426B25D4"/>
    <w:rsid w:val="4613720A"/>
    <w:rsid w:val="461865CE"/>
    <w:rsid w:val="4642189D"/>
    <w:rsid w:val="471A69C9"/>
    <w:rsid w:val="47432D89"/>
    <w:rsid w:val="47E81FD1"/>
    <w:rsid w:val="4893018E"/>
    <w:rsid w:val="4AA3483E"/>
    <w:rsid w:val="4AD909E8"/>
    <w:rsid w:val="4B644252"/>
    <w:rsid w:val="4C013661"/>
    <w:rsid w:val="4C5C31D5"/>
    <w:rsid w:val="4ECA2430"/>
    <w:rsid w:val="54B725CE"/>
    <w:rsid w:val="54CD67D6"/>
    <w:rsid w:val="57AC16EE"/>
    <w:rsid w:val="5859544B"/>
    <w:rsid w:val="58956A46"/>
    <w:rsid w:val="58C8202C"/>
    <w:rsid w:val="5ADC59C5"/>
    <w:rsid w:val="5BBB7799"/>
    <w:rsid w:val="5BC619FD"/>
    <w:rsid w:val="5C717B35"/>
    <w:rsid w:val="5E133B7E"/>
    <w:rsid w:val="5E3B2A02"/>
    <w:rsid w:val="5E8425FB"/>
    <w:rsid w:val="608C7E04"/>
    <w:rsid w:val="60FF797D"/>
    <w:rsid w:val="62364D94"/>
    <w:rsid w:val="62853344"/>
    <w:rsid w:val="637B1AF3"/>
    <w:rsid w:val="67931B01"/>
    <w:rsid w:val="689A2A1B"/>
    <w:rsid w:val="69862A24"/>
    <w:rsid w:val="69B61AD7"/>
    <w:rsid w:val="6ADC556D"/>
    <w:rsid w:val="6B6421C7"/>
    <w:rsid w:val="6C734D97"/>
    <w:rsid w:val="6C7C0DB6"/>
    <w:rsid w:val="6FAC19B2"/>
    <w:rsid w:val="7148395C"/>
    <w:rsid w:val="71D074AE"/>
    <w:rsid w:val="72895FDA"/>
    <w:rsid w:val="72DC0914"/>
    <w:rsid w:val="75A330B3"/>
    <w:rsid w:val="7695113D"/>
    <w:rsid w:val="77020109"/>
    <w:rsid w:val="78CC6D3B"/>
    <w:rsid w:val="78DC469B"/>
    <w:rsid w:val="7A147095"/>
    <w:rsid w:val="7AF366E7"/>
    <w:rsid w:val="7B734B9C"/>
    <w:rsid w:val="7D1E37CD"/>
    <w:rsid w:val="7DD86C30"/>
    <w:rsid w:val="7E993157"/>
    <w:rsid w:val="7EC14D4E"/>
    <w:rsid w:val="7F45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3">
    <w:name w:val="Default Paragraph Font"/>
    <w:semiHidden/>
    <w:qFormat/>
    <w:uiPriority w:val="0"/>
  </w:style>
  <w:style w:type="table" w:default="1" w:styleId="2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0"/>
    <w:rPr>
      <w:rFonts w:ascii="Arial" w:hAnsi="Arial" w:eastAsia="黑体"/>
      <w:sz w:val="20"/>
    </w:rPr>
  </w:style>
  <w:style w:type="paragraph" w:styleId="12">
    <w:name w:val="annotation text"/>
    <w:basedOn w:val="1"/>
    <w:qFormat/>
    <w:uiPriority w:val="0"/>
    <w:pPr>
      <w:jc w:val="left"/>
    </w:pPr>
  </w:style>
  <w:style w:type="paragraph" w:styleId="13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4">
    <w:name w:val="toc 3"/>
    <w:basedOn w:val="1"/>
    <w:next w:val="1"/>
    <w:qFormat/>
    <w:uiPriority w:val="0"/>
    <w:pPr>
      <w:ind w:left="840" w:leftChars="400"/>
    </w:p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7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paragraph" w:styleId="19">
    <w:name w:val="Normal (Web)"/>
    <w:basedOn w:val="1"/>
    <w:qFormat/>
    <w:uiPriority w:val="0"/>
    <w:rPr>
      <w:sz w:val="24"/>
    </w:rPr>
  </w:style>
  <w:style w:type="paragraph" w:styleId="20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2">
    <w:name w:val="Table Grid"/>
    <w:basedOn w:val="2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Strong"/>
    <w:basedOn w:val="23"/>
    <w:qFormat/>
    <w:uiPriority w:val="0"/>
    <w:rPr>
      <w:b/>
    </w:rPr>
  </w:style>
  <w:style w:type="paragraph" w:customStyle="1" w:styleId="25">
    <w:name w:val="柴_公司名"/>
    <w:basedOn w:val="20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6">
    <w:name w:val="柴_文档名"/>
    <w:basedOn w:val="20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7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8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9">
    <w:name w:val="柴_标题1"/>
    <w:basedOn w:val="2"/>
    <w:next w:val="30"/>
    <w:link w:val="39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30">
    <w:name w:val="柴_正文"/>
    <w:basedOn w:val="13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1">
    <w:name w:val="柴_标题2"/>
    <w:basedOn w:val="3"/>
    <w:next w:val="30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2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3">
    <w:name w:val="柴_目录"/>
    <w:basedOn w:val="1"/>
    <w:next w:val="13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7">
    <w:name w:val="Compact"/>
    <w:basedOn w:val="13"/>
    <w:qFormat/>
    <w:uiPriority w:val="0"/>
    <w:pPr>
      <w:spacing w:before="36" w:after="36"/>
    </w:pPr>
  </w:style>
  <w:style w:type="table" w:customStyle="1" w:styleId="3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9">
    <w:name w:val="柴_标题1 Char"/>
    <w:link w:val="29"/>
    <w:qFormat/>
    <w:uiPriority w:val="0"/>
    <w:rPr>
      <w:rFonts w:ascii="Arial" w:hAnsi="Arial" w:eastAsia="宋体"/>
      <w:sz w:val="32"/>
    </w:rPr>
  </w:style>
  <w:style w:type="paragraph" w:customStyle="1" w:styleId="40">
    <w:name w:val="柴_表头"/>
    <w:basedOn w:val="11"/>
    <w:uiPriority w:val="0"/>
    <w:pPr>
      <w:spacing w:line="360" w:lineRule="auto"/>
      <w:ind w:firstLine="470" w:firstLineChars="200"/>
    </w:pPr>
    <w:rPr>
      <w:rFonts w:ascii="Arial" w:hAnsi="Arial" w:eastAsia="宋体"/>
      <w:b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1994</Words>
  <Characters>2101</Characters>
  <Lines>0</Lines>
  <Paragraphs>0</Paragraphs>
  <TotalTime>15</TotalTime>
  <ScaleCrop>false</ScaleCrop>
  <LinksUpToDate>false</LinksUpToDate>
  <CharactersWithSpaces>2141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2025-09-05T17:51:42Z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5907E7FAB05F4C5D98AD5B6FF89DAF02_13</vt:lpwstr>
  </property>
  <property fmtid="{D5CDD505-2E9C-101B-9397-08002B2CF9AE}" pid="4" name="KSOTemplateDocerSaveRecord">
    <vt:lpwstr>eyJoZGlkIjoiMDY5NmFjMmM4ZTljMGJiZDAxN2JmYTc0NGI0NmFiNDgiLCJ1c2VySWQiOiIxMDc1MzgyOSJ9</vt:lpwstr>
  </property>
</Properties>
</file>