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1" w:name="_GoBack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6"/>
        <w:keepLines w:val="0"/>
        <w:pageBreakBefore w:val="0"/>
        <w:wordWrap/>
        <w:overflowPunct/>
        <w:bidi w:val="0"/>
      </w:pPr>
      <w:bookmarkStart w:id="0" w:name="_Toc2066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7"/>
        <w:keepLines w:val="0"/>
        <w:pageBreakBefore w:val="0"/>
        <w:wordWrap/>
        <w:overflowPunct/>
        <w:bidi w:val="0"/>
        <w:rPr>
          <w:rFonts w:hint="default"/>
          <w:lang w:val="en-US"/>
        </w:rPr>
      </w:pPr>
      <w:bookmarkStart w:id="1" w:name="_Toc29823"/>
      <w:r>
        <w:rPr>
          <w:rFonts w:hint="eastAsia"/>
          <w:lang w:val="en-US" w:eastAsia="zh-CN"/>
        </w:rPr>
        <w:t>人员备份管理制度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keepLines w:val="0"/>
            <w:pageBreakBefore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2F08B70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10AF93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人员备份管理制度</w:t>
          </w:r>
          <w:r>
            <w:tab/>
          </w:r>
          <w:r>
            <w:fldChar w:fldCharType="begin"/>
          </w:r>
          <w:r>
            <w:instrText xml:space="preserve"> PAGEREF _Toc29823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2076E8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1DC89B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_Toc21789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95F0BE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_Toc4290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14B00E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1018F7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_Toc9812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A刚职责：</w:t>
          </w:r>
          <w:r>
            <w:tab/>
          </w:r>
          <w:r>
            <w:fldChar w:fldCharType="begin"/>
          </w:r>
          <w:r>
            <w:instrText xml:space="preserve"> PAGEREF _Toc9812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6B0453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B岗职责：</w:t>
          </w:r>
          <w:r>
            <w:tab/>
          </w:r>
          <w:r>
            <w:fldChar w:fldCharType="begin"/>
          </w:r>
          <w:r>
            <w:instrText xml:space="preserve"> PAGEREF _Toc1170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73B9BC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人员备份实施</w:t>
          </w:r>
          <w:r>
            <w:tab/>
          </w:r>
          <w:r>
            <w:fldChar w:fldCharType="begin"/>
          </w:r>
          <w:r>
            <w:instrText xml:space="preserve"> PAGEREF _Toc11782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495696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_Toc16845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备份人员选择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_Toc16845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00F18F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备份触发</w:t>
          </w:r>
          <w:r>
            <w:tab/>
          </w:r>
          <w:r>
            <w:fldChar w:fldCharType="begin"/>
          </w:r>
          <w:r>
            <w:instrText xml:space="preserve"> PAGEREF _Toc4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5D76DB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备份</w:t>
          </w:r>
          <w:r>
            <w:t>上岗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BA2AA9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_Toc17139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1FD03A">
          <w:pPr>
            <w:pStyle w:val="18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eastAsia"/>
              <w:lang w:val="en-US" w:eastAsia="zh-CN"/>
            </w:rPr>
            <w:t>备份考核</w:t>
          </w:r>
          <w:r>
            <w:tab/>
          </w:r>
          <w:r>
            <w:fldChar w:fldCharType="begin"/>
          </w:r>
          <w:r>
            <w:instrText xml:space="preserve"> PAGEREF _Toc13389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A52DC1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_Toc26857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73DC53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附件:</w:t>
          </w:r>
          <w:r>
            <w:tab/>
          </w:r>
          <w:r>
            <w:fldChar w:fldCharType="begin"/>
          </w:r>
          <w:r>
            <w:instrText xml:space="preserve"> PAGEREF _Toc8774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A8355F">
          <w:pPr>
            <w:pStyle w:val="16"/>
            <w:keepLines w:val="0"/>
            <w:pageBreakBefore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_Toc23823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keepLines w:val="0"/>
            <w:pageBreakBefore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keepLines w:val="0"/>
        <w:pageBreakBefore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30"/>
        <w:keepLines w:val="0"/>
        <w:pageBreakBefore w:val="0"/>
        <w:wordWrap/>
        <w:overflowPunct/>
        <w:bidi w:val="0"/>
      </w:pPr>
      <w:bookmarkStart w:id="2" w:name="_Toc27441"/>
      <w:r>
        <w:t>目的</w:t>
      </w:r>
      <w:bookmarkEnd w:id="2"/>
    </w:p>
    <w:p w14:paraId="3A8DAC24">
      <w:pPr>
        <w:pStyle w:val="31"/>
        <w:keepLines w:val="0"/>
        <w:pageBreakBefore w:val="0"/>
        <w:wordWrap/>
        <w:overflowPunct/>
        <w:bidi w:val="0"/>
      </w:pPr>
      <w:r>
        <w:t>为保证公司运维服务水平和运维服务可持续性，确保为客户提供连续可靠的服务，特制定本制度。</w:t>
      </w:r>
    </w:p>
    <w:p w14:paraId="2D240536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3" w:name="_Toc21789"/>
      <w:r>
        <w:rPr>
          <w:rFonts w:hint="eastAsia"/>
          <w:lang w:val="en-US" w:eastAsia="zh-CN"/>
        </w:rPr>
        <w:t>原则</w:t>
      </w:r>
      <w:bookmarkEnd w:id="3"/>
    </w:p>
    <w:p w14:paraId="267D3E58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</w:t>
      </w:r>
      <w:r>
        <w:rPr>
          <w:rStyle w:val="25"/>
        </w:rPr>
        <w:footnoteReference w:id="0"/>
      </w:r>
      <w:r>
        <w:t>。如：部门经理、项目经理等。</w:t>
      </w:r>
    </w:p>
    <w:p w14:paraId="0F4BC09A">
      <w:pPr>
        <w:pStyle w:val="31"/>
        <w:keepLines w:val="0"/>
        <w:pageBreakBefore w:val="0"/>
        <w:wordWrap/>
        <w:overflowPunct/>
        <w:bidi w:val="0"/>
      </w:pPr>
      <w:r>
        <w:t>本制度实行AB岗备份，即一项业务由A（主办）、B（协办）两岗共同兼顾，确保任一岗位缺位时工作仍能有序、高效运转。</w:t>
      </w:r>
    </w:p>
    <w:p w14:paraId="6BD52D84">
      <w:pPr>
        <w:pStyle w:val="30"/>
        <w:keepLines w:val="0"/>
        <w:pageBreakBefore w:val="0"/>
        <w:wordWrap/>
        <w:overflowPunct/>
        <w:bidi w:val="0"/>
      </w:pPr>
      <w:bookmarkStart w:id="4" w:name="_Toc4290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44111246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运维服务能力管理体系中相关关键岗位。如：部门经理、项目经理等。</w:t>
      </w:r>
    </w:p>
    <w:p w14:paraId="72F6781A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5" w:name="_Toc1861"/>
      <w:r>
        <w:rPr>
          <w:rFonts w:hint="eastAsia"/>
          <w:lang w:val="en-US" w:eastAsia="zh-CN"/>
        </w:rPr>
        <w:t>岗位职责</w:t>
      </w:r>
      <w:bookmarkEnd w:id="5"/>
    </w:p>
    <w:p w14:paraId="563F8B11">
      <w:pPr>
        <w:pStyle w:val="32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6" w:name="_Toc9812"/>
      <w:r>
        <w:rPr>
          <w:rFonts w:hint="eastAsia"/>
          <w:lang w:val="en-US" w:eastAsia="zh-CN"/>
        </w:rPr>
        <w:t>A刚职责：</w:t>
      </w:r>
      <w:bookmarkEnd w:id="6"/>
    </w:p>
    <w:p w14:paraId="1F650559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是本职工作的第一责任人</w:t>
      </w:r>
    </w:p>
    <w:p w14:paraId="43B752B3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负责向B岗主动传授业务知识、工作流程、操作技能和最新要求的职责</w:t>
      </w:r>
    </w:p>
    <w:p w14:paraId="5548BBB7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因为离岗前必须进行充分工作交接。</w:t>
      </w:r>
    </w:p>
    <w:p w14:paraId="2D5F1940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返回岗位后，对工作处理结果进行复核和确认。</w:t>
      </w:r>
    </w:p>
    <w:p w14:paraId="23025BA7">
      <w:pPr>
        <w:pStyle w:val="32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7" w:name="_Toc1170"/>
      <w:r>
        <w:rPr>
          <w:rFonts w:hint="eastAsia"/>
          <w:lang w:val="en-US" w:eastAsia="zh-CN"/>
        </w:rPr>
        <w:t>B岗职责：</w:t>
      </w:r>
      <w:bookmarkEnd w:id="7"/>
    </w:p>
    <w:p w14:paraId="5D6241A7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是本职工作的协办人与替补责任人。</w:t>
      </w:r>
    </w:p>
    <w:p w14:paraId="19AC5E88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主动学习A岗的业务知识和操作技能，熟悉A刚工作内容。</w:t>
      </w:r>
    </w:p>
    <w:p w14:paraId="2B74883D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A岗返岗后，进行巩固走交接。</w:t>
      </w:r>
    </w:p>
    <w:p w14:paraId="7E6E312E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8" w:name="_Toc11782"/>
      <w:r>
        <w:rPr>
          <w:rFonts w:hint="eastAsia"/>
          <w:lang w:val="en-US" w:eastAsia="zh-CN"/>
        </w:rPr>
        <w:t>人员备份实施</w:t>
      </w:r>
      <w:bookmarkEnd w:id="8"/>
    </w:p>
    <w:p w14:paraId="6BF33730">
      <w:pPr>
        <w:pStyle w:val="32"/>
        <w:keepLines w:val="0"/>
        <w:pageBreakBefore w:val="0"/>
        <w:wordWrap/>
        <w:overflowPunct/>
        <w:bidi w:val="0"/>
        <w:rPr>
          <w:rFonts w:hint="eastAsia"/>
          <w:lang w:eastAsia="zh-CN"/>
        </w:rPr>
      </w:pPr>
      <w:bookmarkStart w:id="9" w:name="_Toc16845"/>
      <w:r>
        <w:rPr>
          <w:rFonts w:hint="eastAsia"/>
          <w:lang w:val="en-US" w:eastAsia="zh-CN"/>
        </w:rPr>
        <w:t>备份人员选择</w:t>
      </w:r>
      <w:r>
        <w:rPr>
          <w:rFonts w:hint="eastAsia"/>
          <w:lang w:eastAsia="zh-CN"/>
        </w:rPr>
        <w:t>：</w:t>
      </w:r>
      <w:bookmarkEnd w:id="9"/>
    </w:p>
    <w:p w14:paraId="73D970BD">
      <w:pPr>
        <w:pStyle w:val="31"/>
        <w:keepLines w:val="0"/>
        <w:pageBreakBefore w:val="0"/>
        <w:wordWrap/>
        <w:overflowPunct/>
        <w:bidi w:val="0"/>
      </w:pPr>
      <w:r>
        <w:t>A岗的直接下属（优秀下属）、同级（同岗位）或者上级，对A岗主要业务及常规工作有一定的了解，能够在管时间内熟悉A岗工作。</w:t>
      </w:r>
    </w:p>
    <w:p w14:paraId="05B26869">
      <w:pPr>
        <w:pStyle w:val="32"/>
        <w:keepLines w:val="0"/>
        <w:pageBreakBefore w:val="0"/>
        <w:wordWrap/>
        <w:overflowPunct/>
        <w:bidi w:val="0"/>
      </w:pPr>
      <w:bookmarkStart w:id="10" w:name="_Toc4"/>
      <w:r>
        <w:t>备份触发</w:t>
      </w:r>
      <w:bookmarkEnd w:id="10"/>
    </w:p>
    <w:p w14:paraId="5B924793">
      <w:pPr>
        <w:pStyle w:val="31"/>
        <w:keepLines w:val="0"/>
        <w:pageBreakBefore w:val="0"/>
        <w:wordWrap/>
        <w:overflowPunct/>
        <w:bidi w:val="0"/>
      </w:pPr>
      <w:r>
        <w:t>A岗人员请假(≥5 天）及以上则触发该制度，A岗需要提前5天和对应B岗进行工作交接。且正式休假前3天在公司OA上发布备份通知，告知休假起止时间与备份人员姓名。当发生紧急情况，A岗电话告知 B开岗进行交接，B应主动承接 A岗职责。</w:t>
      </w:r>
    </w:p>
    <w:p w14:paraId="7235D09C">
      <w:pPr>
        <w:pStyle w:val="32"/>
        <w:keepLines w:val="0"/>
        <w:pageBreakBefore w:val="0"/>
        <w:wordWrap/>
        <w:overflowPunct/>
        <w:bidi w:val="0"/>
      </w:pPr>
      <w:bookmarkStart w:id="11" w:name="_Toc6893"/>
      <w:r>
        <w:rPr>
          <w:rFonts w:hint="eastAsia"/>
          <w:lang w:val="en-US" w:eastAsia="zh-CN"/>
        </w:rPr>
        <w:t>备份</w:t>
      </w:r>
      <w:r>
        <w:t>上岗</w:t>
      </w:r>
      <w:bookmarkEnd w:id="11"/>
    </w:p>
    <w:p w14:paraId="0739E0A2">
      <w:pPr>
        <w:pStyle w:val="31"/>
        <w:keepLines w:val="0"/>
        <w:pageBreakBefore w:val="0"/>
        <w:wordWrap/>
        <w:overflowPunct/>
        <w:bidi w:val="0"/>
      </w:pPr>
      <w:r>
        <w:t>在A正式休假后，B岗正式接任其工作，并对工作期间的工作结果负责。在此期间内，如遇到难以处理事项可向A岗本人或A岗上级进行咨询，A岗休假期间应保持电话的畅通。</w:t>
      </w:r>
    </w:p>
    <w:p w14:paraId="14A4B680">
      <w:pPr>
        <w:pStyle w:val="32"/>
        <w:keepLines w:val="0"/>
        <w:pageBreakBefore w:val="0"/>
        <w:wordWrap/>
        <w:overflowPunct/>
        <w:bidi w:val="0"/>
      </w:pPr>
      <w:bookmarkStart w:id="12" w:name="_Toc17139"/>
      <w:r>
        <w:t>工作交接</w:t>
      </w:r>
      <w:bookmarkEnd w:id="12"/>
    </w:p>
    <w:p w14:paraId="711C0905">
      <w:pPr>
        <w:pStyle w:val="31"/>
        <w:keepLines w:val="0"/>
        <w:pageBreakBefore w:val="0"/>
        <w:wordWrap/>
        <w:overflowPunct/>
        <w:bidi w:val="0"/>
      </w:pPr>
      <w:r>
        <w:t>休假时间结束，B岗应告知A岗，在岗期间处理工作的有关情况，并将有关文件资料移交A岗责任人。</w:t>
      </w:r>
    </w:p>
    <w:p w14:paraId="4C23820B">
      <w:pPr>
        <w:pStyle w:val="32"/>
        <w:keepLines w:val="0"/>
        <w:pageBreakBefore w:val="0"/>
        <w:wordWrap/>
        <w:overflowPunct/>
        <w:bidi w:val="0"/>
      </w:pPr>
      <w:bookmarkStart w:id="13" w:name="bookmark5"/>
      <w:bookmarkEnd w:id="13"/>
      <w:bookmarkStart w:id="14" w:name="_Toc13389"/>
      <w:r>
        <w:rPr>
          <w:rFonts w:hint="eastAsia"/>
          <w:lang w:val="en-US" w:eastAsia="zh-CN"/>
        </w:rPr>
        <w:t>备份考核</w:t>
      </w:r>
      <w:bookmarkEnd w:id="14"/>
    </w:p>
    <w:p w14:paraId="2E390207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</w:pPr>
      <w:r>
        <w:t>将AB岗责任人合作和配合情况纳入年度考核内容，A岗责任人离开岗位未及时交代 B岗位责任人，影响工作的将追究A岗责任人的责任</w:t>
      </w:r>
      <w:r>
        <w:rPr>
          <w:rFonts w:hint="eastAsia"/>
          <w:lang w:eastAsia="zh-CN"/>
        </w:rPr>
        <w:t>。</w:t>
      </w:r>
    </w:p>
    <w:p w14:paraId="642F83F0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 w:eastAsia="宋体"/>
          <w:lang w:val="en-US" w:eastAsia="zh-CN"/>
        </w:rPr>
      </w:pPr>
      <w:r>
        <w:t>B岗责任人在顶岗期间出现问题的，追究B岗责任人责任；造成不良后果，出现客户投诉的，按目标责任管理有关规定追究相关负责人和相关人员</w:t>
      </w:r>
      <w:r>
        <w:rPr>
          <w:rFonts w:hint="eastAsia"/>
          <w:lang w:val="en-US" w:eastAsia="zh-CN"/>
        </w:rPr>
        <w:t>的责任</w:t>
      </w:r>
      <w:r>
        <w:rPr>
          <w:rFonts w:hint="eastAsia" w:ascii="宋体" w:hAnsi="宋体" w:cs="宋体"/>
          <w:szCs w:val="24"/>
          <w:lang w:val="en-US" w:eastAsia="zh-CN"/>
        </w:rPr>
        <w:t>。</w:t>
      </w:r>
    </w:p>
    <w:p w14:paraId="493E2718">
      <w:pPr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7424"/>
      <w:r>
        <w:rPr>
          <w:rStyle w:val="40"/>
          <w:rFonts w:hint="eastAsia" w:eastAsia="宋体"/>
          <w:lang w:val="en-US" w:eastAsia="zh-CN"/>
        </w:rPr>
        <w:br w:type="page"/>
      </w:r>
    </w:p>
    <w:p w14:paraId="1292F1DE">
      <w:pPr>
        <w:pStyle w:val="30"/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7" w:name="_Toc26857"/>
      <w:r>
        <w:rPr>
          <w:rStyle w:val="40"/>
          <w:rFonts w:hint="eastAsia" w:eastAsia="宋体"/>
          <w:lang w:val="en-US" w:eastAsia="zh-CN"/>
        </w:rPr>
        <w:t>附则</w:t>
      </w:r>
      <w:bookmarkEnd w:id="16"/>
      <w:bookmarkEnd w:id="17"/>
    </w:p>
    <w:p w14:paraId="02F24E85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3FBC62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18" w:name="bookmark14"/>
      <w:bookmarkEnd w:id="18"/>
      <w:bookmarkStart w:id="19" w:name="_Toc8774"/>
      <w:r>
        <w:rPr>
          <w:rFonts w:hint="eastAsia"/>
          <w:lang w:val="en-US" w:eastAsia="zh-CN"/>
        </w:rPr>
        <w:t>附件</w:t>
      </w:r>
      <w:bookmarkEnd w:id="19"/>
    </w:p>
    <w:p w14:paraId="06E52877">
      <w:pPr>
        <w:pStyle w:val="31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20" w:name="_Toc23823"/>
      <w:r>
        <w:rPr>
          <w:rFonts w:hint="eastAsia"/>
          <w:lang w:val="en-US" w:eastAsia="zh-CN"/>
        </w:rPr>
        <w:t>记录</w:t>
      </w:r>
      <w:bookmarkEnd w:id="20"/>
    </w:p>
    <w:p w14:paraId="559BA82F">
      <w:pPr>
        <w:keepLines w:val="0"/>
        <w:pageBreakBefore w:val="0"/>
        <w:numPr>
          <w:ilvl w:val="0"/>
          <w:numId w:val="6"/>
        </w:numPr>
        <w:wordWrap/>
        <w:overflowPunct/>
        <w:bidi w:val="0"/>
        <w:spacing w:before="240" w:line="219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《关键岗位备份清单》</w:t>
      </w:r>
    </w:p>
    <w:bookmarkEnd w:id="21"/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 w14:paraId="5E76C05B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关键岗位是指对公司生产经营业务的稳定运行、公司经营收益的增长有着重要作用的岗位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24FB1A8"/>
    <w:multiLevelType w:val="singleLevel"/>
    <w:tmpl w:val="F24FB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5114914"/>
    <w:multiLevelType w:val="singleLevel"/>
    <w:tmpl w:val="151149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C68FD48"/>
    <w:multiLevelType w:val="singleLevel"/>
    <w:tmpl w:val="1C68F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FCAB04D"/>
    <w:multiLevelType w:val="singleLevel"/>
    <w:tmpl w:val="2FCAB0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187AC6"/>
    <w:rsid w:val="01320B3E"/>
    <w:rsid w:val="02105DD0"/>
    <w:rsid w:val="03E47515"/>
    <w:rsid w:val="04D00CBB"/>
    <w:rsid w:val="04D2164A"/>
    <w:rsid w:val="05573D16"/>
    <w:rsid w:val="05C8669A"/>
    <w:rsid w:val="073267E9"/>
    <w:rsid w:val="07BE007D"/>
    <w:rsid w:val="08055CAB"/>
    <w:rsid w:val="09615163"/>
    <w:rsid w:val="09D246FF"/>
    <w:rsid w:val="09EA091C"/>
    <w:rsid w:val="0B13248D"/>
    <w:rsid w:val="0B930577"/>
    <w:rsid w:val="0CA84E57"/>
    <w:rsid w:val="0E4869E6"/>
    <w:rsid w:val="0ED4568F"/>
    <w:rsid w:val="100912AD"/>
    <w:rsid w:val="104D4694"/>
    <w:rsid w:val="108005C5"/>
    <w:rsid w:val="112A43FB"/>
    <w:rsid w:val="11365128"/>
    <w:rsid w:val="119775A7"/>
    <w:rsid w:val="11DA3C43"/>
    <w:rsid w:val="14643D5A"/>
    <w:rsid w:val="14BF5434"/>
    <w:rsid w:val="15A348B0"/>
    <w:rsid w:val="160F7CF5"/>
    <w:rsid w:val="167A1613"/>
    <w:rsid w:val="16C265E3"/>
    <w:rsid w:val="170C7BDF"/>
    <w:rsid w:val="17DB07D7"/>
    <w:rsid w:val="183B2D14"/>
    <w:rsid w:val="19241D0A"/>
    <w:rsid w:val="193A152D"/>
    <w:rsid w:val="1A004525"/>
    <w:rsid w:val="1A264519"/>
    <w:rsid w:val="1AC27A2C"/>
    <w:rsid w:val="1B290899"/>
    <w:rsid w:val="1B8D153C"/>
    <w:rsid w:val="1B9413C8"/>
    <w:rsid w:val="1C0E76DE"/>
    <w:rsid w:val="1CFA72C7"/>
    <w:rsid w:val="1D7B4B8F"/>
    <w:rsid w:val="1E360515"/>
    <w:rsid w:val="1F271230"/>
    <w:rsid w:val="209179EB"/>
    <w:rsid w:val="214C004F"/>
    <w:rsid w:val="21617F9F"/>
    <w:rsid w:val="21AF0D0A"/>
    <w:rsid w:val="22145011"/>
    <w:rsid w:val="22492E07"/>
    <w:rsid w:val="24F42ED8"/>
    <w:rsid w:val="250E590D"/>
    <w:rsid w:val="25C36217"/>
    <w:rsid w:val="260E1F1E"/>
    <w:rsid w:val="26747E2C"/>
    <w:rsid w:val="27363334"/>
    <w:rsid w:val="275F6D2E"/>
    <w:rsid w:val="279B1602"/>
    <w:rsid w:val="28862099"/>
    <w:rsid w:val="28C17575"/>
    <w:rsid w:val="29453D02"/>
    <w:rsid w:val="296511D8"/>
    <w:rsid w:val="299D58EC"/>
    <w:rsid w:val="2A0635A2"/>
    <w:rsid w:val="2B141C1D"/>
    <w:rsid w:val="2B2654FC"/>
    <w:rsid w:val="2B9C4A12"/>
    <w:rsid w:val="2BC0763F"/>
    <w:rsid w:val="2BFB2D9E"/>
    <w:rsid w:val="2D381E44"/>
    <w:rsid w:val="2E516CA5"/>
    <w:rsid w:val="2E9D013C"/>
    <w:rsid w:val="2F135073"/>
    <w:rsid w:val="2F4A02C4"/>
    <w:rsid w:val="2FF80E15"/>
    <w:rsid w:val="301D1535"/>
    <w:rsid w:val="30C2583B"/>
    <w:rsid w:val="330E011C"/>
    <w:rsid w:val="33896EE1"/>
    <w:rsid w:val="34034EE6"/>
    <w:rsid w:val="35A151FA"/>
    <w:rsid w:val="366559E4"/>
    <w:rsid w:val="36785717"/>
    <w:rsid w:val="36E556BA"/>
    <w:rsid w:val="36F25E64"/>
    <w:rsid w:val="37BF1626"/>
    <w:rsid w:val="384A559C"/>
    <w:rsid w:val="3A3D6832"/>
    <w:rsid w:val="3B6E533A"/>
    <w:rsid w:val="3B950B19"/>
    <w:rsid w:val="3C28373B"/>
    <w:rsid w:val="3C634773"/>
    <w:rsid w:val="3D156FFD"/>
    <w:rsid w:val="3D695DB9"/>
    <w:rsid w:val="3E7C0C45"/>
    <w:rsid w:val="3EAB0654"/>
    <w:rsid w:val="3F5A203E"/>
    <w:rsid w:val="402C7BDB"/>
    <w:rsid w:val="40A77E98"/>
    <w:rsid w:val="40BA19C5"/>
    <w:rsid w:val="410A1661"/>
    <w:rsid w:val="41566655"/>
    <w:rsid w:val="41C07F72"/>
    <w:rsid w:val="426B25D4"/>
    <w:rsid w:val="43A318F9"/>
    <w:rsid w:val="43F65346"/>
    <w:rsid w:val="4613720A"/>
    <w:rsid w:val="461865CE"/>
    <w:rsid w:val="4642189D"/>
    <w:rsid w:val="46484442"/>
    <w:rsid w:val="471A69C9"/>
    <w:rsid w:val="47432D89"/>
    <w:rsid w:val="47E81FD1"/>
    <w:rsid w:val="4893018E"/>
    <w:rsid w:val="492B486B"/>
    <w:rsid w:val="49370211"/>
    <w:rsid w:val="4A3416AD"/>
    <w:rsid w:val="4A7D4C52"/>
    <w:rsid w:val="4AA3483E"/>
    <w:rsid w:val="4AC42881"/>
    <w:rsid w:val="4ACC5A3F"/>
    <w:rsid w:val="4AD909E8"/>
    <w:rsid w:val="4B4D6D1A"/>
    <w:rsid w:val="4B644252"/>
    <w:rsid w:val="4C013661"/>
    <w:rsid w:val="4C0472C6"/>
    <w:rsid w:val="4C2228A7"/>
    <w:rsid w:val="4C5B0FC3"/>
    <w:rsid w:val="4E236172"/>
    <w:rsid w:val="4ECA2430"/>
    <w:rsid w:val="4F540134"/>
    <w:rsid w:val="4F6E45B4"/>
    <w:rsid w:val="4F7E3CB9"/>
    <w:rsid w:val="51DA6E3C"/>
    <w:rsid w:val="535F3A8F"/>
    <w:rsid w:val="548D25DB"/>
    <w:rsid w:val="54B725CE"/>
    <w:rsid w:val="54CD67D6"/>
    <w:rsid w:val="550C2144"/>
    <w:rsid w:val="577E46FF"/>
    <w:rsid w:val="57AC16EE"/>
    <w:rsid w:val="57B95132"/>
    <w:rsid w:val="5859544B"/>
    <w:rsid w:val="58956A46"/>
    <w:rsid w:val="589A10C5"/>
    <w:rsid w:val="58C8202C"/>
    <w:rsid w:val="5ADC59C5"/>
    <w:rsid w:val="5BBB7799"/>
    <w:rsid w:val="5BC619FD"/>
    <w:rsid w:val="5BD012F7"/>
    <w:rsid w:val="5BDC37A3"/>
    <w:rsid w:val="5C097DDA"/>
    <w:rsid w:val="5C717B35"/>
    <w:rsid w:val="5DBB4356"/>
    <w:rsid w:val="5E133B7E"/>
    <w:rsid w:val="5E3B2A02"/>
    <w:rsid w:val="5E3D3BE5"/>
    <w:rsid w:val="5E8425FB"/>
    <w:rsid w:val="5F204A4A"/>
    <w:rsid w:val="5F46740F"/>
    <w:rsid w:val="608C7E04"/>
    <w:rsid w:val="60FF797D"/>
    <w:rsid w:val="62364D94"/>
    <w:rsid w:val="62853344"/>
    <w:rsid w:val="62974752"/>
    <w:rsid w:val="62A50D92"/>
    <w:rsid w:val="637B1AF3"/>
    <w:rsid w:val="63862972"/>
    <w:rsid w:val="63A177AC"/>
    <w:rsid w:val="647E15C0"/>
    <w:rsid w:val="654B3E73"/>
    <w:rsid w:val="65DF6900"/>
    <w:rsid w:val="65F22540"/>
    <w:rsid w:val="66303069"/>
    <w:rsid w:val="67931B01"/>
    <w:rsid w:val="689A2A1B"/>
    <w:rsid w:val="69186AFD"/>
    <w:rsid w:val="69862A24"/>
    <w:rsid w:val="69A6630B"/>
    <w:rsid w:val="69B61AD7"/>
    <w:rsid w:val="6A334ED5"/>
    <w:rsid w:val="6A3D7B02"/>
    <w:rsid w:val="6ADC556D"/>
    <w:rsid w:val="6AED777A"/>
    <w:rsid w:val="6B6421C7"/>
    <w:rsid w:val="6BB519BC"/>
    <w:rsid w:val="6C7C0DB6"/>
    <w:rsid w:val="6EFF7A7C"/>
    <w:rsid w:val="6F2E0C37"/>
    <w:rsid w:val="6F3256CC"/>
    <w:rsid w:val="6F3941EE"/>
    <w:rsid w:val="711710AD"/>
    <w:rsid w:val="7148395C"/>
    <w:rsid w:val="71D074AE"/>
    <w:rsid w:val="72895FDA"/>
    <w:rsid w:val="72DC0914"/>
    <w:rsid w:val="747E1443"/>
    <w:rsid w:val="75957371"/>
    <w:rsid w:val="7695113D"/>
    <w:rsid w:val="76F8372F"/>
    <w:rsid w:val="77020109"/>
    <w:rsid w:val="78CC6D3B"/>
    <w:rsid w:val="78DC469B"/>
    <w:rsid w:val="7A147095"/>
    <w:rsid w:val="7A293DDD"/>
    <w:rsid w:val="7AF366E7"/>
    <w:rsid w:val="7B734B9C"/>
    <w:rsid w:val="7D1E37CD"/>
    <w:rsid w:val="7DC355E9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1050</Words>
  <Characters>1147</Characters>
  <Lines>0</Lines>
  <Paragraphs>0</Paragraphs>
  <TotalTime>0</TotalTime>
  <ScaleCrop>false</ScaleCrop>
  <LinksUpToDate>false</LinksUpToDate>
  <CharactersWithSpaces>1221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2025-09-05T17:15:45Z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