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17F716">
      <w:pPr>
        <w:keepLines w:val="0"/>
        <w:pageBreakBefore w:val="0"/>
        <w:wordWrap/>
        <w:overflowPunct/>
        <w:bidi w:val="0"/>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5</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w:t>
      </w:r>
      <w:r>
        <w:rPr>
          <w:rFonts w:hint="eastAsia" w:ascii="宋体" w:hAnsi="宋体" w:cs="宋体"/>
          <w:b/>
          <w:bCs/>
          <w:spacing w:val="-3"/>
          <w:sz w:val="24"/>
          <w:szCs w:val="24"/>
          <w:lang w:val="en-US" w:eastAsia="zh-CN"/>
        </w:rPr>
        <w:t>7</w:t>
      </w:r>
    </w:p>
    <w:p w14:paraId="7F168FAE">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3F59AA4C">
      <w:pPr>
        <w:pStyle w:val="24"/>
        <w:keepLines w:val="0"/>
        <w:pageBreakBefore w:val="0"/>
        <w:wordWrap/>
        <w:overflowPunct/>
        <w:bidi w:val="0"/>
      </w:pPr>
      <w:bookmarkStart w:id="0" w:name="_Toc15955"/>
      <w:r>
        <w:rPr>
          <w:rFonts w:hint="eastAsia"/>
          <w:lang w:val="en-US" w:eastAsia="zh-CN"/>
        </w:rPr>
        <w:t>万洲奇智（青岛）信息科技有限</w:t>
      </w:r>
      <w:r>
        <w:t>公司</w:t>
      </w:r>
      <w:bookmarkEnd w:id="0"/>
    </w:p>
    <w:p w14:paraId="27A60D87">
      <w:pPr>
        <w:pStyle w:val="25"/>
        <w:keepLines w:val="0"/>
        <w:pageBreakBefore w:val="0"/>
        <w:wordWrap/>
        <w:overflowPunct/>
        <w:bidi w:val="0"/>
        <w:rPr>
          <w:rFonts w:hint="default"/>
          <w:lang w:val="en-US"/>
        </w:rPr>
      </w:pPr>
      <w:bookmarkStart w:id="1" w:name="_Toc23465"/>
      <w:r>
        <w:rPr>
          <w:rFonts w:hint="eastAsia"/>
          <w:lang w:val="en-US" w:eastAsia="zh-CN"/>
        </w:rPr>
        <w:t>人员绩效考核管理制度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157418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1F481250">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fitText w:val="630" w:id="791884271"/>
                <w:vertAlign w:val="baseline"/>
                <w:lang w:val="en-US" w:eastAsia="zh-CN"/>
              </w:rPr>
              <w:t>王</w:t>
            </w:r>
            <w:r>
              <w:rPr>
                <w:rFonts w:hint="eastAsia"/>
                <w:spacing w:val="0"/>
                <w:kern w:val="0"/>
                <w:u w:val="single"/>
                <w:fitText w:val="630" w:id="791884271"/>
                <w:vertAlign w:val="baseline"/>
                <w:lang w:val="en-US" w:eastAsia="zh-CN"/>
              </w:rPr>
              <w:t>琼</w:t>
            </w:r>
          </w:p>
        </w:tc>
        <w:tc>
          <w:tcPr>
            <w:tcW w:w="4261" w:type="dxa"/>
          </w:tcPr>
          <w:p w14:paraId="77084F85">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07C22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384C638B">
            <w:pPr>
              <w:keepLines w:val="0"/>
              <w:pageBreakBefore w:val="0"/>
              <w:widowControl w:val="0"/>
              <w:wordWrap/>
              <w:overflow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00ADFD39">
            <w:pPr>
              <w:keepLines w:val="0"/>
              <w:pageBreakBefore w:val="0"/>
              <w:widowControl w:val="0"/>
              <w:wordWrap/>
              <w:overflow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5C6B92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69ECB56B">
            <w:pPr>
              <w:keepLines w:val="0"/>
              <w:pageBreakBefore w:val="0"/>
              <w:widowControl w:val="0"/>
              <w:wordWrap/>
              <w:overflowPunct/>
              <w:bidi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4AD8271F">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BC6D899">
      <w:pPr>
        <w:keepLines w:val="0"/>
        <w:pageBreakBefore w:val="0"/>
        <w:wordWrap/>
        <w:overflowPunct/>
        <w:bidi w:val="0"/>
      </w:pPr>
      <w:r>
        <w:br w:type="page"/>
      </w:r>
    </w:p>
    <w:p w14:paraId="6E71817A">
      <w:pPr>
        <w:keepLines w:val="0"/>
        <w:pageBreakBefore w:val="0"/>
        <w:wordWrap/>
        <w:overflowPunct/>
        <w:bidi w:val="0"/>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68806CC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20EE6831">
            <w:pPr>
              <w:keepLines w:val="0"/>
              <w:pageBreakBefore w:val="0"/>
              <w:wordWrap/>
              <w:overflowPunct/>
              <w:bidi w:val="0"/>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1FF74BDF">
            <w:pPr>
              <w:keepLines w:val="0"/>
              <w:pageBreakBefore w:val="0"/>
              <w:wordWrap/>
              <w:overflowPunct/>
              <w:bidi w:val="0"/>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41D2DC47">
            <w:pPr>
              <w:keepLines w:val="0"/>
              <w:pageBreakBefore w:val="0"/>
              <w:wordWrap/>
              <w:overflowPunct/>
              <w:bidi w:val="0"/>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0E61F52A">
            <w:pPr>
              <w:keepLines w:val="0"/>
              <w:pageBreakBefore w:val="0"/>
              <w:wordWrap/>
              <w:overflowPunct/>
              <w:bidi w:val="0"/>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40DB98AC">
            <w:pPr>
              <w:keepLines w:val="0"/>
              <w:pageBreakBefore w:val="0"/>
              <w:wordWrap/>
              <w:overflowPunct/>
              <w:bidi w:val="0"/>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0BB5721B">
            <w:pPr>
              <w:keepLines w:val="0"/>
              <w:pageBreakBefore w:val="0"/>
              <w:wordWrap/>
              <w:overflowPunct/>
              <w:bidi w:val="0"/>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775C5C4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7670AEF3">
            <w:pPr>
              <w:keepLines w:val="0"/>
              <w:pageBreakBefore w:val="0"/>
              <w:wordWrap/>
              <w:overflowPunct/>
              <w:bidi w:val="0"/>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6095B67B">
            <w:pPr>
              <w:keepLines w:val="0"/>
              <w:pageBreakBefore w:val="0"/>
              <w:wordWrap/>
              <w:overflowPunct/>
              <w:bidi w:val="0"/>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2E63616C">
            <w:pPr>
              <w:keepLines w:val="0"/>
              <w:pageBreakBefore w:val="0"/>
              <w:wordWrap/>
              <w:overflowPunct/>
              <w:bidi w:val="0"/>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302A9E5F">
            <w:pPr>
              <w:keepLines w:val="0"/>
              <w:pageBreakBefore w:val="0"/>
              <w:wordWrap/>
              <w:overflowPunct/>
              <w:bidi w:val="0"/>
              <w:spacing w:before="172" w:line="228" w:lineRule="auto"/>
              <w:ind w:left="313"/>
              <w:rPr>
                <w:rFonts w:ascii="宋体" w:hAnsi="宋体" w:eastAsia="宋体" w:cs="宋体"/>
                <w:sz w:val="20"/>
                <w:szCs w:val="20"/>
              </w:rPr>
            </w:pPr>
            <w:r>
              <w:rPr>
                <w:rFonts w:hint="eastAsia"/>
                <w:spacing w:val="105"/>
                <w:kern w:val="0"/>
                <w:u w:val="none"/>
                <w:fitText w:val="630" w:id="791884271"/>
                <w:vertAlign w:val="baseline"/>
                <w:lang w:val="en-US" w:eastAsia="zh-CN"/>
              </w:rPr>
              <w:t>王</w:t>
            </w:r>
            <w:r>
              <w:rPr>
                <w:rFonts w:hint="eastAsia"/>
                <w:spacing w:val="0"/>
                <w:kern w:val="0"/>
                <w:u w:val="none"/>
                <w:fitText w:val="630" w:id="791884271"/>
                <w:vertAlign w:val="baseline"/>
                <w:lang w:val="en-US" w:eastAsia="zh-CN"/>
              </w:rPr>
              <w:t>琼</w:t>
            </w:r>
          </w:p>
        </w:tc>
        <w:tc>
          <w:tcPr>
            <w:tcW w:w="1150" w:type="dxa"/>
          </w:tcPr>
          <w:p w14:paraId="38F2DF3A">
            <w:pPr>
              <w:keepLines w:val="0"/>
              <w:pageBreakBefore w:val="0"/>
              <w:wordWrap/>
              <w:overflowPunct/>
              <w:bidi w:val="0"/>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28E60962">
            <w:pPr>
              <w:keepLines w:val="0"/>
              <w:pageBreakBefore w:val="0"/>
              <w:wordWrap/>
              <w:overflowPunct/>
              <w:bidi w:val="0"/>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5D277CA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12F6954C">
            <w:pPr>
              <w:pStyle w:val="27"/>
              <w:keepLines w:val="0"/>
              <w:pageBreakBefore w:val="0"/>
              <w:wordWrap/>
              <w:overflowPunct/>
              <w:bidi w:val="0"/>
            </w:pPr>
          </w:p>
        </w:tc>
        <w:tc>
          <w:tcPr>
            <w:tcW w:w="919" w:type="dxa"/>
          </w:tcPr>
          <w:p w14:paraId="7F1F0836">
            <w:pPr>
              <w:pStyle w:val="27"/>
              <w:keepLines w:val="0"/>
              <w:pageBreakBefore w:val="0"/>
              <w:wordWrap/>
              <w:overflowPunct/>
              <w:bidi w:val="0"/>
            </w:pPr>
          </w:p>
        </w:tc>
        <w:tc>
          <w:tcPr>
            <w:tcW w:w="2289" w:type="dxa"/>
          </w:tcPr>
          <w:p w14:paraId="43924502">
            <w:pPr>
              <w:pStyle w:val="27"/>
              <w:keepLines w:val="0"/>
              <w:pageBreakBefore w:val="0"/>
              <w:wordWrap/>
              <w:overflowPunct/>
              <w:bidi w:val="0"/>
            </w:pPr>
          </w:p>
        </w:tc>
        <w:tc>
          <w:tcPr>
            <w:tcW w:w="1148" w:type="dxa"/>
          </w:tcPr>
          <w:p w14:paraId="2E20D551">
            <w:pPr>
              <w:keepLines w:val="0"/>
              <w:pageBreakBefore w:val="0"/>
              <w:wordWrap/>
              <w:overflowPunct/>
              <w:bidi w:val="0"/>
              <w:spacing w:before="172" w:line="228" w:lineRule="auto"/>
              <w:ind w:left="313"/>
            </w:pPr>
          </w:p>
        </w:tc>
        <w:tc>
          <w:tcPr>
            <w:tcW w:w="1150" w:type="dxa"/>
          </w:tcPr>
          <w:p w14:paraId="07031CED">
            <w:pPr>
              <w:keepLines w:val="0"/>
              <w:pageBreakBefore w:val="0"/>
              <w:wordWrap/>
              <w:overflowPunct/>
              <w:bidi w:val="0"/>
              <w:spacing w:before="172" w:line="228" w:lineRule="auto"/>
              <w:ind w:left="313"/>
            </w:pPr>
          </w:p>
        </w:tc>
        <w:tc>
          <w:tcPr>
            <w:tcW w:w="1240" w:type="dxa"/>
          </w:tcPr>
          <w:p w14:paraId="246C563C">
            <w:pPr>
              <w:pStyle w:val="27"/>
              <w:keepLines w:val="0"/>
              <w:pageBreakBefore w:val="0"/>
              <w:wordWrap/>
              <w:overflowPunct/>
              <w:bidi w:val="0"/>
            </w:pPr>
          </w:p>
        </w:tc>
      </w:tr>
      <w:tr w14:paraId="266CCB4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618EE2F6">
            <w:pPr>
              <w:pStyle w:val="27"/>
              <w:keepLines w:val="0"/>
              <w:pageBreakBefore w:val="0"/>
              <w:wordWrap/>
              <w:overflowPunct/>
              <w:bidi w:val="0"/>
            </w:pPr>
          </w:p>
        </w:tc>
        <w:tc>
          <w:tcPr>
            <w:tcW w:w="919" w:type="dxa"/>
          </w:tcPr>
          <w:p w14:paraId="6F2011DA">
            <w:pPr>
              <w:pStyle w:val="27"/>
              <w:keepLines w:val="0"/>
              <w:pageBreakBefore w:val="0"/>
              <w:wordWrap/>
              <w:overflowPunct/>
              <w:bidi w:val="0"/>
            </w:pPr>
          </w:p>
        </w:tc>
        <w:tc>
          <w:tcPr>
            <w:tcW w:w="2289" w:type="dxa"/>
          </w:tcPr>
          <w:p w14:paraId="37BC03F3">
            <w:pPr>
              <w:pStyle w:val="27"/>
              <w:keepLines w:val="0"/>
              <w:pageBreakBefore w:val="0"/>
              <w:wordWrap/>
              <w:overflowPunct/>
              <w:bidi w:val="0"/>
            </w:pPr>
          </w:p>
        </w:tc>
        <w:tc>
          <w:tcPr>
            <w:tcW w:w="1148" w:type="dxa"/>
          </w:tcPr>
          <w:p w14:paraId="5F3EF561">
            <w:pPr>
              <w:keepLines w:val="0"/>
              <w:pageBreakBefore w:val="0"/>
              <w:wordWrap/>
              <w:overflowPunct/>
              <w:bidi w:val="0"/>
              <w:spacing w:before="173" w:line="229" w:lineRule="auto"/>
              <w:ind w:left="314"/>
            </w:pPr>
          </w:p>
        </w:tc>
        <w:tc>
          <w:tcPr>
            <w:tcW w:w="1150" w:type="dxa"/>
          </w:tcPr>
          <w:p w14:paraId="20FE9B84">
            <w:pPr>
              <w:keepLines w:val="0"/>
              <w:pageBreakBefore w:val="0"/>
              <w:wordWrap/>
              <w:overflowPunct/>
              <w:bidi w:val="0"/>
              <w:spacing w:before="173" w:line="229" w:lineRule="auto"/>
              <w:ind w:left="314"/>
            </w:pPr>
          </w:p>
        </w:tc>
        <w:tc>
          <w:tcPr>
            <w:tcW w:w="1240" w:type="dxa"/>
          </w:tcPr>
          <w:p w14:paraId="40F5E232">
            <w:pPr>
              <w:pStyle w:val="27"/>
              <w:keepLines w:val="0"/>
              <w:pageBreakBefore w:val="0"/>
              <w:wordWrap/>
              <w:overflowPunct/>
              <w:bidi w:val="0"/>
            </w:pPr>
          </w:p>
        </w:tc>
      </w:tr>
      <w:tr w14:paraId="03C7C3E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19F828E1">
            <w:pPr>
              <w:pStyle w:val="27"/>
              <w:keepLines w:val="0"/>
              <w:pageBreakBefore w:val="0"/>
              <w:wordWrap/>
              <w:overflowPunct/>
              <w:bidi w:val="0"/>
            </w:pPr>
          </w:p>
        </w:tc>
        <w:tc>
          <w:tcPr>
            <w:tcW w:w="919" w:type="dxa"/>
          </w:tcPr>
          <w:p w14:paraId="63BA9AA2">
            <w:pPr>
              <w:pStyle w:val="27"/>
              <w:keepLines w:val="0"/>
              <w:pageBreakBefore w:val="0"/>
              <w:wordWrap/>
              <w:overflowPunct/>
              <w:bidi w:val="0"/>
            </w:pPr>
          </w:p>
        </w:tc>
        <w:tc>
          <w:tcPr>
            <w:tcW w:w="2289" w:type="dxa"/>
          </w:tcPr>
          <w:p w14:paraId="21920F28">
            <w:pPr>
              <w:pStyle w:val="27"/>
              <w:keepLines w:val="0"/>
              <w:pageBreakBefore w:val="0"/>
              <w:wordWrap/>
              <w:overflowPunct/>
              <w:bidi w:val="0"/>
            </w:pPr>
          </w:p>
        </w:tc>
        <w:tc>
          <w:tcPr>
            <w:tcW w:w="1148" w:type="dxa"/>
          </w:tcPr>
          <w:p w14:paraId="5693ADD9">
            <w:pPr>
              <w:pStyle w:val="27"/>
              <w:keepLines w:val="0"/>
              <w:pageBreakBefore w:val="0"/>
              <w:wordWrap/>
              <w:overflowPunct/>
              <w:bidi w:val="0"/>
            </w:pPr>
          </w:p>
        </w:tc>
        <w:tc>
          <w:tcPr>
            <w:tcW w:w="1150" w:type="dxa"/>
          </w:tcPr>
          <w:p w14:paraId="31826184">
            <w:pPr>
              <w:pStyle w:val="27"/>
              <w:keepLines w:val="0"/>
              <w:pageBreakBefore w:val="0"/>
              <w:wordWrap/>
              <w:overflowPunct/>
              <w:bidi w:val="0"/>
            </w:pPr>
          </w:p>
        </w:tc>
        <w:tc>
          <w:tcPr>
            <w:tcW w:w="1240" w:type="dxa"/>
          </w:tcPr>
          <w:p w14:paraId="09A52B0B">
            <w:pPr>
              <w:pStyle w:val="27"/>
              <w:keepLines w:val="0"/>
              <w:pageBreakBefore w:val="0"/>
              <w:wordWrap/>
              <w:overflowPunct/>
              <w:bidi w:val="0"/>
            </w:pPr>
          </w:p>
        </w:tc>
      </w:tr>
      <w:tr w14:paraId="1C45960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0DAC0FD6">
            <w:pPr>
              <w:pStyle w:val="27"/>
              <w:keepLines w:val="0"/>
              <w:pageBreakBefore w:val="0"/>
              <w:wordWrap/>
              <w:overflowPunct/>
              <w:bidi w:val="0"/>
            </w:pPr>
          </w:p>
        </w:tc>
        <w:tc>
          <w:tcPr>
            <w:tcW w:w="919" w:type="dxa"/>
          </w:tcPr>
          <w:p w14:paraId="551F4755">
            <w:pPr>
              <w:pStyle w:val="27"/>
              <w:keepLines w:val="0"/>
              <w:pageBreakBefore w:val="0"/>
              <w:wordWrap/>
              <w:overflowPunct/>
              <w:bidi w:val="0"/>
            </w:pPr>
          </w:p>
        </w:tc>
        <w:tc>
          <w:tcPr>
            <w:tcW w:w="2289" w:type="dxa"/>
          </w:tcPr>
          <w:p w14:paraId="3CA28A37">
            <w:pPr>
              <w:pStyle w:val="27"/>
              <w:keepLines w:val="0"/>
              <w:pageBreakBefore w:val="0"/>
              <w:wordWrap/>
              <w:overflowPunct/>
              <w:bidi w:val="0"/>
            </w:pPr>
          </w:p>
        </w:tc>
        <w:tc>
          <w:tcPr>
            <w:tcW w:w="1148" w:type="dxa"/>
          </w:tcPr>
          <w:p w14:paraId="34596CFE">
            <w:pPr>
              <w:pStyle w:val="27"/>
              <w:keepLines w:val="0"/>
              <w:pageBreakBefore w:val="0"/>
              <w:wordWrap/>
              <w:overflowPunct/>
              <w:bidi w:val="0"/>
            </w:pPr>
          </w:p>
        </w:tc>
        <w:tc>
          <w:tcPr>
            <w:tcW w:w="1150" w:type="dxa"/>
          </w:tcPr>
          <w:p w14:paraId="37145E7F">
            <w:pPr>
              <w:pStyle w:val="27"/>
              <w:keepLines w:val="0"/>
              <w:pageBreakBefore w:val="0"/>
              <w:wordWrap/>
              <w:overflowPunct/>
              <w:bidi w:val="0"/>
            </w:pPr>
          </w:p>
        </w:tc>
        <w:tc>
          <w:tcPr>
            <w:tcW w:w="1240" w:type="dxa"/>
          </w:tcPr>
          <w:p w14:paraId="1DFC25AE">
            <w:pPr>
              <w:pStyle w:val="27"/>
              <w:keepLines w:val="0"/>
              <w:pageBreakBefore w:val="0"/>
              <w:wordWrap/>
              <w:overflowPunct/>
              <w:bidi w:val="0"/>
            </w:pPr>
          </w:p>
        </w:tc>
      </w:tr>
      <w:tr w14:paraId="2A10558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6B791FC4">
            <w:pPr>
              <w:pStyle w:val="27"/>
              <w:keepLines w:val="0"/>
              <w:pageBreakBefore w:val="0"/>
              <w:wordWrap/>
              <w:overflowPunct/>
              <w:bidi w:val="0"/>
            </w:pPr>
          </w:p>
        </w:tc>
        <w:tc>
          <w:tcPr>
            <w:tcW w:w="919" w:type="dxa"/>
          </w:tcPr>
          <w:p w14:paraId="484F4E58">
            <w:pPr>
              <w:pStyle w:val="27"/>
              <w:keepLines w:val="0"/>
              <w:pageBreakBefore w:val="0"/>
              <w:wordWrap/>
              <w:overflowPunct/>
              <w:bidi w:val="0"/>
            </w:pPr>
          </w:p>
        </w:tc>
        <w:tc>
          <w:tcPr>
            <w:tcW w:w="2289" w:type="dxa"/>
          </w:tcPr>
          <w:p w14:paraId="78BB3CB5">
            <w:pPr>
              <w:pStyle w:val="27"/>
              <w:keepLines w:val="0"/>
              <w:pageBreakBefore w:val="0"/>
              <w:wordWrap/>
              <w:overflowPunct/>
              <w:bidi w:val="0"/>
            </w:pPr>
          </w:p>
        </w:tc>
        <w:tc>
          <w:tcPr>
            <w:tcW w:w="1148" w:type="dxa"/>
          </w:tcPr>
          <w:p w14:paraId="05449CBF">
            <w:pPr>
              <w:pStyle w:val="27"/>
              <w:keepLines w:val="0"/>
              <w:pageBreakBefore w:val="0"/>
              <w:wordWrap/>
              <w:overflowPunct/>
              <w:bidi w:val="0"/>
            </w:pPr>
          </w:p>
        </w:tc>
        <w:tc>
          <w:tcPr>
            <w:tcW w:w="1150" w:type="dxa"/>
          </w:tcPr>
          <w:p w14:paraId="1B4BCF16">
            <w:pPr>
              <w:pStyle w:val="27"/>
              <w:keepLines w:val="0"/>
              <w:pageBreakBefore w:val="0"/>
              <w:wordWrap/>
              <w:overflowPunct/>
              <w:bidi w:val="0"/>
            </w:pPr>
          </w:p>
        </w:tc>
        <w:tc>
          <w:tcPr>
            <w:tcW w:w="1240" w:type="dxa"/>
          </w:tcPr>
          <w:p w14:paraId="6720E32E">
            <w:pPr>
              <w:pStyle w:val="27"/>
              <w:keepLines w:val="0"/>
              <w:pageBreakBefore w:val="0"/>
              <w:wordWrap/>
              <w:overflowPunct/>
              <w:bidi w:val="0"/>
            </w:pPr>
          </w:p>
        </w:tc>
      </w:tr>
    </w:tbl>
    <w:p w14:paraId="604315E6">
      <w:pPr>
        <w:keepLines w:val="0"/>
        <w:pageBreakBefore w:val="0"/>
        <w:wordWrap/>
        <w:overflowPunct/>
        <w:bidi w:val="0"/>
      </w:pPr>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25970E71">
          <w:pPr>
            <w:keepLines w:val="0"/>
            <w:pageBreakBefore w:val="0"/>
            <w:wordWrap/>
            <w:overflowPunct/>
            <w:bidi w:val="0"/>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14941D9A">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_Toc15955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_Toc15955 \h </w:instrText>
          </w:r>
          <w:r>
            <w:fldChar w:fldCharType="separate"/>
          </w:r>
          <w:r>
            <w:t>1</w:t>
          </w:r>
          <w:r>
            <w:fldChar w:fldCharType="end"/>
          </w:r>
          <w:r>
            <w:rPr>
              <w:rFonts w:hint="eastAsia" w:ascii="宋体" w:hAnsi="宋体" w:eastAsia="宋体" w:cs="宋体"/>
              <w:szCs w:val="24"/>
            </w:rPr>
            <w:fldChar w:fldCharType="end"/>
          </w:r>
        </w:p>
        <w:p w14:paraId="1F3FBCD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_Toc23465 </w:instrText>
          </w:r>
          <w:r>
            <w:rPr>
              <w:rFonts w:hint="eastAsia" w:ascii="宋体" w:hAnsi="宋体" w:eastAsia="宋体" w:cs="宋体"/>
              <w:szCs w:val="24"/>
            </w:rPr>
            <w:fldChar w:fldCharType="separate"/>
          </w:r>
          <w:r>
            <w:rPr>
              <w:rFonts w:hint="eastAsia"/>
              <w:lang w:val="en-US" w:eastAsia="zh-CN"/>
            </w:rPr>
            <w:t>人员绩效考核管理制度</w:t>
          </w:r>
          <w:r>
            <w:tab/>
          </w:r>
          <w:r>
            <w:fldChar w:fldCharType="begin"/>
          </w:r>
          <w:r>
            <w:instrText xml:space="preserve"> PAGEREF _Toc23465 \h </w:instrText>
          </w:r>
          <w:r>
            <w:fldChar w:fldCharType="separate"/>
          </w:r>
          <w:r>
            <w:t>1</w:t>
          </w:r>
          <w:r>
            <w:fldChar w:fldCharType="end"/>
          </w:r>
          <w:r>
            <w:rPr>
              <w:rFonts w:hint="eastAsia" w:ascii="宋体" w:hAnsi="宋体" w:eastAsia="宋体" w:cs="宋体"/>
              <w:szCs w:val="24"/>
            </w:rPr>
            <w:fldChar w:fldCharType="end"/>
          </w:r>
        </w:p>
        <w:p w14:paraId="77E75C40">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_Toc5731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_Toc5731 \h </w:instrText>
          </w:r>
          <w:r>
            <w:fldChar w:fldCharType="separate"/>
          </w:r>
          <w:r>
            <w:t>4</w:t>
          </w:r>
          <w:r>
            <w:fldChar w:fldCharType="end"/>
          </w:r>
          <w:r>
            <w:rPr>
              <w:rFonts w:hint="eastAsia" w:ascii="宋体" w:hAnsi="宋体" w:eastAsia="宋体" w:cs="宋体"/>
              <w:szCs w:val="24"/>
            </w:rPr>
            <w:fldChar w:fldCharType="end"/>
          </w:r>
        </w:p>
        <w:p w14:paraId="1940D39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_Toc24373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_Toc24373 \h </w:instrText>
          </w:r>
          <w:r>
            <w:fldChar w:fldCharType="separate"/>
          </w:r>
          <w:r>
            <w:t>4</w:t>
          </w:r>
          <w:r>
            <w:fldChar w:fldCharType="end"/>
          </w:r>
          <w:r>
            <w:rPr>
              <w:rFonts w:hint="eastAsia" w:ascii="宋体" w:hAnsi="宋体" w:eastAsia="宋体" w:cs="宋体"/>
              <w:szCs w:val="24"/>
            </w:rPr>
            <w:fldChar w:fldCharType="end"/>
          </w:r>
        </w:p>
        <w:p w14:paraId="11792C85">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_Toc17966 </w:instrText>
          </w:r>
          <w:r>
            <w:rPr>
              <w:rFonts w:hint="eastAsia" w:ascii="宋体" w:hAnsi="宋体" w:eastAsia="宋体" w:cs="宋体"/>
              <w:szCs w:val="24"/>
            </w:rPr>
            <w:fldChar w:fldCharType="separate"/>
          </w:r>
          <w:r>
            <w:rPr>
              <w:rFonts w:hint="default"/>
              <w:lang w:val="en-US" w:eastAsia="zh-CN"/>
            </w:rPr>
            <w:t xml:space="preserve">3. </w:t>
          </w:r>
          <w:r>
            <w:rPr>
              <w:rFonts w:hint="eastAsia"/>
              <w:lang w:val="en-US" w:eastAsia="zh-CN"/>
            </w:rPr>
            <w:t>适用</w:t>
          </w:r>
          <w:r>
            <w:t>范围：</w:t>
          </w:r>
          <w:r>
            <w:tab/>
          </w:r>
          <w:r>
            <w:fldChar w:fldCharType="begin"/>
          </w:r>
          <w:r>
            <w:instrText xml:space="preserve"> PAGEREF _Toc17966 \h </w:instrText>
          </w:r>
          <w:r>
            <w:fldChar w:fldCharType="separate"/>
          </w:r>
          <w:r>
            <w:t>5</w:t>
          </w:r>
          <w:r>
            <w:fldChar w:fldCharType="end"/>
          </w:r>
          <w:r>
            <w:rPr>
              <w:rFonts w:hint="eastAsia" w:ascii="宋体" w:hAnsi="宋体" w:eastAsia="宋体" w:cs="宋体"/>
              <w:szCs w:val="24"/>
            </w:rPr>
            <w:fldChar w:fldCharType="end"/>
          </w:r>
        </w:p>
        <w:p w14:paraId="111E85F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_Toc1957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_Toc1957 \h </w:instrText>
          </w:r>
          <w:r>
            <w:fldChar w:fldCharType="separate"/>
          </w:r>
          <w:r>
            <w:t>5</w:t>
          </w:r>
          <w:r>
            <w:fldChar w:fldCharType="end"/>
          </w:r>
          <w:r>
            <w:rPr>
              <w:rFonts w:hint="eastAsia" w:ascii="宋体" w:hAnsi="宋体" w:eastAsia="宋体" w:cs="宋体"/>
              <w:szCs w:val="24"/>
            </w:rPr>
            <w:fldChar w:fldCharType="end"/>
          </w:r>
        </w:p>
        <w:p w14:paraId="45D48EF3">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_Toc28679 </w:instrText>
          </w:r>
          <w:r>
            <w:rPr>
              <w:rFonts w:hint="eastAsia" w:ascii="宋体" w:hAnsi="宋体" w:eastAsia="宋体" w:cs="宋体"/>
              <w:szCs w:val="24"/>
            </w:rPr>
            <w:fldChar w:fldCharType="separate"/>
          </w:r>
          <w:r>
            <w:rPr>
              <w:rFonts w:hint="default"/>
            </w:rPr>
            <w:t xml:space="preserve">4.1. </w:t>
          </w:r>
          <w:r>
            <w:rPr>
              <w:rFonts w:hint="eastAsia"/>
              <w:lang w:val="en-US" w:eastAsia="zh-CN"/>
            </w:rPr>
            <w:t>副总经理</w:t>
          </w:r>
          <w:r>
            <w:tab/>
          </w:r>
          <w:r>
            <w:fldChar w:fldCharType="begin"/>
          </w:r>
          <w:r>
            <w:instrText xml:space="preserve"> PAGEREF _Toc28679 \h </w:instrText>
          </w:r>
          <w:r>
            <w:fldChar w:fldCharType="separate"/>
          </w:r>
          <w:r>
            <w:t>5</w:t>
          </w:r>
          <w:r>
            <w:fldChar w:fldCharType="end"/>
          </w:r>
          <w:r>
            <w:rPr>
              <w:rFonts w:hint="eastAsia" w:ascii="宋体" w:hAnsi="宋体" w:eastAsia="宋体" w:cs="宋体"/>
              <w:szCs w:val="24"/>
            </w:rPr>
            <w:fldChar w:fldCharType="end"/>
          </w:r>
        </w:p>
        <w:p w14:paraId="7A51F1F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_Toc16576 </w:instrText>
          </w:r>
          <w:r>
            <w:rPr>
              <w:rFonts w:hint="eastAsia" w:ascii="宋体" w:hAnsi="宋体" w:eastAsia="宋体" w:cs="宋体"/>
              <w:szCs w:val="24"/>
            </w:rPr>
            <w:fldChar w:fldCharType="separate"/>
          </w:r>
          <w:r>
            <w:rPr>
              <w:rFonts w:hint="default"/>
            </w:rPr>
            <w:t xml:space="preserve">4.2. </w:t>
          </w:r>
          <w:r>
            <w:rPr>
              <w:rFonts w:hint="eastAsia"/>
              <w:lang w:val="en-US" w:eastAsia="zh-CN"/>
            </w:rPr>
            <w:t>人力</w:t>
          </w:r>
          <w:r>
            <w:t>部</w:t>
          </w:r>
          <w:r>
            <w:tab/>
          </w:r>
          <w:r>
            <w:fldChar w:fldCharType="begin"/>
          </w:r>
          <w:r>
            <w:instrText xml:space="preserve"> PAGEREF _Toc16576 \h </w:instrText>
          </w:r>
          <w:r>
            <w:fldChar w:fldCharType="separate"/>
          </w:r>
          <w:r>
            <w:t>5</w:t>
          </w:r>
          <w:r>
            <w:fldChar w:fldCharType="end"/>
          </w:r>
          <w:r>
            <w:rPr>
              <w:rFonts w:hint="eastAsia" w:ascii="宋体" w:hAnsi="宋体" w:eastAsia="宋体" w:cs="宋体"/>
              <w:szCs w:val="24"/>
            </w:rPr>
            <w:fldChar w:fldCharType="end"/>
          </w:r>
        </w:p>
        <w:p w14:paraId="250C9F2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_Toc16492 </w:instrText>
          </w:r>
          <w:r>
            <w:rPr>
              <w:rFonts w:hint="eastAsia" w:ascii="宋体" w:hAnsi="宋体" w:eastAsia="宋体" w:cs="宋体"/>
              <w:szCs w:val="24"/>
            </w:rPr>
            <w:fldChar w:fldCharType="separate"/>
          </w:r>
          <w:r>
            <w:rPr>
              <w:rFonts w:hint="default"/>
            </w:rPr>
            <w:t xml:space="preserve">4.3. </w:t>
          </w:r>
          <w:r>
            <w:rPr>
              <w:rFonts w:hint="eastAsia"/>
              <w:lang w:val="en-US" w:eastAsia="zh-CN"/>
            </w:rPr>
            <w:t>其他</w:t>
          </w:r>
          <w:r>
            <w:t>运维</w:t>
          </w:r>
          <w:r>
            <w:rPr>
              <w:rFonts w:hint="eastAsia"/>
              <w:lang w:val="en-US" w:eastAsia="zh-CN"/>
            </w:rPr>
            <w:t>相关</w:t>
          </w:r>
          <w:r>
            <w:t>部</w:t>
          </w:r>
          <w:r>
            <w:rPr>
              <w:rFonts w:hint="eastAsia"/>
              <w:lang w:val="en-US" w:eastAsia="zh-CN"/>
            </w:rPr>
            <w:t>门</w:t>
          </w:r>
          <w:r>
            <w:tab/>
          </w:r>
          <w:r>
            <w:fldChar w:fldCharType="begin"/>
          </w:r>
          <w:r>
            <w:instrText xml:space="preserve"> PAGEREF _Toc16492 \h </w:instrText>
          </w:r>
          <w:r>
            <w:fldChar w:fldCharType="separate"/>
          </w:r>
          <w:r>
            <w:t>5</w:t>
          </w:r>
          <w:r>
            <w:fldChar w:fldCharType="end"/>
          </w:r>
          <w:r>
            <w:rPr>
              <w:rFonts w:hint="eastAsia" w:ascii="宋体" w:hAnsi="宋体" w:eastAsia="宋体" w:cs="宋体"/>
              <w:szCs w:val="24"/>
            </w:rPr>
            <w:fldChar w:fldCharType="end"/>
          </w:r>
        </w:p>
        <w:p w14:paraId="051FFCD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_Toc32141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绩效考核实施</w:t>
          </w:r>
          <w:r>
            <w:tab/>
          </w:r>
          <w:r>
            <w:fldChar w:fldCharType="begin"/>
          </w:r>
          <w:r>
            <w:instrText xml:space="preserve"> PAGEREF _Toc32141 \h </w:instrText>
          </w:r>
          <w:r>
            <w:fldChar w:fldCharType="separate"/>
          </w:r>
          <w:r>
            <w:t>6</w:t>
          </w:r>
          <w:r>
            <w:fldChar w:fldCharType="end"/>
          </w:r>
          <w:r>
            <w:rPr>
              <w:rFonts w:hint="eastAsia" w:ascii="宋体" w:hAnsi="宋体" w:eastAsia="宋体" w:cs="宋体"/>
              <w:szCs w:val="24"/>
            </w:rPr>
            <w:fldChar w:fldCharType="end"/>
          </w:r>
        </w:p>
        <w:p w14:paraId="0AEFF2EF">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_Toc7337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考核指标确认</w:t>
          </w:r>
          <w:r>
            <w:tab/>
          </w:r>
          <w:r>
            <w:fldChar w:fldCharType="begin"/>
          </w:r>
          <w:r>
            <w:instrText xml:space="preserve"> PAGEREF _Toc7337 \h </w:instrText>
          </w:r>
          <w:r>
            <w:fldChar w:fldCharType="separate"/>
          </w:r>
          <w:r>
            <w:t>6</w:t>
          </w:r>
          <w:r>
            <w:fldChar w:fldCharType="end"/>
          </w:r>
          <w:r>
            <w:rPr>
              <w:rFonts w:hint="eastAsia" w:ascii="宋体" w:hAnsi="宋体" w:eastAsia="宋体" w:cs="宋体"/>
              <w:szCs w:val="24"/>
            </w:rPr>
            <w:fldChar w:fldCharType="end"/>
          </w:r>
        </w:p>
        <w:p w14:paraId="58A7B504">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_Toc23306 </w:instrText>
          </w:r>
          <w:r>
            <w:rPr>
              <w:rFonts w:hint="eastAsia" w:ascii="宋体" w:hAnsi="宋体" w:eastAsia="宋体" w:cs="宋体"/>
              <w:szCs w:val="24"/>
            </w:rPr>
            <w:fldChar w:fldCharType="separate"/>
          </w:r>
          <w:r>
            <w:rPr>
              <w:rFonts w:hint="default"/>
              <w:lang w:val="en-US" w:eastAsia="zh-CN"/>
            </w:rPr>
            <w:t xml:space="preserve">5.1.1. </w:t>
          </w:r>
          <w:r>
            <w:rPr>
              <w:rFonts w:hint="eastAsia"/>
              <w:lang w:val="en-US" w:eastAsia="zh-CN"/>
            </w:rPr>
            <w:t>年度指标确认</w:t>
          </w:r>
          <w:r>
            <w:tab/>
          </w:r>
          <w:r>
            <w:fldChar w:fldCharType="begin"/>
          </w:r>
          <w:r>
            <w:instrText xml:space="preserve"> PAGEREF _Toc23306 \h </w:instrText>
          </w:r>
          <w:r>
            <w:fldChar w:fldCharType="separate"/>
          </w:r>
          <w:r>
            <w:t>6</w:t>
          </w:r>
          <w:r>
            <w:fldChar w:fldCharType="end"/>
          </w:r>
          <w:r>
            <w:rPr>
              <w:rFonts w:hint="eastAsia" w:ascii="宋体" w:hAnsi="宋体" w:eastAsia="宋体" w:cs="宋体"/>
              <w:szCs w:val="24"/>
            </w:rPr>
            <w:fldChar w:fldCharType="end"/>
          </w:r>
        </w:p>
        <w:p w14:paraId="0F856B91">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_Toc12086 </w:instrText>
          </w:r>
          <w:r>
            <w:rPr>
              <w:rFonts w:hint="eastAsia" w:ascii="宋体" w:hAnsi="宋体" w:eastAsia="宋体" w:cs="宋体"/>
              <w:szCs w:val="24"/>
            </w:rPr>
            <w:fldChar w:fldCharType="separate"/>
          </w:r>
          <w:r>
            <w:rPr>
              <w:rFonts w:hint="default"/>
              <w:lang w:val="en-US" w:eastAsia="zh-CN"/>
            </w:rPr>
            <w:t xml:space="preserve">5.1.2. </w:t>
          </w:r>
          <w:r>
            <w:rPr>
              <w:rFonts w:hint="eastAsia"/>
              <w:lang w:val="en-US" w:eastAsia="zh-CN"/>
            </w:rPr>
            <w:t>季度指标确认</w:t>
          </w:r>
          <w:r>
            <w:tab/>
          </w:r>
          <w:r>
            <w:fldChar w:fldCharType="begin"/>
          </w:r>
          <w:r>
            <w:instrText xml:space="preserve"> PAGEREF _Toc12086 \h </w:instrText>
          </w:r>
          <w:r>
            <w:fldChar w:fldCharType="separate"/>
          </w:r>
          <w:r>
            <w:t>6</w:t>
          </w:r>
          <w:r>
            <w:fldChar w:fldCharType="end"/>
          </w:r>
          <w:r>
            <w:rPr>
              <w:rFonts w:hint="eastAsia" w:ascii="宋体" w:hAnsi="宋体" w:eastAsia="宋体" w:cs="宋体"/>
              <w:szCs w:val="24"/>
            </w:rPr>
            <w:fldChar w:fldCharType="end"/>
          </w:r>
        </w:p>
        <w:p w14:paraId="21C8C3C1">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_Toc7543 </w:instrText>
          </w:r>
          <w:r>
            <w:rPr>
              <w:rFonts w:hint="eastAsia" w:ascii="宋体" w:hAnsi="宋体" w:eastAsia="宋体" w:cs="宋体"/>
              <w:szCs w:val="24"/>
            </w:rPr>
            <w:fldChar w:fldCharType="separate"/>
          </w:r>
          <w:r>
            <w:rPr>
              <w:rFonts w:hint="default"/>
              <w:lang w:val="en-US" w:eastAsia="zh-CN"/>
            </w:rPr>
            <w:t xml:space="preserve">5.1.3. </w:t>
          </w:r>
          <w:r>
            <w:rPr>
              <w:rFonts w:hint="eastAsia"/>
              <w:lang w:val="en-US" w:eastAsia="zh-CN"/>
            </w:rPr>
            <w:t>月度指标确认</w:t>
          </w:r>
          <w:r>
            <w:tab/>
          </w:r>
          <w:r>
            <w:fldChar w:fldCharType="begin"/>
          </w:r>
          <w:r>
            <w:instrText xml:space="preserve"> PAGEREF _Toc7543 \h </w:instrText>
          </w:r>
          <w:r>
            <w:fldChar w:fldCharType="separate"/>
          </w:r>
          <w:r>
            <w:t>6</w:t>
          </w:r>
          <w:r>
            <w:fldChar w:fldCharType="end"/>
          </w:r>
          <w:r>
            <w:rPr>
              <w:rFonts w:hint="eastAsia" w:ascii="宋体" w:hAnsi="宋体" w:eastAsia="宋体" w:cs="宋体"/>
              <w:szCs w:val="24"/>
            </w:rPr>
            <w:fldChar w:fldCharType="end"/>
          </w:r>
        </w:p>
        <w:p w14:paraId="4F9011AD">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_Toc2135 </w:instrText>
          </w:r>
          <w:r>
            <w:rPr>
              <w:rFonts w:hint="eastAsia" w:ascii="宋体" w:hAnsi="宋体" w:eastAsia="宋体" w:cs="宋体"/>
              <w:szCs w:val="24"/>
            </w:rPr>
            <w:fldChar w:fldCharType="separate"/>
          </w:r>
          <w:r>
            <w:rPr>
              <w:rFonts w:hint="default"/>
              <w:lang w:val="en-US" w:eastAsia="zh-CN"/>
            </w:rPr>
            <w:t xml:space="preserve">5.2. </w:t>
          </w:r>
          <w:r>
            <w:rPr>
              <w:rFonts w:hint="eastAsia"/>
              <w:lang w:val="en-US" w:eastAsia="zh-CN"/>
            </w:rPr>
            <w:t>指标完成情况跟踪</w:t>
          </w:r>
          <w:r>
            <w:tab/>
          </w:r>
          <w:r>
            <w:fldChar w:fldCharType="begin"/>
          </w:r>
          <w:r>
            <w:instrText xml:space="preserve"> PAGEREF _Toc2135 \h </w:instrText>
          </w:r>
          <w:r>
            <w:fldChar w:fldCharType="separate"/>
          </w:r>
          <w:r>
            <w:t>7</w:t>
          </w:r>
          <w:r>
            <w:fldChar w:fldCharType="end"/>
          </w:r>
          <w:r>
            <w:rPr>
              <w:rFonts w:hint="eastAsia" w:ascii="宋体" w:hAnsi="宋体" w:eastAsia="宋体" w:cs="宋体"/>
              <w:szCs w:val="24"/>
            </w:rPr>
            <w:fldChar w:fldCharType="end"/>
          </w:r>
        </w:p>
        <w:p w14:paraId="4A504AA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_Toc1281 </w:instrText>
          </w:r>
          <w:r>
            <w:rPr>
              <w:rFonts w:hint="eastAsia" w:ascii="宋体" w:hAnsi="宋体" w:eastAsia="宋体" w:cs="宋体"/>
              <w:szCs w:val="24"/>
            </w:rPr>
            <w:fldChar w:fldCharType="separate"/>
          </w:r>
          <w:r>
            <w:rPr>
              <w:rFonts w:hint="default" w:ascii="宋体" w:hAnsi="宋体" w:eastAsia="宋体" w:cs="宋体"/>
              <w:szCs w:val="24"/>
              <w:lang w:val="en-US" w:eastAsia="zh-CN"/>
            </w:rPr>
            <w:t xml:space="preserve">5.3. </w:t>
          </w:r>
          <w:r>
            <w:rPr>
              <w:rFonts w:ascii="宋体" w:hAnsi="宋体" w:eastAsia="宋体" w:cs="宋体"/>
              <w:bCs/>
              <w:spacing w:val="-3"/>
              <w:szCs w:val="24"/>
            </w:rPr>
            <w:t>考核</w:t>
          </w:r>
          <w:r>
            <w:rPr>
              <w:rFonts w:hint="eastAsia" w:ascii="宋体" w:hAnsi="宋体" w:eastAsia="宋体" w:cs="宋体"/>
              <w:bCs/>
              <w:spacing w:val="-3"/>
              <w:szCs w:val="24"/>
              <w:lang w:val="en-US" w:eastAsia="zh-CN"/>
            </w:rPr>
            <w:t>要求</w:t>
          </w:r>
          <w:r>
            <w:tab/>
          </w:r>
          <w:r>
            <w:fldChar w:fldCharType="begin"/>
          </w:r>
          <w:r>
            <w:instrText xml:space="preserve"> PAGEREF _Toc1281 \h </w:instrText>
          </w:r>
          <w:r>
            <w:fldChar w:fldCharType="separate"/>
          </w:r>
          <w:r>
            <w:t>7</w:t>
          </w:r>
          <w:r>
            <w:fldChar w:fldCharType="end"/>
          </w:r>
          <w:r>
            <w:rPr>
              <w:rFonts w:hint="eastAsia" w:ascii="宋体" w:hAnsi="宋体" w:eastAsia="宋体" w:cs="宋体"/>
              <w:szCs w:val="24"/>
            </w:rPr>
            <w:fldChar w:fldCharType="end"/>
          </w:r>
        </w:p>
        <w:p w14:paraId="3AC5162E">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_Toc31891 </w:instrText>
          </w:r>
          <w:r>
            <w:rPr>
              <w:rFonts w:hint="eastAsia" w:ascii="宋体" w:hAnsi="宋体" w:eastAsia="宋体" w:cs="宋体"/>
              <w:szCs w:val="24"/>
            </w:rPr>
            <w:fldChar w:fldCharType="separate"/>
          </w:r>
          <w:r>
            <w:rPr>
              <w:rFonts w:hint="default"/>
              <w:lang w:val="en-US" w:eastAsia="zh-CN"/>
            </w:rPr>
            <w:t xml:space="preserve">5.4. </w:t>
          </w:r>
          <w:r>
            <w:t>考核结果</w:t>
          </w:r>
          <w:r>
            <w:rPr>
              <w:rFonts w:hint="eastAsia"/>
              <w:lang w:val="en-US" w:eastAsia="zh-CN"/>
            </w:rPr>
            <w:t>输出</w:t>
          </w:r>
          <w:r>
            <w:tab/>
          </w:r>
          <w:r>
            <w:fldChar w:fldCharType="begin"/>
          </w:r>
          <w:r>
            <w:instrText xml:space="preserve"> PAGEREF _Toc31891 \h </w:instrText>
          </w:r>
          <w:r>
            <w:fldChar w:fldCharType="separate"/>
          </w:r>
          <w:r>
            <w:t>7</w:t>
          </w:r>
          <w:r>
            <w:fldChar w:fldCharType="end"/>
          </w:r>
          <w:r>
            <w:rPr>
              <w:rFonts w:hint="eastAsia" w:ascii="宋体" w:hAnsi="宋体" w:eastAsia="宋体" w:cs="宋体"/>
              <w:szCs w:val="24"/>
            </w:rPr>
            <w:fldChar w:fldCharType="end"/>
          </w:r>
        </w:p>
        <w:p w14:paraId="774030C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_Toc7388 </w:instrText>
          </w:r>
          <w:r>
            <w:rPr>
              <w:rFonts w:hint="eastAsia" w:ascii="宋体" w:hAnsi="宋体" w:eastAsia="宋体" w:cs="宋体"/>
              <w:szCs w:val="24"/>
            </w:rPr>
            <w:fldChar w:fldCharType="separate"/>
          </w:r>
          <w:r>
            <w:rPr>
              <w:rFonts w:hint="default"/>
            </w:rPr>
            <w:t xml:space="preserve">5.5. </w:t>
          </w:r>
          <w:r>
            <w:t>考核结果应用</w:t>
          </w:r>
          <w:r>
            <w:tab/>
          </w:r>
          <w:r>
            <w:fldChar w:fldCharType="begin"/>
          </w:r>
          <w:r>
            <w:instrText xml:space="preserve"> PAGEREF _Toc7388 \h </w:instrText>
          </w:r>
          <w:r>
            <w:fldChar w:fldCharType="separate"/>
          </w:r>
          <w:r>
            <w:t>8</w:t>
          </w:r>
          <w:r>
            <w:fldChar w:fldCharType="end"/>
          </w:r>
          <w:r>
            <w:rPr>
              <w:rFonts w:hint="eastAsia" w:ascii="宋体" w:hAnsi="宋体" w:eastAsia="宋体" w:cs="宋体"/>
              <w:szCs w:val="24"/>
            </w:rPr>
            <w:fldChar w:fldCharType="end"/>
          </w:r>
        </w:p>
        <w:p w14:paraId="52466F69">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_Toc30708 </w:instrText>
          </w:r>
          <w:r>
            <w:rPr>
              <w:rFonts w:hint="eastAsia" w:ascii="宋体" w:hAnsi="宋体" w:eastAsia="宋体" w:cs="宋体"/>
              <w:szCs w:val="24"/>
            </w:rPr>
            <w:fldChar w:fldCharType="separate"/>
          </w:r>
          <w:r>
            <w:rPr>
              <w:rFonts w:hint="default"/>
            </w:rPr>
            <w:t xml:space="preserve">5.5.1. </w:t>
          </w:r>
          <w:r>
            <w:t>职业发展</w:t>
          </w:r>
          <w:r>
            <w:tab/>
          </w:r>
          <w:r>
            <w:fldChar w:fldCharType="begin"/>
          </w:r>
          <w:r>
            <w:instrText xml:space="preserve"> PAGEREF _Toc30708 \h </w:instrText>
          </w:r>
          <w:r>
            <w:fldChar w:fldCharType="separate"/>
          </w:r>
          <w:r>
            <w:t>8</w:t>
          </w:r>
          <w:r>
            <w:fldChar w:fldCharType="end"/>
          </w:r>
          <w:r>
            <w:rPr>
              <w:rFonts w:hint="eastAsia" w:ascii="宋体" w:hAnsi="宋体" w:eastAsia="宋体" w:cs="宋体"/>
              <w:szCs w:val="24"/>
            </w:rPr>
            <w:fldChar w:fldCharType="end"/>
          </w:r>
        </w:p>
        <w:p w14:paraId="1ADE9159">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 </w:instrText>
          </w:r>
          <w:r>
            <w:rPr>
              <w:rFonts w:hint="eastAsia" w:ascii="宋体" w:hAnsi="宋体" w:eastAsia="宋体" w:cs="宋体"/>
              <w:szCs w:val="24"/>
            </w:rPr>
            <w:fldChar w:fldCharType="separate"/>
          </w:r>
          <w:r>
            <w:rPr>
              <w:rFonts w:hint="default"/>
            </w:rPr>
            <w:t xml:space="preserve">5.5.2. </w:t>
          </w:r>
          <w:r>
            <w:t>季度绩效考核工资</w:t>
          </w:r>
          <w:r>
            <w:tab/>
          </w:r>
          <w:r>
            <w:fldChar w:fldCharType="begin"/>
          </w:r>
          <w:r>
            <w:instrText xml:space="preserve"> PAGEREF _Toc6 \h </w:instrText>
          </w:r>
          <w:r>
            <w:fldChar w:fldCharType="separate"/>
          </w:r>
          <w:r>
            <w:t>8</w:t>
          </w:r>
          <w:r>
            <w:fldChar w:fldCharType="end"/>
          </w:r>
          <w:r>
            <w:rPr>
              <w:rFonts w:hint="eastAsia" w:ascii="宋体" w:hAnsi="宋体" w:eastAsia="宋体" w:cs="宋体"/>
              <w:szCs w:val="24"/>
            </w:rPr>
            <w:fldChar w:fldCharType="end"/>
          </w:r>
        </w:p>
        <w:p w14:paraId="4C820248">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_Toc29743 </w:instrText>
          </w:r>
          <w:r>
            <w:rPr>
              <w:rFonts w:hint="eastAsia" w:ascii="宋体" w:hAnsi="宋体" w:eastAsia="宋体" w:cs="宋体"/>
              <w:szCs w:val="24"/>
            </w:rPr>
            <w:fldChar w:fldCharType="separate"/>
          </w:r>
          <w:r>
            <w:rPr>
              <w:rFonts w:hint="default"/>
            </w:rPr>
            <w:t xml:space="preserve">5.5.3. </w:t>
          </w:r>
          <w:r>
            <w:t>年终奖金：</w:t>
          </w:r>
          <w:r>
            <w:tab/>
          </w:r>
          <w:r>
            <w:fldChar w:fldCharType="begin"/>
          </w:r>
          <w:r>
            <w:instrText xml:space="preserve"> PAGEREF _Toc29743 \h </w:instrText>
          </w:r>
          <w:r>
            <w:fldChar w:fldCharType="separate"/>
          </w:r>
          <w:r>
            <w:t>8</w:t>
          </w:r>
          <w:r>
            <w:fldChar w:fldCharType="end"/>
          </w:r>
          <w:r>
            <w:rPr>
              <w:rFonts w:hint="eastAsia" w:ascii="宋体" w:hAnsi="宋体" w:eastAsia="宋体" w:cs="宋体"/>
              <w:szCs w:val="24"/>
            </w:rPr>
            <w:fldChar w:fldCharType="end"/>
          </w:r>
        </w:p>
        <w:p w14:paraId="625AD7A8">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_Toc10571 </w:instrText>
          </w:r>
          <w:r>
            <w:rPr>
              <w:rFonts w:hint="eastAsia" w:ascii="宋体" w:hAnsi="宋体" w:eastAsia="宋体" w:cs="宋体"/>
              <w:szCs w:val="24"/>
            </w:rPr>
            <w:fldChar w:fldCharType="separate"/>
          </w:r>
          <w:r>
            <w:rPr>
              <w:rFonts w:hint="default"/>
            </w:rPr>
            <w:t xml:space="preserve">5.6. </w:t>
          </w:r>
          <w:r>
            <w:rPr>
              <w:rFonts w:hint="eastAsia"/>
              <w:lang w:val="en-US" w:eastAsia="zh-CN"/>
            </w:rPr>
            <w:t>考核指标</w:t>
          </w:r>
          <w:r>
            <w:tab/>
          </w:r>
          <w:r>
            <w:fldChar w:fldCharType="begin"/>
          </w:r>
          <w:r>
            <w:instrText xml:space="preserve"> PAGEREF _Toc10571 \h </w:instrText>
          </w:r>
          <w:r>
            <w:fldChar w:fldCharType="separate"/>
          </w:r>
          <w:r>
            <w:t>8</w:t>
          </w:r>
          <w:r>
            <w:fldChar w:fldCharType="end"/>
          </w:r>
          <w:r>
            <w:rPr>
              <w:rFonts w:hint="eastAsia" w:ascii="宋体" w:hAnsi="宋体" w:eastAsia="宋体" w:cs="宋体"/>
              <w:szCs w:val="24"/>
            </w:rPr>
            <w:fldChar w:fldCharType="end"/>
          </w:r>
        </w:p>
        <w:p w14:paraId="5F12D0C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_Toc28963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_Toc28963 \h </w:instrText>
          </w:r>
          <w:r>
            <w:fldChar w:fldCharType="separate"/>
          </w:r>
          <w:r>
            <w:t>8</w:t>
          </w:r>
          <w:r>
            <w:fldChar w:fldCharType="end"/>
          </w:r>
          <w:r>
            <w:rPr>
              <w:rFonts w:hint="eastAsia" w:ascii="宋体" w:hAnsi="宋体" w:eastAsia="宋体" w:cs="宋体"/>
              <w:szCs w:val="24"/>
            </w:rPr>
            <w:fldChar w:fldCharType="end"/>
          </w:r>
        </w:p>
        <w:p w14:paraId="5C5645D0">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_Toc20547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_Toc20547 \h </w:instrText>
          </w:r>
          <w:r>
            <w:fldChar w:fldCharType="separate"/>
          </w:r>
          <w:r>
            <w:t>9</w:t>
          </w:r>
          <w:r>
            <w:fldChar w:fldCharType="end"/>
          </w:r>
          <w:r>
            <w:rPr>
              <w:rFonts w:hint="eastAsia" w:ascii="宋体" w:hAnsi="宋体" w:eastAsia="宋体" w:cs="宋体"/>
              <w:szCs w:val="24"/>
            </w:rPr>
            <w:fldChar w:fldCharType="end"/>
          </w:r>
        </w:p>
        <w:p w14:paraId="59EC2AD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_Toc2650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_Toc2650 \h </w:instrText>
          </w:r>
          <w:r>
            <w:fldChar w:fldCharType="separate"/>
          </w:r>
          <w:r>
            <w:t>9</w:t>
          </w:r>
          <w:r>
            <w:fldChar w:fldCharType="end"/>
          </w:r>
          <w:r>
            <w:rPr>
              <w:rFonts w:hint="eastAsia" w:ascii="宋体" w:hAnsi="宋体" w:eastAsia="宋体" w:cs="宋体"/>
              <w:szCs w:val="24"/>
            </w:rPr>
            <w:fldChar w:fldCharType="end"/>
          </w:r>
        </w:p>
        <w:p w14:paraId="74CE84C3">
          <w:pPr>
            <w:keepLines w:val="0"/>
            <w:pageBreakBefore w:val="0"/>
            <w:wordWrap/>
            <w:overflowPunct/>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27456017">
      <w:pPr>
        <w:keepLines w:val="0"/>
        <w:pageBreakBefore w:val="0"/>
        <w:wordWrap/>
        <w:overflowPunct/>
        <w:bidi w:val="0"/>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20189636">
      <w:pPr>
        <w:pStyle w:val="28"/>
        <w:keepLines w:val="0"/>
        <w:pageBreakBefore w:val="0"/>
        <w:wordWrap/>
        <w:overflowPunct/>
        <w:bidi w:val="0"/>
      </w:pPr>
      <w:bookmarkStart w:id="2" w:name="_Toc5731"/>
      <w:r>
        <w:t>目的</w:t>
      </w:r>
      <w:bookmarkEnd w:id="2"/>
    </w:p>
    <w:p w14:paraId="182898BD">
      <w:pPr>
        <w:pStyle w:val="29"/>
        <w:keepLines w:val="0"/>
        <w:pageBreakBefore w:val="0"/>
        <w:wordWrap/>
        <w:overflowPunct/>
        <w:bidi w:val="0"/>
        <w:rPr>
          <w:rFonts w:hint="default" w:eastAsia="宋体"/>
          <w:lang w:val="en-US" w:eastAsia="zh-CN"/>
        </w:rPr>
      </w:pPr>
      <w:r>
        <w:t>旨在客观衡量运维</w:t>
      </w:r>
      <w:r>
        <w:rPr>
          <w:rFonts w:hint="eastAsia"/>
          <w:lang w:val="en-US" w:eastAsia="zh-CN"/>
        </w:rPr>
        <w:t>相关</w:t>
      </w:r>
      <w:r>
        <w:t>人员的贡献与绩效表现，明确工作导向，激励卓越行为，并驱动持续改进与能力提升</w:t>
      </w:r>
      <w:r>
        <w:rPr>
          <w:rFonts w:hint="eastAsia"/>
          <w:lang w:eastAsia="zh-CN"/>
        </w:rPr>
        <w:t>，</w:t>
      </w:r>
      <w:r>
        <w:rPr>
          <w:rFonts w:hint="eastAsia"/>
          <w:lang w:val="en-US" w:eastAsia="zh-CN"/>
        </w:rPr>
        <w:t>特制订此制度</w:t>
      </w:r>
    </w:p>
    <w:p w14:paraId="32D8CF2C">
      <w:pPr>
        <w:pStyle w:val="28"/>
        <w:keepLines w:val="0"/>
        <w:pageBreakBefore w:val="0"/>
        <w:wordWrap/>
        <w:overflowPunct/>
        <w:bidi w:val="0"/>
        <w:rPr>
          <w:rFonts w:hint="eastAsia"/>
          <w:lang w:val="en-US" w:eastAsia="zh-CN"/>
        </w:rPr>
      </w:pPr>
      <w:bookmarkStart w:id="3" w:name="_Toc24373"/>
      <w:r>
        <w:rPr>
          <w:rFonts w:hint="eastAsia"/>
          <w:lang w:val="en-US" w:eastAsia="zh-CN"/>
        </w:rPr>
        <w:t>原则</w:t>
      </w:r>
      <w:bookmarkEnd w:id="3"/>
    </w:p>
    <w:p w14:paraId="261FB215">
      <w:pPr>
        <w:pStyle w:val="29"/>
        <w:keepLines w:val="0"/>
        <w:pageBreakBefore w:val="0"/>
        <w:wordWrap/>
        <w:overflowPunct/>
        <w:bidi w:val="0"/>
        <w:rPr>
          <w:rFonts w:hint="default"/>
          <w:lang w:val="en-US" w:eastAsia="zh-CN"/>
        </w:rPr>
      </w:pPr>
      <w:r>
        <w:rPr>
          <w:rFonts w:hint="eastAsia"/>
          <w:lang w:val="en-US" w:eastAsia="zh-CN"/>
        </w:rPr>
        <w:t>人员绩效考核遵循以下原则：</w:t>
      </w:r>
    </w:p>
    <w:p w14:paraId="53F819C7">
      <w:pPr>
        <w:pStyle w:val="29"/>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lang w:val="en-US" w:eastAsia="zh-CN"/>
        </w:rPr>
      </w:pPr>
      <w:r>
        <w:rPr>
          <w:rFonts w:hint="eastAsia"/>
          <w:lang w:val="en-US" w:eastAsia="zh-CN"/>
        </w:rPr>
        <w:t>公平、公正、公开的原则：</w:t>
      </w:r>
    </w:p>
    <w:p w14:paraId="756959AE">
      <w:pPr>
        <w:pStyle w:val="29"/>
        <w:keepLines w:val="0"/>
        <w:pageBreakBefore w:val="0"/>
        <w:wordWrap/>
        <w:overflowPunct/>
        <w:bidi w:val="0"/>
        <w:rPr>
          <w:rFonts w:hint="default"/>
          <w:lang w:val="en-US" w:eastAsia="zh-CN"/>
        </w:rPr>
      </w:pPr>
      <w:r>
        <w:t>考核内容和流程向考核对象公开，以过程的公正保证结果的公正性。</w:t>
      </w:r>
    </w:p>
    <w:p w14:paraId="08D16461">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eastAsia="zh-CN"/>
        </w:rPr>
      </w:pPr>
      <w:r>
        <w:rPr>
          <w:rFonts w:ascii="宋体" w:hAnsi="宋体" w:eastAsia="宋体" w:cs="宋体"/>
          <w:sz w:val="24"/>
          <w:szCs w:val="24"/>
        </w:rPr>
        <w:t>客观性原则</w:t>
      </w:r>
      <w:r>
        <w:rPr>
          <w:rFonts w:hint="eastAsia" w:ascii="宋体" w:hAnsi="宋体" w:eastAsia="宋体" w:cs="宋体"/>
          <w:sz w:val="24"/>
          <w:szCs w:val="24"/>
          <w:lang w:eastAsia="zh-CN"/>
        </w:rPr>
        <w:t>：</w:t>
      </w:r>
    </w:p>
    <w:p w14:paraId="41E10E89">
      <w:pPr>
        <w:pStyle w:val="29"/>
        <w:keepLines w:val="0"/>
        <w:pageBreakBefore w:val="0"/>
        <w:wordWrap/>
        <w:overflowPunct/>
        <w:bidi w:val="0"/>
      </w:pPr>
      <w:r>
        <w:t>强调以数字和事实为依据，对目标管理考核结果做出客观性评价和奖惩。</w:t>
      </w:r>
    </w:p>
    <w:p w14:paraId="1696F493">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eastAsia="zh-CN"/>
        </w:rPr>
      </w:pPr>
      <w:r>
        <w:rPr>
          <w:rFonts w:ascii="宋体" w:hAnsi="宋体" w:eastAsia="宋体" w:cs="宋体"/>
          <w:sz w:val="24"/>
          <w:szCs w:val="24"/>
        </w:rPr>
        <w:t>沟通和改进原则</w:t>
      </w:r>
      <w:r>
        <w:rPr>
          <w:rFonts w:hint="eastAsia" w:ascii="宋体" w:hAnsi="宋体" w:eastAsia="宋体" w:cs="宋体"/>
          <w:sz w:val="24"/>
          <w:szCs w:val="24"/>
          <w:lang w:eastAsia="zh-CN"/>
        </w:rPr>
        <w:t>：</w:t>
      </w:r>
    </w:p>
    <w:p w14:paraId="4CFB80E5">
      <w:pPr>
        <w:pStyle w:val="29"/>
        <w:keepLines w:val="0"/>
        <w:pageBreakBefore w:val="0"/>
        <w:wordWrap/>
        <w:overflowPunct/>
        <w:bidi w:val="0"/>
      </w:pPr>
      <w:r>
        <w:t>绩效考核是一个手段而非最终目的</w:t>
      </w:r>
      <w:r>
        <w:rPr>
          <w:rFonts w:hint="eastAsia"/>
          <w:lang w:eastAsia="zh-CN"/>
        </w:rPr>
        <w:t>，</w:t>
      </w:r>
      <w:r>
        <w:t>考核人将通过不断沟通帮助考核对象发现工作中存在的问题，找到改进的方向，从而使组织和员工达成更高的业绩水平。考核等级为E的员工须进入业绩改善流程（《员工业绩改善计划表》）。</w:t>
      </w:r>
    </w:p>
    <w:p w14:paraId="0440F270">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pacing w:val="-1"/>
          <w:sz w:val="24"/>
          <w:szCs w:val="24"/>
          <w:lang w:eastAsia="zh-CN"/>
        </w:rPr>
      </w:pPr>
      <w:r>
        <w:rPr>
          <w:rFonts w:ascii="宋体" w:hAnsi="宋体" w:eastAsia="宋体" w:cs="宋体"/>
          <w:spacing w:val="-1"/>
          <w:sz w:val="24"/>
          <w:szCs w:val="24"/>
        </w:rPr>
        <w:t>业绩改善原则</w:t>
      </w:r>
      <w:r>
        <w:rPr>
          <w:rFonts w:hint="eastAsia" w:ascii="宋体" w:hAnsi="宋体" w:eastAsia="宋体" w:cs="宋体"/>
          <w:spacing w:val="-1"/>
          <w:sz w:val="24"/>
          <w:szCs w:val="24"/>
          <w:lang w:eastAsia="zh-CN"/>
        </w:rPr>
        <w:t>：</w:t>
      </w:r>
    </w:p>
    <w:p w14:paraId="313E6413">
      <w:pPr>
        <w:pStyle w:val="29"/>
        <w:keepLines w:val="0"/>
        <w:pageBreakBefore w:val="0"/>
        <w:wordWrap/>
        <w:overflowPunct/>
        <w:bidi w:val="0"/>
      </w:pPr>
      <w:r>
        <w:t>经过主管副总经理确认，对绩效考核等级为E的员工给予三个月的业绩改善期，改善期满后，经考核如仍不能达到公司要求者，则进行淘汰。</w:t>
      </w:r>
    </w:p>
    <w:p w14:paraId="5354295D">
      <w:pPr>
        <w:keepLines w:val="0"/>
        <w:pageBreakBefore w:val="0"/>
        <w:numPr>
          <w:ilvl w:val="0"/>
          <w:numId w:val="2"/>
        </w:numPr>
        <w:wordWrap/>
        <w:overflowPunct/>
        <w:bidi w:val="0"/>
        <w:spacing w:line="359" w:lineRule="auto"/>
        <w:ind w:left="425" w:leftChars="0" w:hanging="425" w:firstLineChars="0"/>
        <w:rPr>
          <w:rFonts w:hint="eastAsia" w:ascii="宋体" w:hAnsi="宋体" w:eastAsia="宋体" w:cs="宋体"/>
          <w:spacing w:val="-7"/>
          <w:sz w:val="24"/>
          <w:szCs w:val="24"/>
          <w:lang w:eastAsia="zh-CN"/>
        </w:rPr>
      </w:pPr>
      <w:r>
        <w:rPr>
          <w:rFonts w:ascii="宋体" w:hAnsi="宋体" w:eastAsia="宋体" w:cs="宋体"/>
          <w:spacing w:val="-7"/>
          <w:sz w:val="24"/>
          <w:szCs w:val="24"/>
        </w:rPr>
        <w:t>比例控制原则</w:t>
      </w:r>
      <w:r>
        <w:rPr>
          <w:rFonts w:hint="eastAsia" w:ascii="宋体" w:hAnsi="宋体" w:eastAsia="宋体" w:cs="宋体"/>
          <w:spacing w:val="-7"/>
          <w:sz w:val="24"/>
          <w:szCs w:val="24"/>
          <w:lang w:eastAsia="zh-CN"/>
        </w:rPr>
        <w:t>：</w:t>
      </w:r>
    </w:p>
    <w:p w14:paraId="468BB982">
      <w:pPr>
        <w:pStyle w:val="29"/>
        <w:keepLines w:val="0"/>
        <w:pageBreakBefore w:val="0"/>
        <w:wordWrap/>
        <w:overflowPunct/>
        <w:bidi w:val="0"/>
      </w:pPr>
      <w:r>
        <w:t>以部门为单位对员工的考核成绩进行排名，按照比例（15%、40%、30%、10%、5%）由高至低划分等级为A、B、C、D、E，</w:t>
      </w:r>
      <w:r>
        <w:rPr>
          <w:rFonts w:hint="eastAsia"/>
          <w:lang w:val="en-US" w:eastAsia="zh-CN"/>
        </w:rPr>
        <w:t>比例和分值如表2-1所示</w:t>
      </w:r>
      <w:r>
        <w:t>：</w:t>
      </w:r>
    </w:p>
    <w:p w14:paraId="3F57095B">
      <w:pPr>
        <w:pStyle w:val="29"/>
        <w:keepLines w:val="0"/>
        <w:pageBreakBefore w:val="0"/>
        <w:wordWrap/>
        <w:overflowPunct/>
        <w:bidi w:val="0"/>
        <w:rPr>
          <w:rFonts w:hint="default" w:eastAsia="宋体"/>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w:instrText>
      </w:r>
      <w:r>
        <w:rPr>
          <w:rFonts w:hint="eastAsia"/>
          <w:lang w:val="en-US" w:eastAsia="zh-CN"/>
        </w:rPr>
        <w:instrText xml:space="preserve"> STYLEREF "柴_标题1" \n \* Charformat</w:instrText>
      </w:r>
      <w:r>
        <w:rPr>
          <w:rFonts w:hint="eastAsia"/>
          <w:lang w:val="en-US" w:eastAsia="zh-CN"/>
        </w:rPr>
        <w:instrText xml:space="preserve">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w:instrText>
      </w:r>
      <w:r>
        <w:rPr>
          <w:rFonts w:hint="eastAsia"/>
          <w:lang w:val="en-US" w:eastAsia="zh-CN"/>
        </w:rPr>
        <w:instrText xml:space="preserve"> SEQ 表 \* ARABIC  \s 1</w:instrText>
      </w:r>
      <w:r>
        <w:rPr>
          <w:rFonts w:hint="eastAsia"/>
          <w:lang w:val="en-US" w:eastAsia="zh-CN"/>
        </w:rPr>
        <w:instrText xml:space="preserve">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绩效考核等级划分表</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
        <w:gridCol w:w="1068"/>
        <w:gridCol w:w="4344"/>
      </w:tblGrid>
      <w:tr w14:paraId="776EB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blHeader/>
        </w:trPr>
        <w:tc>
          <w:tcPr>
            <w:tcW w:w="955" w:type="dxa"/>
          </w:tcPr>
          <w:p w14:paraId="34CCB693">
            <w:pPr>
              <w:keepLines w:val="0"/>
              <w:pageBreakBefore w:val="0"/>
              <w:wordWrap/>
              <w:overflowPunct/>
              <w:bidi w:val="0"/>
              <w:jc w:val="center"/>
              <w:rPr>
                <w:rFonts w:hint="eastAsia"/>
                <w:b/>
                <w:bCs/>
              </w:rPr>
            </w:pPr>
            <w:r>
              <w:rPr>
                <w:rFonts w:hint="eastAsia"/>
                <w:b/>
                <w:bCs/>
              </w:rPr>
              <w:t>级别</w:t>
            </w:r>
          </w:p>
        </w:tc>
        <w:tc>
          <w:tcPr>
            <w:tcW w:w="1068" w:type="dxa"/>
          </w:tcPr>
          <w:p w14:paraId="0010A001">
            <w:pPr>
              <w:keepLines w:val="0"/>
              <w:pageBreakBefore w:val="0"/>
              <w:wordWrap/>
              <w:overflowPunct/>
              <w:bidi w:val="0"/>
              <w:jc w:val="center"/>
              <w:rPr>
                <w:rFonts w:hint="eastAsia"/>
                <w:b/>
                <w:bCs/>
              </w:rPr>
            </w:pPr>
            <w:r>
              <w:rPr>
                <w:rFonts w:hint="eastAsia"/>
                <w:b/>
                <w:bCs/>
              </w:rPr>
              <w:t>比例</w:t>
            </w:r>
          </w:p>
        </w:tc>
        <w:tc>
          <w:tcPr>
            <w:tcW w:w="4344" w:type="dxa"/>
          </w:tcPr>
          <w:p w14:paraId="1B75EA0E">
            <w:pPr>
              <w:keepLines w:val="0"/>
              <w:pageBreakBefore w:val="0"/>
              <w:wordWrap/>
              <w:overflowPunct/>
              <w:bidi w:val="0"/>
              <w:rPr>
                <w:rFonts w:hint="eastAsia"/>
                <w:b/>
                <w:bCs/>
              </w:rPr>
            </w:pPr>
            <w:r>
              <w:rPr>
                <w:rFonts w:hint="eastAsia"/>
                <w:b/>
                <w:bCs/>
              </w:rPr>
              <w:t>分值区间</w:t>
            </w:r>
          </w:p>
        </w:tc>
      </w:tr>
      <w:tr w14:paraId="370C0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55" w:type="dxa"/>
          </w:tcPr>
          <w:p w14:paraId="2F28697B">
            <w:pPr>
              <w:keepLines w:val="0"/>
              <w:pageBreakBefore w:val="0"/>
              <w:wordWrap/>
              <w:overflowPunct/>
              <w:bidi w:val="0"/>
              <w:jc w:val="center"/>
              <w:rPr>
                <w:rFonts w:hint="eastAsia"/>
              </w:rPr>
            </w:pPr>
            <w:r>
              <w:rPr>
                <w:rFonts w:hint="eastAsia"/>
              </w:rPr>
              <w:t>A档</w:t>
            </w:r>
          </w:p>
        </w:tc>
        <w:tc>
          <w:tcPr>
            <w:tcW w:w="1068" w:type="dxa"/>
          </w:tcPr>
          <w:p w14:paraId="3C1B2A2B">
            <w:pPr>
              <w:keepLines w:val="0"/>
              <w:pageBreakBefore w:val="0"/>
              <w:wordWrap/>
              <w:overflowPunct/>
              <w:bidi w:val="0"/>
              <w:jc w:val="center"/>
              <w:rPr>
                <w:rFonts w:hint="eastAsia"/>
              </w:rPr>
            </w:pPr>
            <w:r>
              <w:rPr>
                <w:rFonts w:hint="eastAsia"/>
              </w:rPr>
              <w:t>15%</w:t>
            </w:r>
          </w:p>
        </w:tc>
        <w:tc>
          <w:tcPr>
            <w:tcW w:w="4344" w:type="dxa"/>
          </w:tcPr>
          <w:p w14:paraId="462B798E">
            <w:pPr>
              <w:keepLines w:val="0"/>
              <w:pageBreakBefore w:val="0"/>
              <w:wordWrap/>
              <w:overflowPunct/>
              <w:bidi w:val="0"/>
              <w:rPr>
                <w:rFonts w:hint="eastAsia"/>
              </w:rPr>
            </w:pPr>
            <w:r>
              <w:rPr>
                <w:rFonts w:hint="eastAsia"/>
              </w:rPr>
              <w:t>81 - 100分</w:t>
            </w:r>
          </w:p>
        </w:tc>
      </w:tr>
      <w:tr w14:paraId="251496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955" w:type="dxa"/>
          </w:tcPr>
          <w:p w14:paraId="4D82C4A8">
            <w:pPr>
              <w:keepLines w:val="0"/>
              <w:pageBreakBefore w:val="0"/>
              <w:wordWrap/>
              <w:overflowPunct/>
              <w:bidi w:val="0"/>
              <w:jc w:val="center"/>
              <w:rPr>
                <w:rFonts w:hint="eastAsia"/>
              </w:rPr>
            </w:pPr>
            <w:r>
              <w:rPr>
                <w:rFonts w:hint="eastAsia"/>
              </w:rPr>
              <w:t>B档</w:t>
            </w:r>
          </w:p>
        </w:tc>
        <w:tc>
          <w:tcPr>
            <w:tcW w:w="1068" w:type="dxa"/>
          </w:tcPr>
          <w:p w14:paraId="15F9D15D">
            <w:pPr>
              <w:keepLines w:val="0"/>
              <w:pageBreakBefore w:val="0"/>
              <w:wordWrap/>
              <w:overflowPunct/>
              <w:bidi w:val="0"/>
              <w:jc w:val="center"/>
              <w:rPr>
                <w:rFonts w:hint="eastAsia"/>
              </w:rPr>
            </w:pPr>
            <w:r>
              <w:rPr>
                <w:rFonts w:hint="eastAsia"/>
              </w:rPr>
              <w:t>30%</w:t>
            </w:r>
          </w:p>
        </w:tc>
        <w:tc>
          <w:tcPr>
            <w:tcW w:w="4344" w:type="dxa"/>
          </w:tcPr>
          <w:p w14:paraId="7B913F1D">
            <w:pPr>
              <w:keepLines w:val="0"/>
              <w:pageBreakBefore w:val="0"/>
              <w:wordWrap/>
              <w:overflowPunct/>
              <w:bidi w:val="0"/>
              <w:rPr>
                <w:rFonts w:hint="eastAsia"/>
              </w:rPr>
            </w:pPr>
            <w:r>
              <w:rPr>
                <w:rFonts w:hint="eastAsia"/>
              </w:rPr>
              <w:t>61 - 80分</w:t>
            </w:r>
          </w:p>
        </w:tc>
      </w:tr>
      <w:tr w14:paraId="523C0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tcPr>
          <w:p w14:paraId="1DC8DFEA">
            <w:pPr>
              <w:keepLines w:val="0"/>
              <w:pageBreakBefore w:val="0"/>
              <w:wordWrap/>
              <w:overflowPunct/>
              <w:bidi w:val="0"/>
              <w:jc w:val="center"/>
              <w:rPr>
                <w:rFonts w:hint="eastAsia"/>
              </w:rPr>
            </w:pPr>
            <w:r>
              <w:rPr>
                <w:rFonts w:hint="eastAsia"/>
              </w:rPr>
              <w:t>C档</w:t>
            </w:r>
          </w:p>
        </w:tc>
        <w:tc>
          <w:tcPr>
            <w:tcW w:w="1068" w:type="dxa"/>
          </w:tcPr>
          <w:p w14:paraId="37E5FBF5">
            <w:pPr>
              <w:keepLines w:val="0"/>
              <w:pageBreakBefore w:val="0"/>
              <w:wordWrap/>
              <w:overflowPunct/>
              <w:bidi w:val="0"/>
              <w:jc w:val="center"/>
              <w:rPr>
                <w:rFonts w:hint="eastAsia"/>
              </w:rPr>
            </w:pPr>
            <w:r>
              <w:rPr>
                <w:rFonts w:hint="eastAsia"/>
              </w:rPr>
              <w:t>40%</w:t>
            </w:r>
          </w:p>
        </w:tc>
        <w:tc>
          <w:tcPr>
            <w:tcW w:w="4344" w:type="dxa"/>
          </w:tcPr>
          <w:p w14:paraId="5EC1C54A">
            <w:pPr>
              <w:keepLines w:val="0"/>
              <w:pageBreakBefore w:val="0"/>
              <w:wordWrap/>
              <w:overflowPunct/>
              <w:bidi w:val="0"/>
              <w:rPr>
                <w:rFonts w:hint="eastAsia"/>
              </w:rPr>
            </w:pPr>
            <w:r>
              <w:rPr>
                <w:rFonts w:hint="eastAsia"/>
              </w:rPr>
              <w:t>41 - 60分</w:t>
            </w:r>
          </w:p>
        </w:tc>
      </w:tr>
      <w:tr w14:paraId="53B90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tcPr>
          <w:p w14:paraId="01446954">
            <w:pPr>
              <w:keepLines w:val="0"/>
              <w:pageBreakBefore w:val="0"/>
              <w:wordWrap/>
              <w:overflowPunct/>
              <w:bidi w:val="0"/>
              <w:jc w:val="center"/>
              <w:rPr>
                <w:rFonts w:hint="eastAsia"/>
              </w:rPr>
            </w:pPr>
            <w:r>
              <w:rPr>
                <w:rFonts w:hint="eastAsia"/>
              </w:rPr>
              <w:t>D档</w:t>
            </w:r>
          </w:p>
        </w:tc>
        <w:tc>
          <w:tcPr>
            <w:tcW w:w="1068" w:type="dxa"/>
          </w:tcPr>
          <w:p w14:paraId="769B6BF9">
            <w:pPr>
              <w:keepLines w:val="0"/>
              <w:pageBreakBefore w:val="0"/>
              <w:wordWrap/>
              <w:overflowPunct/>
              <w:bidi w:val="0"/>
              <w:jc w:val="center"/>
              <w:rPr>
                <w:rFonts w:hint="eastAsia"/>
              </w:rPr>
            </w:pPr>
            <w:r>
              <w:rPr>
                <w:rFonts w:hint="eastAsia"/>
              </w:rPr>
              <w:t>10%</w:t>
            </w:r>
          </w:p>
        </w:tc>
        <w:tc>
          <w:tcPr>
            <w:tcW w:w="4344" w:type="dxa"/>
          </w:tcPr>
          <w:p w14:paraId="0E66E6EA">
            <w:pPr>
              <w:keepLines w:val="0"/>
              <w:pageBreakBefore w:val="0"/>
              <w:wordWrap/>
              <w:overflowPunct/>
              <w:bidi w:val="0"/>
              <w:rPr>
                <w:rFonts w:hint="eastAsia"/>
              </w:rPr>
            </w:pPr>
            <w:r>
              <w:rPr>
                <w:rFonts w:hint="eastAsia"/>
              </w:rPr>
              <w:t>21 - 40分</w:t>
            </w:r>
          </w:p>
        </w:tc>
      </w:tr>
      <w:tr w14:paraId="236FC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tcPr>
          <w:p w14:paraId="51D1A585">
            <w:pPr>
              <w:keepLines w:val="0"/>
              <w:pageBreakBefore w:val="0"/>
              <w:wordWrap/>
              <w:overflowPunct/>
              <w:bidi w:val="0"/>
              <w:jc w:val="center"/>
              <w:rPr>
                <w:rFonts w:hint="eastAsia"/>
              </w:rPr>
            </w:pPr>
            <w:r>
              <w:rPr>
                <w:rFonts w:hint="eastAsia"/>
              </w:rPr>
              <w:t>E档</w:t>
            </w:r>
          </w:p>
        </w:tc>
        <w:tc>
          <w:tcPr>
            <w:tcW w:w="1068" w:type="dxa"/>
          </w:tcPr>
          <w:p w14:paraId="0FB75BF5">
            <w:pPr>
              <w:keepLines w:val="0"/>
              <w:pageBreakBefore w:val="0"/>
              <w:wordWrap/>
              <w:overflowPunct/>
              <w:bidi w:val="0"/>
              <w:jc w:val="center"/>
              <w:rPr>
                <w:rFonts w:hint="eastAsia"/>
              </w:rPr>
            </w:pPr>
            <w:r>
              <w:rPr>
                <w:rFonts w:hint="eastAsia"/>
              </w:rPr>
              <w:t>5%</w:t>
            </w:r>
          </w:p>
        </w:tc>
        <w:tc>
          <w:tcPr>
            <w:tcW w:w="4344" w:type="dxa"/>
          </w:tcPr>
          <w:p w14:paraId="2AD97192">
            <w:pPr>
              <w:keepLines w:val="0"/>
              <w:pageBreakBefore w:val="0"/>
              <w:wordWrap/>
              <w:overflowPunct/>
              <w:bidi w:val="0"/>
              <w:rPr>
                <w:rFonts w:hint="eastAsia"/>
              </w:rPr>
            </w:pPr>
            <w:r>
              <w:rPr>
                <w:rFonts w:hint="eastAsia"/>
              </w:rPr>
              <w:t>20分及以下</w:t>
            </w:r>
          </w:p>
        </w:tc>
      </w:tr>
    </w:tbl>
    <w:p w14:paraId="1E09DBC8">
      <w:pPr>
        <w:keepLines w:val="0"/>
        <w:pageBreakBefore w:val="0"/>
        <w:numPr>
          <w:ilvl w:val="0"/>
          <w:numId w:val="2"/>
        </w:numPr>
        <w:wordWrap/>
        <w:overflowPunct/>
        <w:bidi w:val="0"/>
        <w:spacing w:before="104" w:line="259" w:lineRule="auto"/>
        <w:ind w:left="425" w:leftChars="0" w:right="109" w:hanging="425" w:firstLineChars="0"/>
        <w:rPr>
          <w:rFonts w:ascii="宋体" w:hAnsi="宋体" w:eastAsia="宋体" w:cs="宋体"/>
          <w:sz w:val="24"/>
          <w:szCs w:val="24"/>
        </w:rPr>
      </w:pPr>
      <w:r>
        <w:rPr>
          <w:rFonts w:ascii="宋体" w:hAnsi="宋体" w:eastAsia="宋体" w:cs="宋体"/>
          <w:sz w:val="24"/>
          <w:szCs w:val="24"/>
        </w:rPr>
        <w:t>员工绩效二级确认原则</w:t>
      </w:r>
      <w:r>
        <w:rPr>
          <w:rFonts w:hint="eastAsia" w:ascii="宋体" w:hAnsi="宋体" w:eastAsia="宋体" w:cs="宋体"/>
          <w:sz w:val="24"/>
          <w:szCs w:val="24"/>
          <w:lang w:eastAsia="zh-CN"/>
        </w:rPr>
        <w:t>：</w:t>
      </w:r>
    </w:p>
    <w:p w14:paraId="2BEDC336">
      <w:pPr>
        <w:pStyle w:val="29"/>
        <w:keepLines w:val="0"/>
        <w:pageBreakBefore w:val="0"/>
        <w:wordWrap/>
        <w:overflowPunct/>
        <w:bidi w:val="0"/>
      </w:pPr>
      <w:r>
        <w:t>经过直属主管和员工的沟通，经双方确认后，由上一级主管进行二级审核，并以主管副总经理签字的结果为最终结果。</w:t>
      </w:r>
    </w:p>
    <w:p w14:paraId="5235FE12">
      <w:pPr>
        <w:pStyle w:val="28"/>
        <w:keepLines w:val="0"/>
        <w:pageBreakBefore w:val="0"/>
        <w:wordWrap/>
        <w:overflowPunct/>
        <w:bidi w:val="0"/>
        <w:rPr>
          <w:rFonts w:hint="eastAsia"/>
          <w:lang w:val="en-US" w:eastAsia="zh-CN"/>
        </w:rPr>
      </w:pPr>
      <w:bookmarkStart w:id="4" w:name="_Toc17966"/>
      <w:r>
        <w:rPr>
          <w:rFonts w:hint="eastAsia"/>
          <w:lang w:val="en-US" w:eastAsia="zh-CN"/>
        </w:rPr>
        <w:t>适用</w:t>
      </w:r>
      <w:r>
        <w:t>范围：</w:t>
      </w:r>
      <w:bookmarkEnd w:id="4"/>
    </w:p>
    <w:p w14:paraId="5A998F12">
      <w:pPr>
        <w:pStyle w:val="29"/>
        <w:keepLines w:val="0"/>
        <w:pageBreakBefore w:val="0"/>
        <w:wordWrap/>
        <w:overflowPunct/>
        <w:bidi w:val="0"/>
        <w:rPr>
          <w:rFonts w:hint="default" w:eastAsia="宋体"/>
          <w:lang w:val="en-US" w:eastAsia="zh-CN"/>
        </w:rPr>
      </w:pPr>
      <w:r>
        <w:rPr>
          <w:rFonts w:hint="eastAsia"/>
          <w:lang w:val="en-US" w:eastAsia="zh-CN"/>
        </w:rPr>
        <w:t>此制度适用于公司全体员工。</w:t>
      </w:r>
    </w:p>
    <w:p w14:paraId="5F16B70C">
      <w:pPr>
        <w:pStyle w:val="28"/>
        <w:keepLines w:val="0"/>
        <w:pageBreakBefore w:val="0"/>
        <w:wordWrap/>
        <w:overflowPunct/>
        <w:bidi w:val="0"/>
        <w:rPr>
          <w:rFonts w:hint="eastAsia"/>
          <w:lang w:val="en-US" w:eastAsia="zh-CN"/>
        </w:rPr>
      </w:pPr>
      <w:bookmarkStart w:id="5" w:name="_Toc1957"/>
      <w:r>
        <w:rPr>
          <w:rFonts w:hint="eastAsia"/>
          <w:lang w:val="en-US" w:eastAsia="zh-CN"/>
        </w:rPr>
        <w:t>岗位职责</w:t>
      </w:r>
      <w:bookmarkEnd w:id="5"/>
    </w:p>
    <w:p w14:paraId="320D0155">
      <w:pPr>
        <w:pStyle w:val="30"/>
        <w:keepLines w:val="0"/>
        <w:pageBreakBefore w:val="0"/>
        <w:wordWrap/>
        <w:overflowPunct/>
        <w:bidi w:val="0"/>
      </w:pPr>
      <w:bookmarkStart w:id="6" w:name="_Toc28679"/>
      <w:bookmarkStart w:id="7" w:name="_Toc21099"/>
      <w:r>
        <w:rPr>
          <w:rFonts w:hint="eastAsia"/>
          <w:lang w:val="en-US" w:eastAsia="zh-CN"/>
        </w:rPr>
        <w:t>副总经理</w:t>
      </w:r>
      <w:bookmarkEnd w:id="6"/>
    </w:p>
    <w:p w14:paraId="45D9C29B">
      <w:pPr>
        <w:keepLines w:val="0"/>
        <w:pageBreakBefore w:val="0"/>
        <w:wordWrap/>
        <w:overflowPunct/>
        <w:bidi w:val="0"/>
        <w:spacing w:before="181" w:line="359" w:lineRule="auto"/>
        <w:ind w:left="23" w:firstLine="518"/>
        <w:rPr>
          <w:rFonts w:ascii="宋体" w:hAnsi="宋体" w:eastAsia="宋体" w:cs="宋体"/>
          <w:sz w:val="24"/>
          <w:szCs w:val="24"/>
        </w:rPr>
      </w:pPr>
      <w:r>
        <w:rPr>
          <w:rFonts w:hint="eastAsia" w:ascii="宋体" w:hAnsi="宋体" w:eastAsia="宋体" w:cs="宋体"/>
          <w:spacing w:val="-3"/>
          <w:sz w:val="24"/>
          <w:szCs w:val="24"/>
          <w:lang w:val="en-US" w:eastAsia="zh-CN"/>
        </w:rPr>
        <w:t>负责</w:t>
      </w:r>
      <w:r>
        <w:rPr>
          <w:rFonts w:ascii="宋体" w:hAnsi="宋体" w:eastAsia="宋体" w:cs="宋体"/>
          <w:spacing w:val="-3"/>
          <w:sz w:val="24"/>
          <w:szCs w:val="24"/>
        </w:rPr>
        <w:t>对各主管部门负责人进行考核</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人力部</w:t>
      </w:r>
      <w:r>
        <w:rPr>
          <w:rFonts w:ascii="宋体" w:hAnsi="宋体" w:eastAsia="宋体" w:cs="宋体"/>
          <w:spacing w:val="-3"/>
          <w:sz w:val="24"/>
          <w:szCs w:val="24"/>
        </w:rPr>
        <w:t>在公司层面负责按计划推进考核工作，对出现的问题进行沟通协调。</w:t>
      </w:r>
    </w:p>
    <w:p w14:paraId="09D71FE4">
      <w:pPr>
        <w:pStyle w:val="30"/>
        <w:keepLines w:val="0"/>
        <w:pageBreakBefore w:val="0"/>
        <w:wordWrap/>
        <w:overflowPunct/>
        <w:bidi w:val="0"/>
      </w:pPr>
      <w:bookmarkStart w:id="8" w:name="_Toc16576"/>
      <w:r>
        <w:rPr>
          <w:rFonts w:hint="eastAsia"/>
          <w:lang w:val="en-US" w:eastAsia="zh-CN"/>
        </w:rPr>
        <w:t>人力</w:t>
      </w:r>
      <w:r>
        <w:t>部</w:t>
      </w:r>
      <w:bookmarkEnd w:id="7"/>
      <w:bookmarkEnd w:id="8"/>
    </w:p>
    <w:p w14:paraId="145ECFBC">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负责本制度的制定、修订和监督执行；</w:t>
      </w:r>
    </w:p>
    <w:p w14:paraId="14C62D3F">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组织员工技能标准和评定标准的建立；</w:t>
      </w:r>
    </w:p>
    <w:p w14:paraId="6F5A7457">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组织、监督员工</w:t>
      </w:r>
      <w:r>
        <w:rPr>
          <w:rFonts w:hint="eastAsia" w:ascii="宋体" w:hAnsi="宋体" w:eastAsia="宋体" w:cs="宋体"/>
          <w:spacing w:val="-2"/>
          <w:sz w:val="24"/>
          <w:szCs w:val="24"/>
          <w:lang w:val="en-US" w:eastAsia="zh-CN"/>
        </w:rPr>
        <w:t>绩效考核</w:t>
      </w:r>
      <w:r>
        <w:rPr>
          <w:rFonts w:ascii="宋体" w:hAnsi="宋体" w:eastAsia="宋体" w:cs="宋体"/>
          <w:spacing w:val="-2"/>
          <w:sz w:val="24"/>
          <w:szCs w:val="24"/>
        </w:rPr>
        <w:t>；</w:t>
      </w:r>
    </w:p>
    <w:p w14:paraId="07E83F32">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3"/>
          <w:sz w:val="24"/>
          <w:szCs w:val="24"/>
        </w:rPr>
        <w:t>负责</w:t>
      </w:r>
      <w:r>
        <w:rPr>
          <w:rFonts w:hint="eastAsia" w:ascii="宋体" w:hAnsi="宋体" w:eastAsia="宋体" w:cs="宋体"/>
          <w:spacing w:val="-3"/>
          <w:sz w:val="24"/>
          <w:szCs w:val="24"/>
          <w:lang w:val="en-US" w:eastAsia="zh-CN"/>
        </w:rPr>
        <w:t>绩效考核结果</w:t>
      </w:r>
      <w:r>
        <w:rPr>
          <w:rFonts w:ascii="宋体" w:hAnsi="宋体" w:eastAsia="宋体" w:cs="宋体"/>
          <w:spacing w:val="-3"/>
          <w:sz w:val="24"/>
          <w:szCs w:val="24"/>
        </w:rPr>
        <w:t>的备案；</w:t>
      </w:r>
    </w:p>
    <w:p w14:paraId="043D4FAF">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受理和处理员工对</w:t>
      </w:r>
      <w:r>
        <w:rPr>
          <w:rFonts w:hint="eastAsia" w:ascii="宋体" w:hAnsi="宋体" w:eastAsia="宋体" w:cs="宋体"/>
          <w:spacing w:val="-2"/>
          <w:sz w:val="24"/>
          <w:szCs w:val="24"/>
          <w:lang w:val="en-US" w:eastAsia="zh-CN"/>
        </w:rPr>
        <w:t>绩效考核</w:t>
      </w:r>
      <w:r>
        <w:rPr>
          <w:rFonts w:ascii="宋体" w:hAnsi="宋体" w:eastAsia="宋体" w:cs="宋体"/>
          <w:spacing w:val="-2"/>
          <w:sz w:val="24"/>
          <w:szCs w:val="24"/>
        </w:rPr>
        <w:t>的意见和建议。</w:t>
      </w:r>
    </w:p>
    <w:p w14:paraId="40571FBD">
      <w:pPr>
        <w:pStyle w:val="30"/>
        <w:keepLines w:val="0"/>
        <w:pageBreakBefore w:val="0"/>
        <w:wordWrap/>
        <w:overflowPunct/>
        <w:bidi w:val="0"/>
      </w:pPr>
      <w:bookmarkStart w:id="9" w:name="bookmark7"/>
      <w:bookmarkEnd w:id="9"/>
      <w:bookmarkStart w:id="10" w:name="_Toc8354"/>
      <w:bookmarkStart w:id="11" w:name="_Toc16492"/>
      <w:r>
        <w:rPr>
          <w:rFonts w:hint="eastAsia"/>
          <w:lang w:val="en-US" w:eastAsia="zh-CN"/>
        </w:rPr>
        <w:t>其他</w:t>
      </w:r>
      <w:r>
        <w:t>运维</w:t>
      </w:r>
      <w:r>
        <w:rPr>
          <w:rFonts w:hint="eastAsia"/>
          <w:lang w:val="en-US" w:eastAsia="zh-CN"/>
        </w:rPr>
        <w:t>相关</w:t>
      </w:r>
      <w:r>
        <w:t>部</w:t>
      </w:r>
      <w:r>
        <w:rPr>
          <w:rFonts w:hint="eastAsia"/>
          <w:lang w:val="en-US" w:eastAsia="zh-CN"/>
        </w:rPr>
        <w:t>门</w:t>
      </w:r>
      <w:bookmarkEnd w:id="10"/>
      <w:bookmarkEnd w:id="11"/>
    </w:p>
    <w:p w14:paraId="68C55CC2">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参与本制度的制定和修订，负责本制度在部门的监督执行；</w:t>
      </w:r>
    </w:p>
    <w:p w14:paraId="09316D25">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组织部门员工</w:t>
      </w:r>
      <w:r>
        <w:rPr>
          <w:rFonts w:hint="eastAsia" w:ascii="宋体" w:hAnsi="宋体" w:eastAsia="宋体" w:cs="宋体"/>
          <w:spacing w:val="-1"/>
          <w:sz w:val="24"/>
          <w:szCs w:val="24"/>
          <w:lang w:val="en-US" w:eastAsia="zh-CN"/>
        </w:rPr>
        <w:t>考核</w:t>
      </w:r>
      <w:r>
        <w:rPr>
          <w:rFonts w:ascii="宋体" w:hAnsi="宋体" w:eastAsia="宋体" w:cs="宋体"/>
          <w:spacing w:val="-1"/>
          <w:sz w:val="24"/>
          <w:szCs w:val="24"/>
        </w:rPr>
        <w:t>标准的建立；</w:t>
      </w:r>
    </w:p>
    <w:p w14:paraId="5DC3449D">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组织、监督部门员工</w:t>
      </w:r>
      <w:r>
        <w:rPr>
          <w:rFonts w:hint="eastAsia" w:ascii="宋体" w:hAnsi="宋体" w:cs="宋体"/>
          <w:spacing w:val="-1"/>
          <w:sz w:val="24"/>
          <w:szCs w:val="24"/>
          <w:lang w:val="en-US" w:eastAsia="zh-CN"/>
        </w:rPr>
        <w:t>绩效考核</w:t>
      </w:r>
      <w:r>
        <w:rPr>
          <w:rFonts w:ascii="宋体" w:hAnsi="宋体" w:eastAsia="宋体" w:cs="宋体"/>
          <w:spacing w:val="-1"/>
          <w:sz w:val="24"/>
          <w:szCs w:val="24"/>
        </w:rPr>
        <w:t>；</w:t>
      </w:r>
    </w:p>
    <w:p w14:paraId="0D9D0A8E">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负责</w:t>
      </w:r>
      <w:r>
        <w:rPr>
          <w:rFonts w:hint="eastAsia" w:ascii="宋体" w:hAnsi="宋体" w:eastAsia="宋体" w:cs="宋体"/>
          <w:spacing w:val="-1"/>
          <w:sz w:val="24"/>
          <w:szCs w:val="24"/>
          <w:lang w:val="en-US" w:eastAsia="zh-CN"/>
        </w:rPr>
        <w:t>绩效考核结果的分析</w:t>
      </w:r>
      <w:r>
        <w:rPr>
          <w:rFonts w:ascii="宋体" w:hAnsi="宋体" w:eastAsia="宋体" w:cs="宋体"/>
          <w:spacing w:val="-1"/>
          <w:sz w:val="24"/>
          <w:szCs w:val="24"/>
        </w:rPr>
        <w:t>；</w:t>
      </w:r>
    </w:p>
    <w:p w14:paraId="45DAEE29">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受理和处理部门员工对</w:t>
      </w:r>
      <w:r>
        <w:rPr>
          <w:rFonts w:hint="eastAsia" w:ascii="宋体" w:hAnsi="宋体" w:eastAsia="宋体" w:cs="宋体"/>
          <w:spacing w:val="-1"/>
          <w:sz w:val="24"/>
          <w:szCs w:val="24"/>
          <w:lang w:val="en-US" w:eastAsia="zh-CN"/>
        </w:rPr>
        <w:t>绩效考核</w:t>
      </w:r>
      <w:r>
        <w:rPr>
          <w:rFonts w:ascii="宋体" w:hAnsi="宋体" w:eastAsia="宋体" w:cs="宋体"/>
          <w:spacing w:val="-1"/>
          <w:sz w:val="24"/>
          <w:szCs w:val="24"/>
        </w:rPr>
        <w:t>的意见和建议。</w:t>
      </w:r>
    </w:p>
    <w:p w14:paraId="0150D27D">
      <w:pPr>
        <w:pStyle w:val="28"/>
        <w:keepLines w:val="0"/>
        <w:pageBreakBefore w:val="0"/>
        <w:wordWrap/>
        <w:overflowPunct/>
        <w:bidi w:val="0"/>
        <w:rPr>
          <w:rFonts w:hint="default"/>
          <w:lang w:val="en-US" w:eastAsia="zh-CN"/>
        </w:rPr>
      </w:pPr>
      <w:bookmarkStart w:id="12" w:name="_Toc32141"/>
      <w:r>
        <w:rPr>
          <w:rFonts w:hint="eastAsia"/>
          <w:lang w:val="en-US" w:eastAsia="zh-CN"/>
        </w:rPr>
        <w:t>绩效考核实施</w:t>
      </w:r>
      <w:bookmarkEnd w:id="12"/>
    </w:p>
    <w:p w14:paraId="1D60273C">
      <w:pPr>
        <w:pStyle w:val="30"/>
        <w:keepLines w:val="0"/>
        <w:pageBreakBefore w:val="0"/>
        <w:wordWrap/>
        <w:overflowPunct/>
        <w:bidi w:val="0"/>
        <w:rPr>
          <w:rFonts w:hint="eastAsia"/>
          <w:lang w:val="en-US" w:eastAsia="zh-CN"/>
        </w:rPr>
      </w:pPr>
      <w:bookmarkStart w:id="13" w:name="_Toc7337"/>
      <w:r>
        <w:rPr>
          <w:rFonts w:hint="eastAsia"/>
          <w:lang w:val="en-US" w:eastAsia="zh-CN"/>
        </w:rPr>
        <w:t>考核指标确认</w:t>
      </w:r>
      <w:bookmarkEnd w:id="13"/>
    </w:p>
    <w:p w14:paraId="08F01838">
      <w:pPr>
        <w:pStyle w:val="31"/>
        <w:keepLines w:val="0"/>
        <w:pageBreakBefore w:val="0"/>
        <w:wordWrap/>
        <w:overflowPunct/>
        <w:bidi w:val="0"/>
        <w:rPr>
          <w:rFonts w:hint="eastAsia"/>
          <w:lang w:val="en-US" w:eastAsia="zh-CN"/>
        </w:rPr>
      </w:pPr>
      <w:bookmarkStart w:id="14" w:name="_Toc23306"/>
      <w:r>
        <w:rPr>
          <w:rFonts w:hint="eastAsia"/>
          <w:lang w:val="en-US" w:eastAsia="zh-CN"/>
        </w:rPr>
        <w:t>年度指标确认</w:t>
      </w:r>
      <w:bookmarkEnd w:id="14"/>
    </w:p>
    <w:p w14:paraId="344F8EDD">
      <w:pPr>
        <w:keepLines w:val="0"/>
        <w:pageBreakBefore w:val="0"/>
        <w:wordWrap/>
        <w:overflowPunct/>
        <w:bidi w:val="0"/>
        <w:spacing w:before="69" w:line="288" w:lineRule="auto"/>
        <w:ind w:left="122" w:right="109" w:firstLine="477"/>
        <w:rPr>
          <w:rFonts w:ascii="宋体" w:hAnsi="宋体" w:eastAsia="宋体" w:cs="宋体"/>
          <w:sz w:val="24"/>
          <w:szCs w:val="24"/>
        </w:rPr>
      </w:pPr>
      <w:r>
        <w:rPr>
          <w:rStyle w:val="39"/>
        </w:rPr>
        <w:t>每年初（3月</w:t>
      </w:r>
      <w:r>
        <w:rPr>
          <w:rStyle w:val="39"/>
          <w:rFonts w:hint="eastAsia"/>
          <w:lang w:val="en-US" w:eastAsia="zh-CN"/>
        </w:rPr>
        <w:t>前</w:t>
      </w:r>
      <w:r>
        <w:rPr>
          <w:rStyle w:val="39"/>
        </w:rPr>
        <w:t>）各分管主管副总根据公司年度经营目标，制定下辖各部门绩效考核任务指标，与各主管部门负责人签订绩效合同作为考核依据</w:t>
      </w:r>
      <w:r>
        <w:rPr>
          <w:rFonts w:ascii="宋体" w:hAnsi="宋体" w:eastAsia="宋体" w:cs="宋体"/>
          <w:spacing w:val="-1"/>
          <w:sz w:val="24"/>
          <w:szCs w:val="24"/>
        </w:rPr>
        <w:t>。</w:t>
      </w:r>
    </w:p>
    <w:p w14:paraId="6E77C16B">
      <w:pPr>
        <w:pStyle w:val="31"/>
        <w:keepLines w:val="0"/>
        <w:pageBreakBefore w:val="0"/>
        <w:wordWrap/>
        <w:overflowPunct/>
        <w:bidi w:val="0"/>
        <w:rPr>
          <w:rFonts w:hint="eastAsia"/>
          <w:lang w:val="en-US" w:eastAsia="zh-CN"/>
        </w:rPr>
      </w:pPr>
      <w:bookmarkStart w:id="15" w:name="_Toc12086"/>
      <w:r>
        <w:rPr>
          <w:rFonts w:hint="eastAsia"/>
          <w:lang w:val="en-US" w:eastAsia="zh-CN"/>
        </w:rPr>
        <w:t>季度指标确认</w:t>
      </w:r>
      <w:bookmarkEnd w:id="15"/>
    </w:p>
    <w:p w14:paraId="6F1AC42E">
      <w:pPr>
        <w:pStyle w:val="29"/>
        <w:keepLines w:val="0"/>
        <w:pageBreakBefore w:val="0"/>
        <w:wordWrap/>
        <w:overflowPunct/>
        <w:bidi w:val="0"/>
      </w:pPr>
      <w:r>
        <w:t>每季度初1号开始，部门负责人根据主管副总拟定的考核任务指标分解成季度考核任务指标。10号前与员工共同完成绩效工作任务的分配，作为员工季度考核依据。考核任务指标提取根据SMART原则要求做到明确、可量化、相关性、可实现和时效性。</w:t>
      </w:r>
    </w:p>
    <w:p w14:paraId="7064BD5C">
      <w:pPr>
        <w:pStyle w:val="31"/>
        <w:keepLines w:val="0"/>
        <w:pageBreakBefore w:val="0"/>
        <w:wordWrap/>
        <w:overflowPunct/>
        <w:bidi w:val="0"/>
        <w:rPr>
          <w:rFonts w:hint="default"/>
          <w:lang w:val="en-US" w:eastAsia="zh-CN"/>
        </w:rPr>
      </w:pPr>
      <w:bookmarkStart w:id="16" w:name="_Toc7543"/>
      <w:r>
        <w:rPr>
          <w:rFonts w:hint="eastAsia"/>
          <w:lang w:val="en-US" w:eastAsia="zh-CN"/>
        </w:rPr>
        <w:t>月度指标确认</w:t>
      </w:r>
      <w:bookmarkEnd w:id="16"/>
    </w:p>
    <w:p w14:paraId="50226DDB">
      <w:pPr>
        <w:pStyle w:val="29"/>
        <w:bidi w:val="0"/>
        <w:rPr>
          <w:rFonts w:hint="default"/>
          <w:lang w:val="en-US" w:eastAsia="zh-CN"/>
        </w:rPr>
      </w:pPr>
      <w:r>
        <w:t>部门根据季度绩效工作任务制定月度工作计划，作为绩效考核的过程跟踪，由部门自行掌握</w:t>
      </w:r>
      <w:r>
        <w:rPr>
          <w:rFonts w:hint="eastAsia"/>
          <w:lang w:val="en-US" w:eastAsia="zh-CN"/>
        </w:rPr>
        <w:t>人力部</w:t>
      </w:r>
      <w:r>
        <w:t>不做存档。</w:t>
      </w:r>
      <w:r>
        <w:rPr>
          <w:rFonts w:hint="eastAsia"/>
          <w:lang w:val="en-US" w:eastAsia="zh-CN"/>
        </w:rPr>
        <w:t>绩效考核流程跟踪表如表5-1所示</w:t>
      </w:r>
    </w:p>
    <w:p w14:paraId="185AA5B6">
      <w:pPr>
        <w:pStyle w:val="29"/>
        <w:keepLines w:val="0"/>
        <w:pageBreakBefore w:val="0"/>
        <w:wordWrap/>
        <w:overflowPunct/>
        <w:bidi w:val="0"/>
        <w:ind w:left="0" w:leftChars="0" w:right="0" w:rightChars="0" w:firstLine="0" w:firstLineChars="0"/>
        <w:jc w:val="center"/>
        <w:rPr>
          <w:rFonts w:hint="default"/>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表 \* ARABIC  \s 1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绩效考核流程跟踪表</w:t>
      </w:r>
    </w:p>
    <w:tbl>
      <w:tblPr>
        <w:tblStyle w:val="26"/>
        <w:tblW w:w="852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39"/>
        <w:gridCol w:w="6587"/>
      </w:tblGrid>
      <w:tr w14:paraId="0AB5235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5" w:hRule="atLeast"/>
        </w:trPr>
        <w:tc>
          <w:tcPr>
            <w:tcW w:w="1939" w:type="dxa"/>
          </w:tcPr>
          <w:p w14:paraId="1BEA0249">
            <w:pPr>
              <w:keepLines w:val="0"/>
              <w:pageBreakBefore w:val="0"/>
              <w:wordWrap/>
              <w:overflowPunct/>
              <w:bidi w:val="0"/>
              <w:spacing w:before="82" w:line="219" w:lineRule="auto"/>
              <w:ind w:left="115"/>
              <w:rPr>
                <w:rFonts w:hint="eastAsia" w:ascii="宋体" w:hAnsi="宋体" w:eastAsia="宋体" w:cs="宋体"/>
                <w:b/>
                <w:bCs/>
                <w:spacing w:val="-2"/>
                <w:sz w:val="24"/>
                <w:szCs w:val="24"/>
                <w:lang w:val="en-US" w:eastAsia="zh-CN"/>
              </w:rPr>
            </w:pPr>
            <w:r>
              <w:rPr>
                <w:rFonts w:hint="eastAsia" w:ascii="宋体" w:hAnsi="宋体" w:eastAsia="宋体" w:cs="宋体"/>
                <w:b/>
                <w:bCs/>
                <w:spacing w:val="-2"/>
                <w:sz w:val="24"/>
                <w:szCs w:val="24"/>
                <w:lang w:val="en-US" w:eastAsia="zh-CN"/>
              </w:rPr>
              <w:t>时间节点</w:t>
            </w:r>
          </w:p>
        </w:tc>
        <w:tc>
          <w:tcPr>
            <w:tcW w:w="6587" w:type="dxa"/>
          </w:tcPr>
          <w:p w14:paraId="76EEEAEB">
            <w:pPr>
              <w:keepLines w:val="0"/>
              <w:pageBreakBefore w:val="0"/>
              <w:wordWrap/>
              <w:overflowPunct/>
              <w:bidi w:val="0"/>
              <w:spacing w:before="81" w:line="219" w:lineRule="auto"/>
              <w:ind w:left="115"/>
              <w:rPr>
                <w:rFonts w:hint="default" w:ascii="宋体" w:hAnsi="宋体" w:eastAsia="宋体" w:cs="宋体"/>
                <w:b/>
                <w:bCs/>
                <w:spacing w:val="-1"/>
                <w:sz w:val="24"/>
                <w:szCs w:val="24"/>
                <w:lang w:val="en-US" w:eastAsia="zh-CN"/>
              </w:rPr>
            </w:pPr>
            <w:r>
              <w:rPr>
                <w:rFonts w:hint="eastAsia" w:ascii="宋体" w:hAnsi="宋体" w:eastAsia="宋体" w:cs="宋体"/>
                <w:b/>
                <w:bCs/>
                <w:spacing w:val="-1"/>
                <w:sz w:val="24"/>
                <w:szCs w:val="24"/>
                <w:lang w:val="en-US" w:eastAsia="zh-CN"/>
              </w:rPr>
              <w:t>工作内容</w:t>
            </w:r>
          </w:p>
        </w:tc>
      </w:tr>
      <w:tr w14:paraId="10EE0AA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5" w:hRule="atLeast"/>
        </w:trPr>
        <w:tc>
          <w:tcPr>
            <w:tcW w:w="1939" w:type="dxa"/>
          </w:tcPr>
          <w:p w14:paraId="23C31232">
            <w:pPr>
              <w:keepLines w:val="0"/>
              <w:pageBreakBefore w:val="0"/>
              <w:wordWrap/>
              <w:overflowPunct/>
              <w:bidi w:val="0"/>
              <w:spacing w:before="82" w:line="219" w:lineRule="auto"/>
              <w:ind w:left="115"/>
              <w:rPr>
                <w:rFonts w:ascii="宋体" w:hAnsi="宋体" w:eastAsia="宋体" w:cs="宋体"/>
                <w:sz w:val="24"/>
                <w:szCs w:val="24"/>
              </w:rPr>
            </w:pPr>
            <w:r>
              <w:rPr>
                <w:rFonts w:ascii="宋体" w:hAnsi="宋体" w:eastAsia="宋体" w:cs="宋体"/>
                <w:spacing w:val="-2"/>
                <w:sz w:val="24"/>
                <w:szCs w:val="24"/>
              </w:rPr>
              <w:t>季度首月第一周</w:t>
            </w:r>
          </w:p>
        </w:tc>
        <w:tc>
          <w:tcPr>
            <w:tcW w:w="6587" w:type="dxa"/>
          </w:tcPr>
          <w:p w14:paraId="5EC20D47">
            <w:pPr>
              <w:keepLines w:val="0"/>
              <w:pageBreakBefore w:val="0"/>
              <w:wordWrap/>
              <w:overflowPunct/>
              <w:bidi w:val="0"/>
              <w:spacing w:before="81" w:line="219" w:lineRule="auto"/>
              <w:ind w:left="115"/>
              <w:rPr>
                <w:rFonts w:ascii="宋体" w:hAnsi="宋体" w:eastAsia="宋体" w:cs="宋体"/>
                <w:sz w:val="24"/>
                <w:szCs w:val="24"/>
              </w:rPr>
            </w:pPr>
            <w:r>
              <w:rPr>
                <w:rFonts w:ascii="宋体" w:hAnsi="宋体" w:eastAsia="宋体" w:cs="宋体"/>
                <w:spacing w:val="-1"/>
                <w:sz w:val="24"/>
                <w:szCs w:val="24"/>
              </w:rPr>
              <w:t>部门主管以例会方式，向下属分配并辅导重点工作任务。</w:t>
            </w:r>
          </w:p>
        </w:tc>
      </w:tr>
      <w:tr w14:paraId="3E5A634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1939" w:type="dxa"/>
          </w:tcPr>
          <w:p w14:paraId="02B08561">
            <w:pPr>
              <w:keepLines w:val="0"/>
              <w:pageBreakBefore w:val="0"/>
              <w:wordWrap/>
              <w:overflowPunct/>
              <w:bidi w:val="0"/>
              <w:spacing w:before="35" w:line="219" w:lineRule="auto"/>
              <w:ind w:left="114"/>
              <w:rPr>
                <w:rFonts w:ascii="宋体" w:hAnsi="宋体" w:eastAsia="宋体" w:cs="宋体"/>
                <w:sz w:val="24"/>
                <w:szCs w:val="24"/>
              </w:rPr>
            </w:pPr>
            <w:r>
              <w:rPr>
                <w:rFonts w:ascii="宋体" w:hAnsi="宋体" w:eastAsia="宋体" w:cs="宋体"/>
                <w:spacing w:val="-4"/>
                <w:sz w:val="24"/>
                <w:szCs w:val="24"/>
              </w:rPr>
              <w:t>每两周</w:t>
            </w:r>
          </w:p>
        </w:tc>
        <w:tc>
          <w:tcPr>
            <w:tcW w:w="6587" w:type="dxa"/>
          </w:tcPr>
          <w:p w14:paraId="10BDC3F0">
            <w:pPr>
              <w:keepLines w:val="0"/>
              <w:pageBreakBefore w:val="0"/>
              <w:wordWrap/>
              <w:overflowPunct/>
              <w:bidi w:val="0"/>
              <w:spacing w:before="35" w:line="219" w:lineRule="auto"/>
              <w:ind w:left="121"/>
              <w:rPr>
                <w:rFonts w:ascii="宋体" w:hAnsi="宋体" w:eastAsia="宋体" w:cs="宋体"/>
                <w:sz w:val="24"/>
                <w:szCs w:val="24"/>
              </w:rPr>
            </w:pPr>
            <w:r>
              <w:rPr>
                <w:rFonts w:ascii="宋体" w:hAnsi="宋体" w:eastAsia="宋体" w:cs="宋体"/>
                <w:spacing w:val="-1"/>
                <w:sz w:val="24"/>
                <w:szCs w:val="24"/>
              </w:rPr>
              <w:t>员工以周报方式向领导汇报各自工作进展状况。</w:t>
            </w:r>
          </w:p>
        </w:tc>
      </w:tr>
      <w:tr w14:paraId="74ED6A7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01" w:hRule="atLeast"/>
        </w:trPr>
        <w:tc>
          <w:tcPr>
            <w:tcW w:w="1939" w:type="dxa"/>
          </w:tcPr>
          <w:p w14:paraId="7C2480E0">
            <w:pPr>
              <w:keepLines w:val="0"/>
              <w:pageBreakBefore w:val="0"/>
              <w:wordWrap/>
              <w:overflowPunct/>
              <w:bidi w:val="0"/>
              <w:spacing w:before="268" w:line="360" w:lineRule="auto"/>
              <w:ind w:left="120" w:right="326"/>
              <w:rPr>
                <w:rFonts w:ascii="宋体" w:hAnsi="宋体" w:eastAsia="宋体" w:cs="宋体"/>
                <w:sz w:val="24"/>
                <w:szCs w:val="24"/>
              </w:rPr>
            </w:pPr>
            <w:r>
              <w:rPr>
                <w:rFonts w:ascii="宋体" w:hAnsi="宋体" w:eastAsia="宋体" w:cs="宋体"/>
                <w:spacing w:val="-2"/>
                <w:sz w:val="24"/>
                <w:szCs w:val="24"/>
              </w:rPr>
              <w:t>次月第一周/第三</w:t>
            </w:r>
            <w:r>
              <w:rPr>
                <w:rFonts w:ascii="宋体" w:hAnsi="宋体" w:eastAsia="宋体" w:cs="宋体"/>
                <w:spacing w:val="-4"/>
                <w:sz w:val="24"/>
                <w:szCs w:val="24"/>
              </w:rPr>
              <w:t>月第一周</w:t>
            </w:r>
          </w:p>
        </w:tc>
        <w:tc>
          <w:tcPr>
            <w:tcW w:w="6587" w:type="dxa"/>
          </w:tcPr>
          <w:p w14:paraId="61E77C0D">
            <w:pPr>
              <w:keepLines w:val="0"/>
              <w:pageBreakBefore w:val="0"/>
              <w:wordWrap/>
              <w:overflowPunct/>
              <w:bidi w:val="0"/>
              <w:spacing w:before="33" w:line="348" w:lineRule="auto"/>
              <w:ind w:left="115" w:right="181" w:firstLine="24"/>
              <w:jc w:val="both"/>
              <w:rPr>
                <w:rFonts w:ascii="宋体" w:hAnsi="宋体" w:eastAsia="宋体" w:cs="宋体"/>
                <w:sz w:val="24"/>
                <w:szCs w:val="24"/>
              </w:rPr>
            </w:pPr>
            <w:r>
              <w:rPr>
                <w:rFonts w:ascii="宋体" w:hAnsi="宋体" w:eastAsia="宋体" w:cs="宋体"/>
                <w:spacing w:val="-2"/>
                <w:sz w:val="24"/>
                <w:szCs w:val="24"/>
              </w:rPr>
              <w:t>以例会方式员工向主管汇报上月工作进度、业绩和不足，</w:t>
            </w:r>
            <w:r>
              <w:rPr>
                <w:rFonts w:ascii="宋体" w:hAnsi="宋体" w:eastAsia="宋体" w:cs="宋体"/>
                <w:spacing w:val="-1"/>
                <w:sz w:val="24"/>
                <w:szCs w:val="24"/>
              </w:rPr>
              <w:t>部门主管进行总结的同时对工作任务进行辅导，并安排下</w:t>
            </w:r>
            <w:r>
              <w:rPr>
                <w:rFonts w:ascii="宋体" w:hAnsi="宋体" w:eastAsia="宋体" w:cs="宋体"/>
                <w:spacing w:val="-3"/>
                <w:sz w:val="24"/>
                <w:szCs w:val="24"/>
              </w:rPr>
              <w:t>月工作任务。</w:t>
            </w:r>
          </w:p>
        </w:tc>
      </w:tr>
      <w:tr w14:paraId="011B2A3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6" w:hRule="atLeast"/>
        </w:trPr>
        <w:tc>
          <w:tcPr>
            <w:tcW w:w="1939" w:type="dxa"/>
          </w:tcPr>
          <w:p w14:paraId="241A58B7">
            <w:pPr>
              <w:keepLines w:val="0"/>
              <w:pageBreakBefore w:val="0"/>
              <w:wordWrap/>
              <w:overflowPunct/>
              <w:bidi w:val="0"/>
              <w:spacing w:before="41" w:line="219" w:lineRule="auto"/>
              <w:ind w:left="114"/>
              <w:rPr>
                <w:rFonts w:ascii="宋体" w:hAnsi="宋体" w:eastAsia="宋体" w:cs="宋体"/>
                <w:sz w:val="24"/>
                <w:szCs w:val="24"/>
              </w:rPr>
            </w:pPr>
            <w:r>
              <w:rPr>
                <w:rFonts w:ascii="宋体" w:hAnsi="宋体" w:eastAsia="宋体" w:cs="宋体"/>
                <w:spacing w:val="-2"/>
                <w:sz w:val="24"/>
                <w:szCs w:val="24"/>
              </w:rPr>
              <w:t>第三月最后一周</w:t>
            </w:r>
          </w:p>
        </w:tc>
        <w:tc>
          <w:tcPr>
            <w:tcW w:w="6587" w:type="dxa"/>
          </w:tcPr>
          <w:p w14:paraId="33C77A4C">
            <w:pPr>
              <w:keepLines w:val="0"/>
              <w:pageBreakBefore w:val="0"/>
              <w:wordWrap/>
              <w:overflowPunct/>
              <w:bidi w:val="0"/>
              <w:spacing w:before="40" w:line="219" w:lineRule="auto"/>
              <w:ind w:left="115"/>
              <w:rPr>
                <w:rFonts w:ascii="宋体" w:hAnsi="宋体" w:eastAsia="宋体" w:cs="宋体"/>
                <w:sz w:val="24"/>
                <w:szCs w:val="24"/>
              </w:rPr>
            </w:pPr>
            <w:r>
              <w:rPr>
                <w:rFonts w:ascii="宋体" w:hAnsi="宋体" w:eastAsia="宋体" w:cs="宋体"/>
                <w:spacing w:val="-1"/>
                <w:sz w:val="24"/>
                <w:szCs w:val="24"/>
              </w:rPr>
              <w:t>部门主管对本部门员工工作进行总结，并按照季初提取的工作任务考核表对员工进行考核评分、反馈和绩效辅导。</w:t>
            </w:r>
          </w:p>
        </w:tc>
      </w:tr>
    </w:tbl>
    <w:p w14:paraId="2559476D">
      <w:pPr>
        <w:pStyle w:val="30"/>
        <w:keepLines w:val="0"/>
        <w:pageBreakBefore w:val="0"/>
        <w:wordWrap/>
        <w:overflowPunct/>
        <w:bidi w:val="0"/>
        <w:rPr>
          <w:rFonts w:hint="default"/>
          <w:lang w:val="en-US" w:eastAsia="zh-CN"/>
        </w:rPr>
      </w:pPr>
      <w:bookmarkStart w:id="17" w:name="_Toc2135"/>
      <w:r>
        <w:rPr>
          <w:rFonts w:hint="eastAsia"/>
          <w:lang w:val="en-US" w:eastAsia="zh-CN"/>
        </w:rPr>
        <w:t>指标完成情况跟踪</w:t>
      </w:r>
      <w:bookmarkEnd w:id="17"/>
    </w:p>
    <w:p w14:paraId="11FFC1AB">
      <w:pPr>
        <w:pStyle w:val="29"/>
        <w:bidi w:val="0"/>
      </w:pPr>
      <w:r>
        <w:t>未按照考核时间节点完成考核计划</w:t>
      </w:r>
      <w:r>
        <w:rPr>
          <w:rFonts w:hint="eastAsia"/>
          <w:lang w:eastAsia="zh-CN"/>
        </w:rPr>
        <w:t>，</w:t>
      </w:r>
      <w:r>
        <w:t>视拖延情况</w:t>
      </w:r>
      <w:r>
        <w:rPr>
          <w:rFonts w:hint="eastAsia"/>
          <w:lang w:eastAsia="zh-CN"/>
        </w:rPr>
        <w:t>人力部</w:t>
      </w:r>
      <w:r>
        <w:t>对其部门主管年底考核酌情进行一定比例的扣分。</w:t>
      </w:r>
    </w:p>
    <w:p w14:paraId="08D070B8">
      <w:pPr>
        <w:pStyle w:val="29"/>
        <w:bidi w:val="0"/>
      </w:pPr>
      <w:r>
        <w:rPr>
          <w:rFonts w:hint="eastAsia"/>
          <w:lang w:val="en-US" w:eastAsia="zh-CN"/>
        </w:rPr>
        <w:t>人力部</w:t>
      </w:r>
      <w:r>
        <w:t>每季末，组织实施绩效考核工作。发放考核通知、考核成绩汇总表、划定各考核等级比例。</w:t>
      </w:r>
    </w:p>
    <w:p w14:paraId="4C5E61CC">
      <w:pPr>
        <w:pStyle w:val="29"/>
        <w:bidi w:val="0"/>
      </w:pPr>
      <w:r>
        <w:t>部门主管于季度末，根据</w:t>
      </w:r>
      <w:r>
        <w:rPr>
          <w:rFonts w:hint="eastAsia"/>
          <w:lang w:eastAsia="zh-CN"/>
        </w:rPr>
        <w:t>人力部</w:t>
      </w:r>
      <w:r>
        <w:t>划定的各考核等级比例、员工当季度工作表现，完成对其“工作任务”和“周边绩效”进行考核评分；下季度初3号前完成员工主管双向沟通，15号前将经主管副总签字确认后的考核成绩汇总表、工作任务表和周边绩效表上交</w:t>
      </w:r>
      <w:r>
        <w:rPr>
          <w:rFonts w:hint="eastAsia"/>
          <w:lang w:val="en-US" w:eastAsia="zh-CN"/>
        </w:rPr>
        <w:t>人力部</w:t>
      </w:r>
      <w:r>
        <w:t>汇总。</w:t>
      </w:r>
    </w:p>
    <w:p w14:paraId="5F0C9BEF">
      <w:pPr>
        <w:pStyle w:val="29"/>
        <w:bidi w:val="0"/>
      </w:pPr>
      <w:r>
        <w:rPr>
          <w:rFonts w:hint="eastAsia"/>
          <w:lang w:val="en-US" w:eastAsia="zh-CN"/>
        </w:rPr>
        <w:t>人力部</w:t>
      </w:r>
      <w:r>
        <w:t>25号前对部门提交的考核成绩进行审核，并按既定比例和奖金系数核算绩效奖金，在当月的工资中体现，由公司代扣代缴个人所得税。</w:t>
      </w:r>
    </w:p>
    <w:p w14:paraId="2E0DD47F">
      <w:pPr>
        <w:pStyle w:val="30"/>
        <w:keepLines w:val="0"/>
        <w:pageBreakBefore w:val="0"/>
        <w:wordWrap/>
        <w:overflowPunct/>
        <w:bidi w:val="0"/>
        <w:rPr>
          <w:rFonts w:hint="eastAsia" w:ascii="宋体" w:hAnsi="宋体" w:eastAsia="宋体" w:cs="宋体"/>
          <w:sz w:val="24"/>
          <w:szCs w:val="24"/>
          <w:lang w:val="en-US" w:eastAsia="zh-CN"/>
        </w:rPr>
      </w:pPr>
      <w:bookmarkStart w:id="18" w:name="_Toc1281"/>
      <w:r>
        <w:rPr>
          <w:rFonts w:ascii="宋体" w:hAnsi="宋体" w:eastAsia="宋体" w:cs="宋体"/>
          <w:b/>
          <w:bCs/>
          <w:spacing w:val="-3"/>
          <w:sz w:val="24"/>
          <w:szCs w:val="24"/>
        </w:rPr>
        <w:t>考核</w:t>
      </w:r>
      <w:r>
        <w:rPr>
          <w:rFonts w:hint="eastAsia" w:ascii="宋体" w:hAnsi="宋体" w:eastAsia="宋体" w:cs="宋体"/>
          <w:b/>
          <w:bCs/>
          <w:spacing w:val="-3"/>
          <w:sz w:val="24"/>
          <w:szCs w:val="24"/>
          <w:lang w:val="en-US" w:eastAsia="zh-CN"/>
        </w:rPr>
        <w:t>要求</w:t>
      </w:r>
      <w:bookmarkEnd w:id="18"/>
    </w:p>
    <w:p w14:paraId="7191FC69">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z w:val="24"/>
          <w:szCs w:val="24"/>
        </w:rPr>
        <w:t>根据考核比例计算出来的绩效得分一律四</w:t>
      </w:r>
      <w:r>
        <w:rPr>
          <w:rFonts w:ascii="宋体" w:hAnsi="宋体" w:eastAsia="宋体" w:cs="宋体"/>
          <w:spacing w:val="-1"/>
          <w:sz w:val="24"/>
          <w:szCs w:val="24"/>
        </w:rPr>
        <w:t>舍五入，不保留小数位。</w:t>
      </w:r>
    </w:p>
    <w:p w14:paraId="7B163070">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z w:val="24"/>
          <w:szCs w:val="24"/>
        </w:rPr>
        <w:t>全员绩效考核：根据员工设定的工</w:t>
      </w:r>
      <w:r>
        <w:rPr>
          <w:rFonts w:ascii="宋体" w:hAnsi="宋体" w:eastAsia="宋体" w:cs="宋体"/>
          <w:spacing w:val="-1"/>
          <w:sz w:val="24"/>
          <w:szCs w:val="24"/>
        </w:rPr>
        <w:t>作目标及周边绩效进行。</w:t>
      </w:r>
    </w:p>
    <w:p w14:paraId="308A96B9">
      <w:pPr>
        <w:pStyle w:val="41"/>
        <w:numPr>
          <w:ilvl w:val="0"/>
          <w:numId w:val="6"/>
        </w:numPr>
        <w:bidi w:val="0"/>
      </w:pPr>
      <w:r>
        <w:t>各部门负责人由主管副总进行考核，绩效使用《管理人员绩效考核表》。</w:t>
      </w:r>
    </w:p>
    <w:p w14:paraId="3404C8ED">
      <w:pPr>
        <w:pStyle w:val="41"/>
        <w:numPr>
          <w:ilvl w:val="0"/>
          <w:numId w:val="6"/>
        </w:numPr>
        <w:bidi w:val="0"/>
      </w:pPr>
      <w:r>
        <w:t>普通员工考核由直属主管进行，绩效使用《员工绩效考核表》，尚未转正的员工不参加考核。</w:t>
      </w:r>
    </w:p>
    <w:p w14:paraId="3FEA7DFD">
      <w:pPr>
        <w:pStyle w:val="41"/>
        <w:numPr>
          <w:ilvl w:val="0"/>
          <w:numId w:val="6"/>
        </w:numPr>
        <w:bidi w:val="0"/>
      </w:pPr>
      <w:r>
        <w:t>本年度长期在矩阵式组织工作的员工的考核由该组织负责人征求员工主管部门意见后进行，考核比例列入员工所在矩阵式组织。</w:t>
      </w:r>
    </w:p>
    <w:p w14:paraId="6A588F79">
      <w:pPr>
        <w:pStyle w:val="41"/>
        <w:numPr>
          <w:ilvl w:val="0"/>
          <w:numId w:val="6"/>
        </w:numPr>
        <w:bidi w:val="0"/>
      </w:pPr>
      <w:r>
        <w:t>在考核期内工作调动的员工，由现任直属主管征求前任主管意见后进行考核。</w:t>
      </w:r>
    </w:p>
    <w:p w14:paraId="71ABEFAE">
      <w:pPr>
        <w:pStyle w:val="30"/>
        <w:keepLines w:val="0"/>
        <w:pageBreakBefore w:val="0"/>
        <w:wordWrap/>
        <w:overflowPunct/>
        <w:bidi w:val="0"/>
        <w:rPr>
          <w:rFonts w:hint="eastAsia"/>
          <w:lang w:val="en-US" w:eastAsia="zh-CN"/>
        </w:rPr>
      </w:pPr>
      <w:bookmarkStart w:id="19" w:name="_Toc31891"/>
      <w:r>
        <w:t>考核结果</w:t>
      </w:r>
      <w:r>
        <w:rPr>
          <w:rFonts w:hint="eastAsia"/>
          <w:lang w:val="en-US" w:eastAsia="zh-CN"/>
        </w:rPr>
        <w:t>输出</w:t>
      </w:r>
      <w:bookmarkEnd w:id="19"/>
    </w:p>
    <w:p w14:paraId="3CE2080C">
      <w:pPr>
        <w:keepLines w:val="0"/>
        <w:pageBreakBefore w:val="0"/>
        <w:wordWrap/>
        <w:overflowPunct/>
        <w:bidi w:val="0"/>
        <w:spacing w:before="68" w:line="219" w:lineRule="auto"/>
        <w:ind w:left="719"/>
        <w:rPr>
          <w:rFonts w:hint="default" w:ascii="宋体" w:hAnsi="宋体" w:eastAsia="宋体" w:cs="宋体"/>
          <w:spacing w:val="-1"/>
          <w:sz w:val="24"/>
          <w:szCs w:val="24"/>
          <w:lang w:val="en-US"/>
        </w:rPr>
      </w:pPr>
      <m:oMathPara>
        <m:oMathParaPr>
          <m:jc m:val="left"/>
        </m:oMathParaPr>
        <m:oMath>
          <m:r>
            <m:rPr>
              <m:sty m:val="p"/>
            </m:rPr>
            <w:rPr>
              <w:rFonts w:hint="eastAsia" w:ascii="Cambria Math" w:hAnsi="Cambria Math" w:eastAsia="宋体" w:cs="宋体"/>
              <w:snapToGrid w:val="0"/>
              <w:color w:val="000000"/>
              <w:spacing w:val="-1"/>
              <w:kern w:val="0"/>
              <w:sz w:val="24"/>
              <w:szCs w:val="24"/>
              <w:lang w:val="en-US" w:eastAsia="zh-CN" w:bidi="ar-SA"/>
            </w:rPr>
            <m:t>员工绩效考核得分</m:t>
          </m:r>
          <m:r>
            <m:rPr>
              <m:sty m:val="p"/>
            </m:rPr>
            <w:rPr>
              <w:rFonts w:hint="default" w:ascii="Cambria Math" w:hAnsi="Cambria Math" w:eastAsia="宋体" w:cs="宋体"/>
              <w:snapToGrid w:val="0"/>
              <w:color w:val="000000"/>
              <w:spacing w:val="-1"/>
              <w:kern w:val="0"/>
              <w:sz w:val="24"/>
              <w:szCs w:val="24"/>
              <w:lang w:val="en-US" w:eastAsia="zh-CN" w:bidi="ar-SA"/>
            </w:rPr>
            <m:t>=</m:t>
          </m:r>
          <m:r>
            <m:rPr>
              <m:sty m:val="p"/>
            </m:rPr>
            <w:rPr>
              <w:rFonts w:hint="eastAsia" w:ascii="Cambria Math" w:hAnsi="Cambria Math" w:eastAsia="宋体" w:cs="宋体"/>
              <w:snapToGrid w:val="0"/>
              <w:color w:val="000000"/>
              <w:spacing w:val="-1"/>
              <w:kern w:val="0"/>
              <w:sz w:val="24"/>
              <w:szCs w:val="24"/>
              <w:lang w:val="en-US" w:eastAsia="zh-CN" w:bidi="ar-SA"/>
            </w:rPr>
            <m:t>完成工作计划得分</m:t>
          </m:r>
          <m:r>
            <m:rPr>
              <m:sty m:val="p"/>
            </m:rPr>
            <w:rPr>
              <w:rFonts w:hint="default" w:ascii="Cambria Math" w:hAnsi="Cambria Math" w:eastAsia="宋体" w:cs="Cambria Math"/>
              <w:snapToGrid w:val="0"/>
              <w:color w:val="000000"/>
              <w:spacing w:val="-1"/>
              <w:kern w:val="0"/>
              <w:sz w:val="24"/>
              <w:szCs w:val="24"/>
              <w:lang w:val="en-US" w:eastAsia="zh-CN" w:bidi="ar-SA"/>
            </w:rPr>
            <m:t>×</m:t>
          </m:r>
          <m:r>
            <m:rPr>
              <m:sty m:val="p"/>
            </m:rPr>
            <w:rPr>
              <w:rFonts w:hint="default" w:ascii="Cambria Math" w:hAnsi="Cambria Math" w:eastAsia="宋体" w:cs="宋体"/>
              <w:snapToGrid w:val="0"/>
              <w:color w:val="000000"/>
              <w:spacing w:val="-1"/>
              <w:kern w:val="0"/>
              <w:sz w:val="24"/>
              <w:szCs w:val="24"/>
              <w:lang w:val="en-US" w:eastAsia="zh-CN" w:bidi="ar-SA"/>
            </w:rPr>
            <m:t>70%+</m:t>
          </m:r>
          <m:r>
            <m:rPr>
              <m:sty m:val="p"/>
            </m:rPr>
            <w:rPr>
              <w:rFonts w:hint="eastAsia" w:ascii="Cambria Math" w:hAnsi="Cambria Math" w:eastAsia="宋体" w:cs="宋体"/>
              <w:snapToGrid w:val="0"/>
              <w:color w:val="000000"/>
              <w:spacing w:val="-1"/>
              <w:kern w:val="0"/>
              <w:sz w:val="24"/>
              <w:szCs w:val="24"/>
              <w:lang w:val="en-US" w:eastAsia="zh-CN" w:bidi="ar-SA"/>
            </w:rPr>
            <m:t>绩效得分</m:t>
          </m:r>
          <m:r>
            <m:rPr>
              <m:sty m:val="p"/>
            </m:rPr>
            <w:rPr>
              <w:rFonts w:hint="default" w:ascii="Cambria Math" w:hAnsi="Cambria Math" w:eastAsia="宋体" w:cs="Cambria Math"/>
              <w:snapToGrid w:val="0"/>
              <w:color w:val="000000"/>
              <w:spacing w:val="-1"/>
              <w:kern w:val="0"/>
              <w:sz w:val="24"/>
              <w:szCs w:val="24"/>
              <w:lang w:val="en-US" w:eastAsia="zh-CN" w:bidi="ar-SA"/>
            </w:rPr>
            <m:t>×</m:t>
          </m:r>
          <m:r>
            <m:rPr>
              <m:sty m:val="p"/>
            </m:rPr>
            <w:rPr>
              <w:rFonts w:hint="default" w:ascii="Cambria Math" w:hAnsi="Cambria Math" w:eastAsia="宋体" w:cs="宋体"/>
              <w:snapToGrid w:val="0"/>
              <w:color w:val="000000"/>
              <w:spacing w:val="-1"/>
              <w:kern w:val="0"/>
              <w:sz w:val="24"/>
              <w:szCs w:val="24"/>
              <w:lang w:val="en-US" w:eastAsia="zh-CN" w:bidi="ar-SA"/>
            </w:rPr>
            <m:t>30%</m:t>
          </m:r>
        </m:oMath>
      </m:oMathPara>
    </w:p>
    <w:p w14:paraId="21D8A865">
      <w:pPr>
        <w:keepLines w:val="0"/>
        <w:pageBreakBefore w:val="0"/>
        <w:wordWrap/>
        <w:overflowPunct/>
        <w:bidi w:val="0"/>
        <w:spacing w:before="104" w:line="259" w:lineRule="auto"/>
        <w:ind w:left="118" w:right="87" w:firstLine="600"/>
        <w:rPr>
          <w:rFonts w:ascii="宋体" w:hAnsi="宋体" w:eastAsia="宋体" w:cs="宋体"/>
          <w:sz w:val="24"/>
          <w:szCs w:val="24"/>
        </w:rPr>
      </w:pPr>
      <w:r>
        <w:rPr>
          <w:rFonts w:ascii="宋体" w:hAnsi="宋体" w:eastAsia="宋体" w:cs="宋体"/>
          <w:spacing w:val="-1"/>
          <w:sz w:val="24"/>
          <w:szCs w:val="24"/>
        </w:rPr>
        <w:t>员工的考核等级（A、B、C、D、E</w:t>
      </w:r>
      <w:r>
        <w:rPr>
          <w:rFonts w:ascii="宋体" w:hAnsi="宋体" w:eastAsia="宋体" w:cs="宋体"/>
          <w:spacing w:val="-59"/>
          <w:sz w:val="24"/>
          <w:szCs w:val="24"/>
        </w:rPr>
        <w:t>）：</w:t>
      </w:r>
      <w:r>
        <w:rPr>
          <w:rFonts w:ascii="宋体" w:hAnsi="宋体" w:eastAsia="宋体" w:cs="宋体"/>
          <w:spacing w:val="-2"/>
          <w:sz w:val="24"/>
          <w:szCs w:val="24"/>
        </w:rPr>
        <w:t>根据员工考核得分排名由高至</w:t>
      </w:r>
      <w:r>
        <w:rPr>
          <w:rFonts w:ascii="宋体" w:hAnsi="宋体" w:eastAsia="宋体" w:cs="宋体"/>
          <w:spacing w:val="-1"/>
          <w:sz w:val="24"/>
          <w:szCs w:val="24"/>
        </w:rPr>
        <w:t>低按比例划分而得，并由考核人反馈给员工。</w:t>
      </w:r>
    </w:p>
    <w:p w14:paraId="4E4E6766">
      <w:pPr>
        <w:pStyle w:val="30"/>
        <w:keepLines w:val="0"/>
        <w:pageBreakBefore w:val="0"/>
        <w:wordWrap/>
        <w:overflowPunct/>
        <w:bidi w:val="0"/>
      </w:pPr>
      <w:bookmarkStart w:id="20" w:name="_Toc7388"/>
      <w:r>
        <w:t>考核结果应用</w:t>
      </w:r>
      <w:bookmarkEnd w:id="20"/>
    </w:p>
    <w:p w14:paraId="78650046">
      <w:pPr>
        <w:pStyle w:val="31"/>
        <w:keepLines w:val="0"/>
        <w:pageBreakBefore w:val="0"/>
        <w:wordWrap/>
        <w:overflowPunct/>
        <w:bidi w:val="0"/>
      </w:pPr>
      <w:bookmarkStart w:id="21" w:name="_Toc30708"/>
      <w:r>
        <w:t>职业发展</w:t>
      </w:r>
      <w:bookmarkEnd w:id="21"/>
    </w:p>
    <w:p w14:paraId="0AA77998">
      <w:pPr>
        <w:pStyle w:val="29"/>
        <w:keepLines w:val="0"/>
        <w:pageBreakBefore w:val="0"/>
        <w:wordWrap/>
        <w:overflowPunct/>
        <w:bidi w:val="0"/>
      </w:pPr>
      <w:r>
        <w:t>根据员工绩效考核结果，有针对性的制定员工职业发展计划、设定和调整职业发展通道。</w:t>
      </w:r>
    </w:p>
    <w:p w14:paraId="5CBCCB48">
      <w:pPr>
        <w:pStyle w:val="31"/>
        <w:keepLines w:val="0"/>
        <w:pageBreakBefore w:val="0"/>
        <w:wordWrap/>
        <w:overflowPunct/>
        <w:bidi w:val="0"/>
      </w:pPr>
      <w:bookmarkStart w:id="22" w:name="_Toc6"/>
      <w:r>
        <w:t>季度绩效考核工资</w:t>
      </w:r>
      <w:bookmarkEnd w:id="22"/>
    </w:p>
    <w:p w14:paraId="4A10A196">
      <w:pPr>
        <w:pStyle w:val="29"/>
        <w:keepLines w:val="0"/>
        <w:pageBreakBefore w:val="0"/>
        <w:wordWrap/>
        <w:overflowPunct/>
        <w:bidi w:val="0"/>
        <w:ind w:left="0" w:leftChars="0" w:right="0" w:rightChars="0" w:firstLine="0" w:firstLineChars="0"/>
        <w:jc w:val="center"/>
        <w:rPr>
          <w:rFonts w:hint="default"/>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表 \* ARABIC  \s 1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 xml:space="preserve"> 绩效考核等级与工资发放比例对照表</w:t>
      </w:r>
    </w:p>
    <w:tbl>
      <w:tblPr>
        <w:tblStyle w:val="37"/>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1"/>
        <w:gridCol w:w="1535"/>
        <w:gridCol w:w="5626"/>
      </w:tblGrid>
      <w:tr w14:paraId="58B460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10BDA0B4">
            <w:pPr>
              <w:pStyle w:val="36"/>
              <w:keepLines w:val="0"/>
              <w:pageBreakBefore w:val="0"/>
              <w:wordWrap/>
              <w:overflowPunct/>
              <w:bidi w:val="0"/>
              <w:jc w:val="center"/>
              <w:rPr>
                <w:rFonts w:hint="eastAsia" w:ascii="宋体" w:hAnsi="宋体" w:eastAsia="宋体" w:cs="宋体"/>
                <w:b/>
                <w:bCs/>
              </w:rPr>
            </w:pPr>
            <w:bookmarkStart w:id="33" w:name="_GoBack"/>
            <w:bookmarkEnd w:id="33"/>
            <w:r>
              <w:rPr>
                <w:rFonts w:hint="eastAsia" w:ascii="宋体" w:hAnsi="宋体" w:eastAsia="宋体" w:cs="宋体"/>
                <w:b/>
                <w:bCs/>
              </w:rPr>
              <w:t>绩效考核等级</w:t>
            </w:r>
          </w:p>
        </w:tc>
        <w:tc>
          <w:tcPr>
            <w:tcW w:w="1535" w:type="dxa"/>
          </w:tcPr>
          <w:p w14:paraId="47BD3797">
            <w:pPr>
              <w:pStyle w:val="36"/>
              <w:keepLines w:val="0"/>
              <w:pageBreakBefore w:val="0"/>
              <w:wordWrap/>
              <w:overflowPunct/>
              <w:bidi w:val="0"/>
              <w:jc w:val="center"/>
              <w:rPr>
                <w:rFonts w:hint="eastAsia" w:ascii="宋体" w:hAnsi="宋体" w:eastAsia="宋体" w:cs="宋体"/>
                <w:b/>
                <w:bCs/>
              </w:rPr>
            </w:pPr>
            <w:r>
              <w:rPr>
                <w:rFonts w:hint="eastAsia" w:ascii="宋体" w:hAnsi="宋体" w:eastAsia="宋体" w:cs="宋体"/>
                <w:b/>
                <w:bCs/>
              </w:rPr>
              <w:t>发放比例</w:t>
            </w:r>
          </w:p>
        </w:tc>
        <w:tc>
          <w:tcPr>
            <w:tcW w:w="5626" w:type="dxa"/>
          </w:tcPr>
          <w:p w14:paraId="55E26E86">
            <w:pPr>
              <w:pStyle w:val="36"/>
              <w:keepLines w:val="0"/>
              <w:pageBreakBefore w:val="0"/>
              <w:wordWrap/>
              <w:overflowPunct/>
              <w:bidi w:val="0"/>
              <w:jc w:val="left"/>
              <w:rPr>
                <w:rFonts w:hint="eastAsia" w:ascii="宋体" w:hAnsi="宋体" w:eastAsia="宋体" w:cs="宋体"/>
                <w:b/>
                <w:bCs/>
              </w:rPr>
            </w:pPr>
            <w:r>
              <w:rPr>
                <w:rFonts w:hint="eastAsia" w:ascii="宋体" w:hAnsi="宋体" w:eastAsia="宋体" w:cs="宋体"/>
                <w:b/>
                <w:bCs/>
              </w:rPr>
              <w:t>说明</w:t>
            </w:r>
          </w:p>
        </w:tc>
      </w:tr>
      <w:tr w14:paraId="30A53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D05274B">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A等</w:t>
            </w:r>
          </w:p>
        </w:tc>
        <w:tc>
          <w:tcPr>
            <w:tcW w:w="1535" w:type="dxa"/>
          </w:tcPr>
          <w:p w14:paraId="2CD4CCC0">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150%</w:t>
            </w:r>
          </w:p>
        </w:tc>
        <w:tc>
          <w:tcPr>
            <w:tcW w:w="5626" w:type="dxa"/>
          </w:tcPr>
          <w:p w14:paraId="75951B3A">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绩效工资按1.5倍发放</w:t>
            </w:r>
          </w:p>
        </w:tc>
      </w:tr>
      <w:tr w14:paraId="1B7AF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753F786">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B等</w:t>
            </w:r>
          </w:p>
        </w:tc>
        <w:tc>
          <w:tcPr>
            <w:tcW w:w="1535" w:type="dxa"/>
          </w:tcPr>
          <w:p w14:paraId="7B6A0E42">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120%</w:t>
            </w:r>
          </w:p>
        </w:tc>
        <w:tc>
          <w:tcPr>
            <w:tcW w:w="5626" w:type="dxa"/>
          </w:tcPr>
          <w:p w14:paraId="2F1F7D89">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绩效工资按1.2倍发放</w:t>
            </w:r>
          </w:p>
        </w:tc>
      </w:tr>
      <w:tr w14:paraId="74CF48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C2DAE86">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C 等</w:t>
            </w:r>
          </w:p>
        </w:tc>
        <w:tc>
          <w:tcPr>
            <w:tcW w:w="1535" w:type="dxa"/>
          </w:tcPr>
          <w:p w14:paraId="02B46181">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100%</w:t>
            </w:r>
          </w:p>
        </w:tc>
        <w:tc>
          <w:tcPr>
            <w:tcW w:w="5626" w:type="dxa"/>
          </w:tcPr>
          <w:p w14:paraId="49A368A4">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绩效工资全额发放</w:t>
            </w:r>
          </w:p>
        </w:tc>
      </w:tr>
      <w:tr w14:paraId="2C190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517B88A">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D 等</w:t>
            </w:r>
          </w:p>
        </w:tc>
        <w:tc>
          <w:tcPr>
            <w:tcW w:w="1535" w:type="dxa"/>
          </w:tcPr>
          <w:p w14:paraId="19AD8299">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60%</w:t>
            </w:r>
          </w:p>
        </w:tc>
        <w:tc>
          <w:tcPr>
            <w:tcW w:w="5626" w:type="dxa"/>
          </w:tcPr>
          <w:p w14:paraId="74F1F4FC">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绩效工资按60%发放</w:t>
            </w:r>
          </w:p>
        </w:tc>
      </w:tr>
      <w:tr w14:paraId="37124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F65F00F">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E 等</w:t>
            </w:r>
          </w:p>
        </w:tc>
        <w:tc>
          <w:tcPr>
            <w:tcW w:w="1535" w:type="dxa"/>
          </w:tcPr>
          <w:p w14:paraId="6ACC817C">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0%</w:t>
            </w:r>
          </w:p>
        </w:tc>
        <w:tc>
          <w:tcPr>
            <w:tcW w:w="5626" w:type="dxa"/>
          </w:tcPr>
          <w:p w14:paraId="40CEC51D">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无绩效工资</w:t>
            </w:r>
          </w:p>
        </w:tc>
      </w:tr>
    </w:tbl>
    <w:p w14:paraId="6CCC6DDD">
      <w:pPr>
        <w:keepLines w:val="0"/>
        <w:pageBreakBefore w:val="0"/>
        <w:wordWrap/>
        <w:overflowPunct/>
        <w:bidi w:val="0"/>
      </w:pPr>
    </w:p>
    <w:p w14:paraId="295D163F">
      <w:pPr>
        <w:pStyle w:val="31"/>
        <w:keepLines w:val="0"/>
        <w:pageBreakBefore w:val="0"/>
        <w:wordWrap/>
        <w:overflowPunct/>
        <w:bidi w:val="0"/>
      </w:pPr>
      <w:bookmarkStart w:id="23" w:name="_Toc29743"/>
      <w:r>
        <w:t>年终奖金：</w:t>
      </w:r>
      <w:bookmarkEnd w:id="23"/>
    </w:p>
    <w:p w14:paraId="21293844">
      <w:pPr>
        <w:pStyle w:val="29"/>
        <w:bidi w:val="0"/>
      </w:pPr>
      <w:r>
        <w:t>根据公司经营状况及员工本年度四个季度绩效考核的平均值共同确定员工的奖金额度。</w:t>
      </w:r>
    </w:p>
    <w:p w14:paraId="1D3446C0">
      <w:pPr>
        <w:pStyle w:val="30"/>
        <w:keepLines/>
        <w:pageBreakBefore w:val="0"/>
        <w:widowControl/>
        <w:wordWrap/>
        <w:overflowPunct/>
        <w:bidi w:val="0"/>
      </w:pPr>
      <w:bookmarkStart w:id="24" w:name="_Toc5250"/>
      <w:bookmarkStart w:id="25" w:name="_Toc10571"/>
      <w:r>
        <w:rPr>
          <w:rFonts w:hint="eastAsia"/>
          <w:lang w:val="en-US" w:eastAsia="zh-CN"/>
        </w:rPr>
        <w:t>考核指标</w:t>
      </w:r>
      <w:bookmarkEnd w:id="24"/>
      <w:bookmarkEnd w:id="25"/>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8"/>
        <w:gridCol w:w="3706"/>
        <w:gridCol w:w="1147"/>
        <w:gridCol w:w="911"/>
      </w:tblGrid>
      <w:tr w14:paraId="0AACC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8" w:type="dxa"/>
            <w:vAlign w:val="center"/>
          </w:tcPr>
          <w:p w14:paraId="0B149AFC">
            <w:pPr>
              <w:widowControl w:val="0"/>
              <w:jc w:val="center"/>
              <w:rPr>
                <w:rFonts w:hint="default" w:eastAsia="宋体"/>
                <w:b/>
                <w:bCs/>
                <w:vertAlign w:val="baseline"/>
                <w:lang w:val="en-US" w:eastAsia="zh-CN"/>
              </w:rPr>
            </w:pPr>
            <w:r>
              <w:rPr>
                <w:rFonts w:hint="eastAsia" w:eastAsia="宋体"/>
                <w:b/>
                <w:bCs/>
                <w:vertAlign w:val="baseline"/>
                <w:lang w:val="en-US" w:eastAsia="zh-CN"/>
              </w:rPr>
              <w:t>指标度量项</w:t>
            </w:r>
          </w:p>
        </w:tc>
        <w:tc>
          <w:tcPr>
            <w:tcW w:w="3706" w:type="dxa"/>
            <w:vAlign w:val="center"/>
          </w:tcPr>
          <w:p w14:paraId="6AA73FAA">
            <w:pPr>
              <w:widowControl w:val="0"/>
              <w:jc w:val="center"/>
              <w:rPr>
                <w:rFonts w:hint="default" w:eastAsia="宋体"/>
                <w:b/>
                <w:bCs/>
                <w:vertAlign w:val="baseline"/>
                <w:lang w:val="en-US" w:eastAsia="zh-CN"/>
              </w:rPr>
            </w:pPr>
            <w:r>
              <w:rPr>
                <w:rFonts w:hint="eastAsia" w:eastAsia="宋体"/>
                <w:b/>
                <w:bCs/>
                <w:vertAlign w:val="baseline"/>
                <w:lang w:val="en-US" w:eastAsia="zh-CN"/>
              </w:rPr>
              <w:t>计算公式</w:t>
            </w:r>
          </w:p>
        </w:tc>
        <w:tc>
          <w:tcPr>
            <w:tcW w:w="1147" w:type="dxa"/>
            <w:vAlign w:val="center"/>
          </w:tcPr>
          <w:p w14:paraId="329D14A4">
            <w:pPr>
              <w:widowControl w:val="0"/>
              <w:jc w:val="center"/>
              <w:rPr>
                <w:rFonts w:hint="default" w:eastAsia="宋体"/>
                <w:b/>
                <w:bCs/>
                <w:vertAlign w:val="baseline"/>
                <w:lang w:val="en-US" w:eastAsia="zh-CN"/>
              </w:rPr>
            </w:pPr>
            <w:r>
              <w:rPr>
                <w:rFonts w:hint="eastAsia" w:eastAsia="宋体"/>
                <w:b/>
                <w:bCs/>
                <w:vertAlign w:val="baseline"/>
                <w:lang w:val="en-US" w:eastAsia="zh-CN"/>
              </w:rPr>
              <w:t>指标要求</w:t>
            </w:r>
          </w:p>
        </w:tc>
        <w:tc>
          <w:tcPr>
            <w:tcW w:w="911" w:type="dxa"/>
            <w:shd w:val="clear" w:color="auto" w:fill="auto"/>
            <w:vAlign w:val="center"/>
          </w:tcPr>
          <w:p w14:paraId="3359205E">
            <w:pPr>
              <w:widowControl w:val="0"/>
              <w:jc w:val="center"/>
              <w:rPr>
                <w:rFonts w:hint="eastAsia" w:ascii="宋体" w:hAnsi="宋体" w:eastAsia="宋体" w:cs="宋体"/>
                <w:b/>
                <w:bCs/>
                <w:snapToGrid w:val="0"/>
                <w:color w:val="000000"/>
                <w:kern w:val="0"/>
                <w:sz w:val="18"/>
                <w:szCs w:val="18"/>
                <w:lang w:val="en-US" w:eastAsia="en-US" w:bidi="ar-SA"/>
              </w:rPr>
            </w:pPr>
            <w:r>
              <w:rPr>
                <w:rFonts w:hint="eastAsia" w:ascii="宋体" w:hAnsi="宋体" w:eastAsia="宋体" w:cs="宋体"/>
                <w:b/>
                <w:bCs/>
                <w:sz w:val="18"/>
                <w:szCs w:val="18"/>
              </w:rPr>
              <w:t>频率</w:t>
            </w:r>
          </w:p>
        </w:tc>
      </w:tr>
      <w:tr w14:paraId="10E346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848" w:type="dxa"/>
            <w:vAlign w:val="center"/>
          </w:tcPr>
          <w:p w14:paraId="26BECFCF">
            <w:pPr>
              <w:widowControl w:val="0"/>
              <w:rPr>
                <w:vertAlign w:val="baseline"/>
              </w:rPr>
            </w:pPr>
            <w:r>
              <w:rPr>
                <w:rFonts w:hint="eastAsia" w:ascii="宋体" w:hAnsi="宋体" w:eastAsia="宋体" w:cs="宋体"/>
                <w:sz w:val="18"/>
                <w:szCs w:val="18"/>
              </w:rPr>
              <w:t>绩效考核合格率</w:t>
            </w:r>
          </w:p>
        </w:tc>
        <w:tc>
          <w:tcPr>
            <w:tcW w:w="3706" w:type="dxa"/>
            <w:vAlign w:val="center"/>
          </w:tcPr>
          <w:p w14:paraId="10489043">
            <w:pPr>
              <w:widowControl w:val="0"/>
              <w:rPr>
                <w:vertAlign w:val="baseline"/>
              </w:rPr>
            </w:pPr>
            <w:r>
              <w:rPr>
                <w:rFonts w:hint="eastAsia" w:ascii="宋体" w:hAnsi="宋体" w:eastAsia="宋体" w:cs="宋体"/>
                <w:sz w:val="18"/>
                <w:szCs w:val="18"/>
              </w:rPr>
              <w:t>绩效考核合格人数/参与考核人员总数*100%</w:t>
            </w:r>
          </w:p>
        </w:tc>
        <w:tc>
          <w:tcPr>
            <w:tcW w:w="1147" w:type="dxa"/>
            <w:vAlign w:val="center"/>
          </w:tcPr>
          <w:p w14:paraId="51ADE36F">
            <w:pPr>
              <w:widowControl w:val="0"/>
              <w:jc w:val="center"/>
              <w:rPr>
                <w:vertAlign w:val="baseline"/>
              </w:rPr>
            </w:pPr>
            <w:r>
              <w:rPr>
                <w:rFonts w:hint="eastAsia" w:ascii="宋体" w:hAnsi="宋体" w:eastAsia="宋体" w:cs="宋体"/>
                <w:sz w:val="18"/>
                <w:szCs w:val="18"/>
              </w:rPr>
              <w:t>≥9</w:t>
            </w:r>
            <w:r>
              <w:rPr>
                <w:rFonts w:hint="eastAsia" w:ascii="宋体" w:hAnsi="宋体" w:eastAsia="宋体" w:cs="宋体"/>
                <w:sz w:val="18"/>
                <w:szCs w:val="18"/>
                <w:lang w:val="en-US" w:eastAsia="zh-CN"/>
              </w:rPr>
              <w:t>5</w:t>
            </w:r>
            <w:r>
              <w:rPr>
                <w:rFonts w:hint="eastAsia" w:ascii="宋体" w:hAnsi="宋体" w:eastAsia="宋体" w:cs="宋体"/>
                <w:sz w:val="18"/>
                <w:szCs w:val="18"/>
              </w:rPr>
              <w:t>%</w:t>
            </w:r>
          </w:p>
        </w:tc>
        <w:tc>
          <w:tcPr>
            <w:tcW w:w="911" w:type="dxa"/>
            <w:shd w:val="clear" w:color="auto" w:fill="auto"/>
            <w:vAlign w:val="center"/>
          </w:tcPr>
          <w:p w14:paraId="35C8F9D6">
            <w:pPr>
              <w:widowControl w:val="0"/>
              <w:jc w:val="center"/>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w:t>
            </w:r>
            <w:r>
              <w:rPr>
                <w:rFonts w:hint="eastAsia" w:ascii="宋体" w:hAnsi="宋体" w:cs="宋体"/>
                <w:sz w:val="18"/>
                <w:szCs w:val="18"/>
                <w:lang w:val="en-US" w:eastAsia="zh-CN"/>
              </w:rPr>
              <w:t>季度</w:t>
            </w:r>
          </w:p>
        </w:tc>
      </w:tr>
    </w:tbl>
    <w:p w14:paraId="7D7E649E">
      <w:pPr>
        <w:pStyle w:val="29"/>
        <w:keepLines w:val="0"/>
        <w:pageBreakBefore w:val="0"/>
        <w:wordWrap/>
        <w:overflowPunct/>
        <w:bidi w:val="0"/>
        <w:rPr>
          <w:rFonts w:hint="default" w:ascii="宋体" w:hAnsi="宋体" w:eastAsia="宋体" w:cs="宋体"/>
          <w:spacing w:val="-1"/>
          <w:sz w:val="24"/>
          <w:szCs w:val="24"/>
          <w:lang w:val="en-US" w:eastAsia="zh-CN"/>
        </w:rPr>
      </w:pPr>
    </w:p>
    <w:p w14:paraId="402F95A9">
      <w:pPr>
        <w:pStyle w:val="28"/>
        <w:keepLines w:val="0"/>
        <w:pageBreakBefore w:val="0"/>
        <w:wordWrap/>
        <w:overflowPunct/>
        <w:bidi w:val="0"/>
        <w:rPr>
          <w:rStyle w:val="38"/>
          <w:rFonts w:hint="default" w:eastAsia="宋体"/>
          <w:lang w:val="en-US" w:eastAsia="zh-CN"/>
        </w:rPr>
      </w:pPr>
      <w:bookmarkStart w:id="26" w:name="bookmark3"/>
      <w:bookmarkEnd w:id="26"/>
      <w:bookmarkStart w:id="27" w:name="_Toc17424"/>
      <w:bookmarkStart w:id="28" w:name="_Toc28963"/>
      <w:r>
        <w:rPr>
          <w:rStyle w:val="38"/>
          <w:rFonts w:hint="eastAsia" w:eastAsia="宋体"/>
          <w:lang w:val="en-US" w:eastAsia="zh-CN"/>
        </w:rPr>
        <w:t>附则</w:t>
      </w:r>
      <w:bookmarkEnd w:id="27"/>
      <w:bookmarkEnd w:id="28"/>
    </w:p>
    <w:p w14:paraId="1CE0F9D4">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w:t>
      </w:r>
    </w:p>
    <w:p w14:paraId="556F8DF2">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1ABB2CB">
      <w:pPr>
        <w:pStyle w:val="28"/>
        <w:keepLines w:val="0"/>
        <w:pageBreakBefore w:val="0"/>
        <w:wordWrap/>
        <w:overflowPunct/>
        <w:bidi w:val="0"/>
        <w:rPr>
          <w:rFonts w:hint="default"/>
          <w:lang w:val="en-US" w:eastAsia="zh-CN"/>
        </w:rPr>
      </w:pPr>
      <w:bookmarkStart w:id="29" w:name="bookmark14"/>
      <w:bookmarkEnd w:id="29"/>
      <w:bookmarkStart w:id="30" w:name="_Toc8774"/>
      <w:bookmarkStart w:id="31" w:name="_Toc20547"/>
      <w:r>
        <w:rPr>
          <w:rFonts w:hint="eastAsia"/>
          <w:lang w:val="en-US" w:eastAsia="zh-CN"/>
        </w:rPr>
        <w:t>附件</w:t>
      </w:r>
      <w:bookmarkEnd w:id="30"/>
      <w:bookmarkEnd w:id="31"/>
    </w:p>
    <w:p w14:paraId="56F7EE51">
      <w:pPr>
        <w:pStyle w:val="41"/>
        <w:bidi w:val="0"/>
      </w:pPr>
      <w:r>
        <w:t>《管理人员绩效考核表》</w:t>
      </w:r>
    </w:p>
    <w:p w14:paraId="2B1B41CD">
      <w:pPr>
        <w:pStyle w:val="41"/>
        <w:bidi w:val="0"/>
        <w:rPr>
          <w:rFonts w:hint="eastAsia"/>
          <w:lang w:eastAsia="zh-CN"/>
        </w:rPr>
      </w:pPr>
      <w:r>
        <w:t>《员工绩效考核表》</w:t>
      </w:r>
    </w:p>
    <w:p w14:paraId="7A03A7DA">
      <w:pPr>
        <w:pStyle w:val="28"/>
        <w:keepLines w:val="0"/>
        <w:pageBreakBefore w:val="0"/>
        <w:wordWrap/>
        <w:overflowPunct/>
        <w:bidi w:val="0"/>
        <w:rPr>
          <w:rFonts w:hint="eastAsia"/>
          <w:lang w:val="en-US" w:eastAsia="zh-CN"/>
        </w:rPr>
      </w:pPr>
      <w:bookmarkStart w:id="32" w:name="_Toc2650"/>
      <w:r>
        <w:rPr>
          <w:rFonts w:hint="eastAsia"/>
          <w:lang w:val="en-US" w:eastAsia="zh-CN"/>
        </w:rPr>
        <w:t>记录</w:t>
      </w:r>
      <w:bookmarkEnd w:id="32"/>
    </w:p>
    <w:p w14:paraId="388281D7">
      <w:pPr>
        <w:pStyle w:val="41"/>
        <w:bidi w:val="0"/>
        <w:rPr>
          <w:rFonts w:hint="eastAsia"/>
          <w:lang w:val="en-US" w:eastAsia="zh-CN"/>
        </w:rPr>
      </w:pPr>
      <w:r>
        <w:rPr>
          <w:rFonts w:hint="eastAsia"/>
          <w:lang w:val="en-US" w:eastAsia="zh-CN"/>
        </w:rPr>
        <w:t>《</w:t>
      </w:r>
      <w:r>
        <w:t>员工业绩改善</w:t>
      </w:r>
      <w:r>
        <w:rPr>
          <w:rFonts w:hint="eastAsia"/>
          <w:lang w:val="en-US" w:eastAsia="zh-CN"/>
        </w:rPr>
        <w:t>计划表》</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0EDCEB">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D90D2FDE"/>
    <w:multiLevelType w:val="singleLevel"/>
    <w:tmpl w:val="D90D2FDE"/>
    <w:lvl w:ilvl="0" w:tentative="0">
      <w:start w:val="1"/>
      <w:numFmt w:val="decimal"/>
      <w:lvlText w:val="(%1)"/>
      <w:lvlJc w:val="left"/>
      <w:pPr>
        <w:tabs>
          <w:tab w:val="left" w:pos="420"/>
        </w:tabs>
        <w:ind w:left="845" w:hanging="425"/>
      </w:pPr>
      <w:rPr>
        <w:rFonts w:hint="default"/>
      </w:rPr>
    </w:lvl>
  </w:abstractNum>
  <w:abstractNum w:abstractNumId="2">
    <w:nsid w:val="F9539CF3"/>
    <w:multiLevelType w:val="singleLevel"/>
    <w:tmpl w:val="F9539CF3"/>
    <w:lvl w:ilvl="0" w:tentative="0">
      <w:start w:val="1"/>
      <w:numFmt w:val="decimal"/>
      <w:lvlText w:val="%1."/>
      <w:lvlJc w:val="left"/>
      <w:pPr>
        <w:ind w:left="425" w:hanging="425"/>
      </w:pPr>
      <w:rPr>
        <w:rFonts w:hint="default"/>
      </w:rPr>
    </w:lvl>
  </w:abstractNum>
  <w:abstractNum w:abstractNumId="3">
    <w:nsid w:val="0B6C078D"/>
    <w:multiLevelType w:val="singleLevel"/>
    <w:tmpl w:val="0B6C078D"/>
    <w:lvl w:ilvl="0" w:tentative="0">
      <w:start w:val="1"/>
      <w:numFmt w:val="decimal"/>
      <w:lvlText w:val="%1."/>
      <w:lvlJc w:val="left"/>
      <w:pPr>
        <w:ind w:left="425" w:hanging="425"/>
      </w:pPr>
      <w:rPr>
        <w:rFonts w:hint="default"/>
      </w:rPr>
    </w:lvl>
  </w:abstractNum>
  <w:abstractNum w:abstractNumId="4">
    <w:nsid w:val="1CAA3896"/>
    <w:multiLevelType w:val="singleLevel"/>
    <w:tmpl w:val="1CAA3896"/>
    <w:lvl w:ilvl="0" w:tentative="0">
      <w:start w:val="1"/>
      <w:numFmt w:val="decimal"/>
      <w:lvlText w:val="%1."/>
      <w:lvlJc w:val="left"/>
      <w:pPr>
        <w:ind w:left="425" w:hanging="425"/>
      </w:pPr>
      <w:rPr>
        <w:rFonts w:hint="default"/>
      </w:rPr>
    </w:lvl>
  </w:abstractNum>
  <w:abstractNum w:abstractNumId="5">
    <w:nsid w:val="4E989EE6"/>
    <w:multiLevelType w:val="singleLevel"/>
    <w:tmpl w:val="4E989EE6"/>
    <w:lvl w:ilvl="0" w:tentative="0">
      <w:start w:val="1"/>
      <w:numFmt w:val="decimal"/>
      <w:lvlText w:val="%1."/>
      <w:lvlJc w:val="left"/>
      <w:pPr>
        <w:ind w:left="425" w:hanging="425"/>
      </w:pPr>
      <w:rPr>
        <w:rFonts w:hint="default"/>
      </w:rPr>
    </w:lvl>
  </w:abstractNum>
  <w:abstractNum w:abstractNumId="6">
    <w:nsid w:val="6C1BC90C"/>
    <w:multiLevelType w:val="singleLevel"/>
    <w:tmpl w:val="6C1BC90C"/>
    <w:lvl w:ilvl="0" w:tentative="0">
      <w:start w:val="1"/>
      <w:numFmt w:val="decimal"/>
      <w:lvlText w:val="%1."/>
      <w:lvlJc w:val="left"/>
      <w:pPr>
        <w:ind w:left="425" w:hanging="425"/>
      </w:pPr>
      <w:rPr>
        <w:rFonts w:hint="default"/>
      </w:rPr>
    </w:lvl>
  </w:abstractNum>
  <w:num w:numId="1">
    <w:abstractNumId w:val="0"/>
  </w:num>
  <w:num w:numId="2">
    <w:abstractNumId w:val="5"/>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4E377CC"/>
    <w:rsid w:val="06562B01"/>
    <w:rsid w:val="0A032C10"/>
    <w:rsid w:val="0AD6392F"/>
    <w:rsid w:val="11395457"/>
    <w:rsid w:val="155D4EFC"/>
    <w:rsid w:val="1D3249F5"/>
    <w:rsid w:val="3C430575"/>
    <w:rsid w:val="4EC310A1"/>
    <w:rsid w:val="5E113BC7"/>
    <w:rsid w:val="6B223F94"/>
    <w:rsid w:val="6D0B506E"/>
    <w:rsid w:val="73911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39"/>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link w:val="40"/>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character" w:customStyle="1" w:styleId="39">
    <w:name w:val="柴_正文 Char"/>
    <w:link w:val="29"/>
    <w:qFormat/>
    <w:uiPriority w:val="0"/>
    <w:rPr>
      <w:rFonts w:ascii="Arial" w:hAnsi="Arial" w:eastAsia="宋体"/>
      <w:sz w:val="24"/>
      <w:lang w:eastAsia="zh-CN"/>
    </w:rPr>
  </w:style>
  <w:style w:type="character" w:customStyle="1" w:styleId="40">
    <w:name w:val="柴_标题3 Char"/>
    <w:link w:val="31"/>
    <w:qFormat/>
    <w:uiPriority w:val="0"/>
    <w:rPr>
      <w:rFonts w:ascii="宋体" w:hAnsi="宋体" w:eastAsia="宋体" w:cs="宋体"/>
      <w:spacing w:val="-2"/>
      <w:sz w:val="24"/>
      <w:szCs w:val="24"/>
    </w:rPr>
  </w:style>
  <w:style w:type="paragraph" w:customStyle="1" w:styleId="41">
    <w:name w:val="柴_正文_无缩进"/>
    <w:basedOn w:val="1"/>
    <w:qFormat/>
    <w:uiPriority w:val="0"/>
    <w:pPr>
      <w:ind w:firstLine="0" w:firstLineChars="0"/>
    </w:pPr>
    <w:rPr>
      <w:rFonts w:ascii="Arial" w:hAnsi="Arial"/>
      <w:sz w:val="24"/>
      <w:lang w:eastAsia="zh-CN"/>
    </w:rPr>
  </w:style>
  <w:style w:type="paragraph" w:customStyle="1" w:styleId="42">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2393</Words>
  <Characters>2581</Characters>
  <Lines>0</Lines>
  <Paragraphs>0</Paragraphs>
  <TotalTime>1</TotalTime>
  <ScaleCrop>false</ScaleCrop>
  <LinksUpToDate>false</LinksUpToDate>
  <CharactersWithSpaces>2694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2025-09-16T09:29:39Z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