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AD8A3D">
      <w:pPr>
        <w:spacing w:before="78" w:line="219" w:lineRule="auto"/>
        <w:ind w:left="25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文件编号：ITSS-0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6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-01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-01</w:t>
      </w:r>
    </w:p>
    <w:p w14:paraId="20516D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21" w:afterLines="1000" w:line="219" w:lineRule="auto"/>
        <w:ind w:left="23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240"/>
          <w:kern w:val="0"/>
          <w:sz w:val="24"/>
          <w:szCs w:val="24"/>
          <w:fitText w:val="960" w:id="1404264543"/>
        </w:rPr>
        <w:t>版</w:t>
      </w:r>
      <w:r>
        <w:rPr>
          <w:rFonts w:ascii="宋体" w:hAnsi="宋体" w:eastAsia="宋体" w:cs="宋体"/>
          <w:b/>
          <w:bCs/>
          <w:spacing w:val="0"/>
          <w:kern w:val="0"/>
          <w:sz w:val="24"/>
          <w:szCs w:val="24"/>
          <w:fitText w:val="960" w:id="1404264543"/>
        </w:rPr>
        <w:t>本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：V1.0</w:t>
      </w:r>
    </w:p>
    <w:p w14:paraId="19C90305">
      <w:pPr>
        <w:pStyle w:val="24"/>
        <w:bidi w:val="0"/>
      </w:pPr>
      <w:bookmarkStart w:id="0" w:name="_Toc31328"/>
      <w:r>
        <w:rPr>
          <w:rFonts w:hint="eastAsia"/>
          <w:lang w:val="en-US" w:eastAsia="zh-CN"/>
        </w:rPr>
        <w:t>万洲奇智（青岛）信息科技有限</w:t>
      </w:r>
      <w:r>
        <w:t>公司</w:t>
      </w:r>
      <w:bookmarkEnd w:id="0"/>
    </w:p>
    <w:p w14:paraId="3D74D20A">
      <w:pPr>
        <w:pStyle w:val="25"/>
        <w:bidi w:val="0"/>
        <w:rPr>
          <w:rFonts w:hint="default"/>
          <w:lang w:val="en-US"/>
        </w:rPr>
      </w:pPr>
      <w:bookmarkStart w:id="1" w:name="_Toc24984"/>
      <w:r>
        <w:rPr>
          <w:rFonts w:hint="eastAsia"/>
          <w:lang w:val="en-US" w:eastAsia="zh-CN"/>
        </w:rPr>
        <w:t>过程框架设计管理制度</w:t>
      </w:r>
      <w:bookmarkEnd w:id="1"/>
    </w:p>
    <w:tbl>
      <w:tblPr>
        <w:tblStyle w:val="21"/>
        <w:tblW w:w="0" w:type="auto"/>
        <w:tblInd w:w="24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 w14:paraId="5D006F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</w:tcPr>
          <w:p w14:paraId="672FF0C7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毛彦超</w:t>
            </w:r>
          </w:p>
        </w:tc>
        <w:tc>
          <w:tcPr>
            <w:tcW w:w="4261" w:type="dxa"/>
          </w:tcPr>
          <w:p w14:paraId="7554A84C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195FF0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  <w:shd w:val="clear" w:color="auto" w:fill="auto"/>
            <w:vAlign w:val="top"/>
          </w:tcPr>
          <w:p w14:paraId="46779ABD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  <w:vAlign w:val="top"/>
          </w:tcPr>
          <w:p w14:paraId="15A031A1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6C8107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18" w:type="dxa"/>
          </w:tcPr>
          <w:p w14:paraId="2C6AA9C8"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 w14:paraId="1CCAA626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</w:tbl>
    <w:p w14:paraId="3207BFDE">
      <w:r>
        <w:br w:type="page"/>
      </w:r>
    </w:p>
    <w:p w14:paraId="49DA19E5">
      <w:pPr>
        <w:spacing w:before="153" w:line="225" w:lineRule="auto"/>
        <w:ind w:left="3634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26"/>
        <w:tblW w:w="830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 w14:paraId="21E8DE7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1555" w:type="dxa"/>
            <w:vAlign w:val="top"/>
          </w:tcPr>
          <w:p w14:paraId="3CF02F36">
            <w:pPr>
              <w:spacing w:before="176" w:line="228" w:lineRule="auto"/>
              <w:ind w:left="6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  <w:vAlign w:val="top"/>
          </w:tcPr>
          <w:p w14:paraId="2D62A896">
            <w:pPr>
              <w:spacing w:before="175" w:line="227" w:lineRule="auto"/>
              <w:ind w:left="2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  <w:vAlign w:val="top"/>
          </w:tcPr>
          <w:p w14:paraId="0C7A0F70">
            <w:pPr>
              <w:spacing w:before="175" w:line="228" w:lineRule="auto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  <w:vAlign w:val="top"/>
          </w:tcPr>
          <w:p w14:paraId="2920BDE9">
            <w:pPr>
              <w:spacing w:before="175" w:line="228" w:lineRule="auto"/>
              <w:ind w:left="3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  <w:vAlign w:val="top"/>
          </w:tcPr>
          <w:p w14:paraId="3A924367">
            <w:pPr>
              <w:spacing w:before="175" w:line="228" w:lineRule="auto"/>
              <w:ind w:left="310"/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  <w:vAlign w:val="top"/>
          </w:tcPr>
          <w:p w14:paraId="08FEDE74">
            <w:pPr>
              <w:spacing w:before="176" w:line="229" w:lineRule="auto"/>
              <w:ind w:left="3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批准人</w:t>
            </w:r>
          </w:p>
        </w:tc>
      </w:tr>
      <w:tr w14:paraId="4FA83A9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0867738B">
            <w:pPr>
              <w:spacing w:before="173" w:line="267" w:lineRule="exact"/>
              <w:ind w:left="2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2025.01.08</w:t>
            </w:r>
          </w:p>
        </w:tc>
        <w:tc>
          <w:tcPr>
            <w:tcW w:w="919" w:type="dxa"/>
            <w:vAlign w:val="top"/>
          </w:tcPr>
          <w:p w14:paraId="648AD6AC">
            <w:pPr>
              <w:spacing w:before="173" w:line="267" w:lineRule="exact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  <w:vAlign w:val="top"/>
          </w:tcPr>
          <w:p w14:paraId="3CA7BD34">
            <w:pPr>
              <w:spacing w:before="172" w:line="228" w:lineRule="auto"/>
              <w:ind w:left="11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  <w:vAlign w:val="top"/>
          </w:tcPr>
          <w:p w14:paraId="5387AEE3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毛彦超</w:t>
            </w:r>
          </w:p>
        </w:tc>
        <w:tc>
          <w:tcPr>
            <w:tcW w:w="1150" w:type="dxa"/>
            <w:vAlign w:val="top"/>
          </w:tcPr>
          <w:p w14:paraId="008FBE06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  <w:vAlign w:val="top"/>
          </w:tcPr>
          <w:p w14:paraId="7CB1CF9F">
            <w:pPr>
              <w:spacing w:before="173" w:line="229" w:lineRule="auto"/>
              <w:ind w:left="3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 w14:paraId="4787711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4387CE95">
            <w:pPr>
              <w:pStyle w:val="27"/>
            </w:pPr>
          </w:p>
        </w:tc>
        <w:tc>
          <w:tcPr>
            <w:tcW w:w="919" w:type="dxa"/>
            <w:vAlign w:val="top"/>
          </w:tcPr>
          <w:p w14:paraId="218F3AD4">
            <w:pPr>
              <w:pStyle w:val="27"/>
            </w:pPr>
          </w:p>
        </w:tc>
        <w:tc>
          <w:tcPr>
            <w:tcW w:w="2289" w:type="dxa"/>
            <w:vAlign w:val="top"/>
          </w:tcPr>
          <w:p w14:paraId="15EFA507">
            <w:pPr>
              <w:pStyle w:val="27"/>
            </w:pPr>
          </w:p>
        </w:tc>
        <w:tc>
          <w:tcPr>
            <w:tcW w:w="1148" w:type="dxa"/>
            <w:vAlign w:val="top"/>
          </w:tcPr>
          <w:p w14:paraId="70C086CB">
            <w:pPr>
              <w:spacing w:before="172" w:line="228" w:lineRule="auto"/>
              <w:ind w:left="313"/>
            </w:pPr>
          </w:p>
        </w:tc>
        <w:tc>
          <w:tcPr>
            <w:tcW w:w="1150" w:type="dxa"/>
            <w:vAlign w:val="top"/>
          </w:tcPr>
          <w:p w14:paraId="35AEC507">
            <w:pPr>
              <w:spacing w:before="172" w:line="228" w:lineRule="auto"/>
              <w:ind w:left="313"/>
            </w:pPr>
          </w:p>
        </w:tc>
        <w:tc>
          <w:tcPr>
            <w:tcW w:w="1240" w:type="dxa"/>
            <w:vAlign w:val="top"/>
          </w:tcPr>
          <w:p w14:paraId="6E8FD876">
            <w:pPr>
              <w:pStyle w:val="27"/>
            </w:pPr>
          </w:p>
        </w:tc>
      </w:tr>
      <w:tr w14:paraId="5D0B312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6897D55F">
            <w:pPr>
              <w:pStyle w:val="27"/>
            </w:pPr>
          </w:p>
        </w:tc>
        <w:tc>
          <w:tcPr>
            <w:tcW w:w="919" w:type="dxa"/>
            <w:vAlign w:val="top"/>
          </w:tcPr>
          <w:p w14:paraId="09634355">
            <w:pPr>
              <w:pStyle w:val="27"/>
            </w:pPr>
          </w:p>
        </w:tc>
        <w:tc>
          <w:tcPr>
            <w:tcW w:w="2289" w:type="dxa"/>
            <w:vAlign w:val="top"/>
          </w:tcPr>
          <w:p w14:paraId="5EE6029F">
            <w:pPr>
              <w:pStyle w:val="27"/>
            </w:pPr>
          </w:p>
        </w:tc>
        <w:tc>
          <w:tcPr>
            <w:tcW w:w="1148" w:type="dxa"/>
            <w:vAlign w:val="top"/>
          </w:tcPr>
          <w:p w14:paraId="38EDD11A">
            <w:pPr>
              <w:spacing w:before="173" w:line="229" w:lineRule="auto"/>
              <w:ind w:left="314"/>
            </w:pPr>
          </w:p>
        </w:tc>
        <w:tc>
          <w:tcPr>
            <w:tcW w:w="1150" w:type="dxa"/>
            <w:vAlign w:val="top"/>
          </w:tcPr>
          <w:p w14:paraId="4B30AD5C">
            <w:pPr>
              <w:spacing w:before="173" w:line="229" w:lineRule="auto"/>
              <w:ind w:left="314"/>
            </w:pPr>
          </w:p>
        </w:tc>
        <w:tc>
          <w:tcPr>
            <w:tcW w:w="1240" w:type="dxa"/>
            <w:vAlign w:val="top"/>
          </w:tcPr>
          <w:p w14:paraId="6FBCF8FF">
            <w:pPr>
              <w:pStyle w:val="27"/>
            </w:pPr>
          </w:p>
        </w:tc>
      </w:tr>
      <w:tr w14:paraId="607EF14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555" w:type="dxa"/>
            <w:vAlign w:val="top"/>
          </w:tcPr>
          <w:p w14:paraId="54A920BB">
            <w:pPr>
              <w:pStyle w:val="27"/>
            </w:pPr>
          </w:p>
        </w:tc>
        <w:tc>
          <w:tcPr>
            <w:tcW w:w="919" w:type="dxa"/>
            <w:vAlign w:val="top"/>
          </w:tcPr>
          <w:p w14:paraId="1BBFCF07">
            <w:pPr>
              <w:pStyle w:val="27"/>
            </w:pPr>
          </w:p>
        </w:tc>
        <w:tc>
          <w:tcPr>
            <w:tcW w:w="2289" w:type="dxa"/>
            <w:vAlign w:val="top"/>
          </w:tcPr>
          <w:p w14:paraId="238EACEC">
            <w:pPr>
              <w:pStyle w:val="27"/>
            </w:pPr>
          </w:p>
        </w:tc>
        <w:tc>
          <w:tcPr>
            <w:tcW w:w="1148" w:type="dxa"/>
            <w:vAlign w:val="top"/>
          </w:tcPr>
          <w:p w14:paraId="75E51CC0">
            <w:pPr>
              <w:pStyle w:val="27"/>
            </w:pPr>
          </w:p>
        </w:tc>
        <w:tc>
          <w:tcPr>
            <w:tcW w:w="1150" w:type="dxa"/>
            <w:vAlign w:val="top"/>
          </w:tcPr>
          <w:p w14:paraId="06FF3C1B">
            <w:pPr>
              <w:pStyle w:val="27"/>
            </w:pPr>
          </w:p>
        </w:tc>
        <w:tc>
          <w:tcPr>
            <w:tcW w:w="1240" w:type="dxa"/>
            <w:vAlign w:val="top"/>
          </w:tcPr>
          <w:p w14:paraId="5C8B1A3D">
            <w:pPr>
              <w:pStyle w:val="27"/>
            </w:pPr>
          </w:p>
        </w:tc>
      </w:tr>
      <w:tr w14:paraId="57C3746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76CC6502">
            <w:pPr>
              <w:pStyle w:val="27"/>
            </w:pPr>
          </w:p>
        </w:tc>
        <w:tc>
          <w:tcPr>
            <w:tcW w:w="919" w:type="dxa"/>
            <w:vAlign w:val="top"/>
          </w:tcPr>
          <w:p w14:paraId="22DED3EC">
            <w:pPr>
              <w:pStyle w:val="27"/>
            </w:pPr>
          </w:p>
        </w:tc>
        <w:tc>
          <w:tcPr>
            <w:tcW w:w="2289" w:type="dxa"/>
            <w:vAlign w:val="top"/>
          </w:tcPr>
          <w:p w14:paraId="22279F68">
            <w:pPr>
              <w:pStyle w:val="27"/>
            </w:pPr>
          </w:p>
        </w:tc>
        <w:tc>
          <w:tcPr>
            <w:tcW w:w="1148" w:type="dxa"/>
            <w:vAlign w:val="top"/>
          </w:tcPr>
          <w:p w14:paraId="451706B1">
            <w:pPr>
              <w:pStyle w:val="27"/>
            </w:pPr>
          </w:p>
        </w:tc>
        <w:tc>
          <w:tcPr>
            <w:tcW w:w="1150" w:type="dxa"/>
            <w:vAlign w:val="top"/>
          </w:tcPr>
          <w:p w14:paraId="4C95703C">
            <w:pPr>
              <w:pStyle w:val="27"/>
            </w:pPr>
          </w:p>
        </w:tc>
        <w:tc>
          <w:tcPr>
            <w:tcW w:w="1240" w:type="dxa"/>
            <w:vAlign w:val="top"/>
          </w:tcPr>
          <w:p w14:paraId="60889A79">
            <w:pPr>
              <w:pStyle w:val="27"/>
            </w:pPr>
          </w:p>
        </w:tc>
      </w:tr>
      <w:tr w14:paraId="17E75C2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555" w:type="dxa"/>
            <w:vAlign w:val="top"/>
          </w:tcPr>
          <w:p w14:paraId="774341DD">
            <w:pPr>
              <w:pStyle w:val="27"/>
            </w:pPr>
          </w:p>
        </w:tc>
        <w:tc>
          <w:tcPr>
            <w:tcW w:w="919" w:type="dxa"/>
            <w:vAlign w:val="top"/>
          </w:tcPr>
          <w:p w14:paraId="68D2552E">
            <w:pPr>
              <w:pStyle w:val="27"/>
            </w:pPr>
          </w:p>
        </w:tc>
        <w:tc>
          <w:tcPr>
            <w:tcW w:w="2289" w:type="dxa"/>
            <w:vAlign w:val="top"/>
          </w:tcPr>
          <w:p w14:paraId="1E79A586">
            <w:pPr>
              <w:pStyle w:val="27"/>
            </w:pPr>
          </w:p>
        </w:tc>
        <w:tc>
          <w:tcPr>
            <w:tcW w:w="1148" w:type="dxa"/>
            <w:vAlign w:val="top"/>
          </w:tcPr>
          <w:p w14:paraId="17919EEC">
            <w:pPr>
              <w:pStyle w:val="27"/>
            </w:pPr>
          </w:p>
        </w:tc>
        <w:tc>
          <w:tcPr>
            <w:tcW w:w="1150" w:type="dxa"/>
            <w:vAlign w:val="top"/>
          </w:tcPr>
          <w:p w14:paraId="2BB87D59">
            <w:pPr>
              <w:pStyle w:val="27"/>
            </w:pPr>
          </w:p>
        </w:tc>
        <w:tc>
          <w:tcPr>
            <w:tcW w:w="1240" w:type="dxa"/>
            <w:vAlign w:val="top"/>
          </w:tcPr>
          <w:p w14:paraId="4CCAE5FE">
            <w:pPr>
              <w:pStyle w:val="27"/>
            </w:pPr>
          </w:p>
        </w:tc>
      </w:tr>
    </w:tbl>
    <w:p w14:paraId="757D1BA6">
      <w:r>
        <w:br w:type="page"/>
      </w: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68666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 w14:paraId="464632CD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t>目录</w:t>
          </w:r>
        </w:p>
        <w:p w14:paraId="44FCDFA4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_Toc31328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万洲奇智（青岛）信息科技有限</w:t>
          </w:r>
          <w:r>
            <w:t>公司</w:t>
          </w:r>
          <w:r>
            <w:tab/>
          </w:r>
          <w:r>
            <w:fldChar w:fldCharType="begin"/>
          </w:r>
          <w:r>
            <w:instrText xml:space="preserve"> PAGEREF _Toc31328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10E3F29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_Toc24984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过程框架设计管理制度</w:t>
          </w:r>
          <w:r>
            <w:tab/>
          </w:r>
          <w:r>
            <w:fldChar w:fldCharType="begin"/>
          </w:r>
          <w:r>
            <w:instrText xml:space="preserve"> PAGEREF _Toc24984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253AC02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_Toc19166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t>目的</w:t>
          </w:r>
          <w:r>
            <w:tab/>
          </w:r>
          <w:r>
            <w:fldChar w:fldCharType="begin"/>
          </w:r>
          <w:r>
            <w:instrText xml:space="preserve"> PAGEREF _Toc19166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E01C482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_Toc4465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原则</w:t>
          </w:r>
          <w:r>
            <w:tab/>
          </w:r>
          <w:r>
            <w:fldChar w:fldCharType="begin"/>
          </w:r>
          <w:r>
            <w:instrText xml:space="preserve"> PAGEREF _Toc4465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12EF4BB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_Toc22774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  <w:lang w:val="en-US" w:eastAsia="zh-CN"/>
            </w:rPr>
            <w:t>适用</w:t>
          </w:r>
          <w:r>
            <w:t>范围</w:t>
          </w:r>
          <w:r>
            <w:tab/>
          </w:r>
          <w:r>
            <w:fldChar w:fldCharType="begin"/>
          </w:r>
          <w:r>
            <w:instrText xml:space="preserve"> PAGEREF _Toc22774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E2C08E0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_Toc2395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岗位职责</w:t>
          </w:r>
          <w:r>
            <w:tab/>
          </w:r>
          <w:r>
            <w:fldChar w:fldCharType="begin"/>
          </w:r>
          <w:r>
            <w:instrText xml:space="preserve"> PAGEREF _Toc2395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C60B35F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_Toc6463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运维部</w:t>
          </w:r>
          <w:r>
            <w:tab/>
          </w:r>
          <w:r>
            <w:fldChar w:fldCharType="begin"/>
          </w:r>
          <w:r>
            <w:instrText xml:space="preserve"> PAGEREF _Toc6463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93FCCFE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_Toc9358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其他运维相关部门</w:t>
          </w:r>
          <w:r>
            <w:tab/>
          </w:r>
          <w:r>
            <w:fldChar w:fldCharType="begin"/>
          </w:r>
          <w:r>
            <w:instrText xml:space="preserve"> PAGEREF _Toc9358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C80A2A6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_Toc14113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过程框架设计流程</w:t>
          </w:r>
          <w:r>
            <w:tab/>
          </w:r>
          <w:r>
            <w:fldChar w:fldCharType="begin"/>
          </w:r>
          <w:r>
            <w:instrText xml:space="preserve"> PAGEREF _Toc14113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EB6B4FB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_Toc29078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5.1. </w:t>
          </w:r>
          <w:r>
            <w:t>服务规划与设计</w:t>
          </w:r>
          <w:r>
            <w:tab/>
          </w:r>
          <w:r>
            <w:fldChar w:fldCharType="begin"/>
          </w:r>
          <w:r>
            <w:instrText xml:space="preserve"> PAGEREF _Toc29078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DB83E61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_Toc31896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5.1.1. </w:t>
          </w:r>
          <w:r>
            <w:rPr>
              <w:rFonts w:hint="eastAsia"/>
              <w:lang w:val="en-US" w:eastAsia="zh-CN"/>
            </w:rPr>
            <w:t>目的</w:t>
          </w:r>
          <w:r>
            <w:tab/>
          </w:r>
          <w:r>
            <w:fldChar w:fldCharType="begin"/>
          </w:r>
          <w:r>
            <w:instrText xml:space="preserve"> PAGEREF _Toc31896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6EE6339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_Toc14750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5.1.2. </w:t>
          </w:r>
          <w:r>
            <w:rPr>
              <w:rFonts w:hint="eastAsia"/>
              <w:lang w:val="en-US" w:eastAsia="zh-CN"/>
            </w:rPr>
            <w:t>主要活动</w:t>
          </w:r>
          <w:r>
            <w:tab/>
          </w:r>
          <w:r>
            <w:fldChar w:fldCharType="begin"/>
          </w:r>
          <w:r>
            <w:instrText xml:space="preserve"> PAGEREF _Toc14750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F6E34D8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_Toc219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5.1.3. </w:t>
          </w:r>
          <w:r>
            <w:rPr>
              <w:rFonts w:hint="eastAsia"/>
              <w:lang w:val="en-US" w:eastAsia="zh-CN"/>
            </w:rPr>
            <w:t>输出结果</w:t>
          </w:r>
          <w:r>
            <w:tab/>
          </w:r>
          <w:r>
            <w:fldChar w:fldCharType="begin"/>
          </w:r>
          <w:r>
            <w:instrText xml:space="preserve"> PAGEREF _Toc219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C6DEA9A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_Toc9961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5.2. </w:t>
          </w:r>
          <w:r>
            <w:t>服务部署与实施</w:t>
          </w:r>
          <w:r>
            <w:tab/>
          </w:r>
          <w:r>
            <w:fldChar w:fldCharType="begin"/>
          </w:r>
          <w:r>
            <w:instrText xml:space="preserve"> PAGEREF _Toc9961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77E98DB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_Toc7516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5.2.1. </w:t>
          </w:r>
          <w:r>
            <w:rPr>
              <w:rFonts w:hint="eastAsia"/>
              <w:lang w:val="en-US" w:eastAsia="zh-CN"/>
            </w:rPr>
            <w:t>目的</w:t>
          </w:r>
          <w:r>
            <w:tab/>
          </w:r>
          <w:r>
            <w:fldChar w:fldCharType="begin"/>
          </w:r>
          <w:r>
            <w:instrText xml:space="preserve"> PAGEREF _Toc7516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CE0697A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_Toc11355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5.2.2. </w:t>
          </w:r>
          <w:r>
            <w:rPr>
              <w:rFonts w:hint="eastAsia"/>
              <w:lang w:val="en-US" w:eastAsia="zh-CN"/>
            </w:rPr>
            <w:t>主要活动</w:t>
          </w:r>
          <w:r>
            <w:tab/>
          </w:r>
          <w:r>
            <w:fldChar w:fldCharType="begin"/>
          </w:r>
          <w:r>
            <w:instrText xml:space="preserve"> PAGEREF _Toc11355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E244ACC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_Toc25542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5.2.3. </w:t>
          </w:r>
          <w:r>
            <w:rPr>
              <w:rFonts w:hint="eastAsia"/>
              <w:lang w:val="en-US" w:eastAsia="zh-CN"/>
            </w:rPr>
            <w:t>输出结果</w:t>
          </w:r>
          <w:r>
            <w:tab/>
          </w:r>
          <w:r>
            <w:fldChar w:fldCharType="begin"/>
          </w:r>
          <w:r>
            <w:instrText xml:space="preserve"> PAGEREF _Toc25542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F5EA4CF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_Toc7677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5.3. </w:t>
          </w:r>
          <w:r>
            <w:t>服务运营与管理</w:t>
          </w:r>
          <w:r>
            <w:tab/>
          </w:r>
          <w:r>
            <w:fldChar w:fldCharType="begin"/>
          </w:r>
          <w:r>
            <w:instrText xml:space="preserve"> PAGEREF _Toc7677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57838AE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_Toc25822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5.3.1. </w:t>
          </w:r>
          <w:r>
            <w:rPr>
              <w:rFonts w:hint="eastAsia"/>
              <w:lang w:val="en-US" w:eastAsia="zh-CN"/>
            </w:rPr>
            <w:t>目的</w:t>
          </w:r>
          <w:r>
            <w:tab/>
          </w:r>
          <w:r>
            <w:fldChar w:fldCharType="begin"/>
          </w:r>
          <w:r>
            <w:instrText xml:space="preserve"> PAGEREF _Toc25822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C8E143F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_Toc10972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5.3.2. </w:t>
          </w:r>
          <w:r>
            <w:rPr>
              <w:rFonts w:hint="eastAsia"/>
              <w:lang w:val="en-US" w:eastAsia="zh-CN"/>
            </w:rPr>
            <w:t>主要活动</w:t>
          </w:r>
          <w:r>
            <w:tab/>
          </w:r>
          <w:r>
            <w:fldChar w:fldCharType="begin"/>
          </w:r>
          <w:r>
            <w:instrText xml:space="preserve"> PAGEREF _Toc10972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1D9AB9C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_Toc22385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5.3.3. </w:t>
          </w:r>
          <w:r>
            <w:rPr>
              <w:rFonts w:hint="eastAsia"/>
              <w:lang w:val="en-US" w:eastAsia="zh-CN"/>
            </w:rPr>
            <w:t>输出结果</w:t>
          </w:r>
          <w:r>
            <w:tab/>
          </w:r>
          <w:r>
            <w:fldChar w:fldCharType="begin"/>
          </w:r>
          <w:r>
            <w:instrText xml:space="preserve"> PAGEREF _Toc22385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4AA8664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_Toc10938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5.4. </w:t>
          </w:r>
          <w:r>
            <w:t>服务监控与改进</w:t>
          </w:r>
          <w:r>
            <w:tab/>
          </w:r>
          <w:r>
            <w:fldChar w:fldCharType="begin"/>
          </w:r>
          <w:r>
            <w:instrText xml:space="preserve"> PAGEREF _Toc10938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1C528BB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_Toc26551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5.4.1. </w:t>
          </w:r>
          <w:r>
            <w:rPr>
              <w:rFonts w:hint="eastAsia"/>
              <w:lang w:val="en-US" w:eastAsia="zh-CN"/>
            </w:rPr>
            <w:t>目的</w:t>
          </w:r>
          <w:r>
            <w:tab/>
          </w:r>
          <w:r>
            <w:fldChar w:fldCharType="begin"/>
          </w:r>
          <w:r>
            <w:instrText xml:space="preserve"> PAGEREF _Toc26551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BF848AE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_Toc1638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5.4.2. </w:t>
          </w:r>
          <w:r>
            <w:rPr>
              <w:rFonts w:hint="eastAsia"/>
              <w:lang w:val="en-US" w:eastAsia="zh-CN"/>
            </w:rPr>
            <w:t>主要活动</w:t>
          </w:r>
          <w:r>
            <w:tab/>
          </w:r>
          <w:r>
            <w:fldChar w:fldCharType="begin"/>
          </w:r>
          <w:r>
            <w:instrText xml:space="preserve"> PAGEREF _Toc1638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721A8A6"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_Toc31446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5.4.3. </w:t>
          </w:r>
          <w:r>
            <w:rPr>
              <w:rFonts w:hint="eastAsia"/>
              <w:lang w:val="en-US" w:eastAsia="zh-CN"/>
            </w:rPr>
            <w:t>输出结果</w:t>
          </w:r>
          <w:r>
            <w:tab/>
          </w:r>
          <w:r>
            <w:fldChar w:fldCharType="begin"/>
          </w:r>
          <w:r>
            <w:instrText xml:space="preserve"> PAGEREF _Toc31446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1F6AB09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_Toc30650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5.5. </w:t>
          </w:r>
          <w:r>
            <w:rPr>
              <w:rFonts w:hint="eastAsia"/>
              <w:lang w:val="en-US" w:eastAsia="zh-CN"/>
            </w:rPr>
            <w:t>过程框架考核指标</w:t>
          </w:r>
          <w:r>
            <w:tab/>
          </w:r>
          <w:r>
            <w:fldChar w:fldCharType="begin"/>
          </w:r>
          <w:r>
            <w:instrText xml:space="preserve"> PAGEREF _Toc30650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DF58F11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_Toc20327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 w:eastAsia="宋体"/>
              <w:lang w:val="en-US" w:eastAsia="zh-CN"/>
            </w:rPr>
            <w:t xml:space="preserve">6. </w:t>
          </w:r>
          <w:r>
            <w:rPr>
              <w:rFonts w:hint="eastAsia" w:eastAsia="宋体"/>
              <w:lang w:val="en-US" w:eastAsia="zh-CN"/>
            </w:rPr>
            <w:t>附则</w:t>
          </w:r>
          <w:r>
            <w:tab/>
          </w:r>
          <w:r>
            <w:fldChar w:fldCharType="begin"/>
          </w:r>
          <w:r>
            <w:instrText xml:space="preserve"> PAGEREF _Toc20327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151884F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_Toc1670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附件</w:t>
          </w:r>
          <w:r>
            <w:tab/>
          </w:r>
          <w:r>
            <w:fldChar w:fldCharType="begin"/>
          </w:r>
          <w:r>
            <w:instrText xml:space="preserve"> PAGEREF _Toc1670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7DD2EB5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_Toc27431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记录</w:t>
          </w:r>
          <w:r>
            <w:tab/>
          </w:r>
          <w:r>
            <w:fldChar w:fldCharType="begin"/>
          </w:r>
          <w:r>
            <w:instrText xml:space="preserve"> PAGEREF _Toc27431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587950E">
          <w:pPr>
            <w:bidi w:val="0"/>
            <w:rPr>
              <w:rFonts w:hint="eastAsia" w:ascii="宋体" w:hAnsi="宋体" w:eastAsia="宋体" w:cs="宋体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</w:sdtContent>
    </w:sdt>
    <w:p w14:paraId="75DCC050">
      <w:pP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</w:pPr>
      <w: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  <w:br w:type="page"/>
      </w:r>
    </w:p>
    <w:p w14:paraId="191B6498">
      <w:pPr>
        <w:pStyle w:val="28"/>
        <w:bidi w:val="0"/>
      </w:pPr>
      <w:bookmarkStart w:id="2" w:name="_Toc19166"/>
      <w:r>
        <w:t>目的</w:t>
      </w:r>
      <w:bookmarkEnd w:id="2"/>
    </w:p>
    <w:p w14:paraId="514538D6">
      <w:pPr>
        <w:pStyle w:val="29"/>
        <w:bidi w:val="0"/>
        <w:rPr>
          <w:rFonts w:hint="default" w:eastAsia="宋体"/>
          <w:lang w:val="en-US" w:eastAsia="zh-CN"/>
        </w:rPr>
      </w:pPr>
      <w:r>
        <w:t>为规范公司</w:t>
      </w:r>
      <w:r>
        <w:rPr>
          <w:rFonts w:hint="eastAsia"/>
          <w:lang w:val="en-US" w:eastAsia="zh-CN"/>
        </w:rPr>
        <w:t>运维</w:t>
      </w:r>
      <w:r>
        <w:t>服务管理，确保运维服务过程符合 ITSS（信息技术服务标准）要求，提高运维服务质量和效率，降低运维风险，特制定本</w:t>
      </w:r>
      <w:r>
        <w:rPr>
          <w:rFonts w:hint="eastAsia"/>
          <w:lang w:val="en-US" w:eastAsia="zh-CN"/>
        </w:rPr>
        <w:t>制度。</w:t>
      </w:r>
    </w:p>
    <w:p w14:paraId="2D240536">
      <w:pPr>
        <w:pStyle w:val="28"/>
        <w:bidi w:val="0"/>
        <w:rPr>
          <w:rFonts w:hint="eastAsia"/>
          <w:lang w:val="en-US" w:eastAsia="zh-CN"/>
        </w:rPr>
      </w:pPr>
      <w:bookmarkStart w:id="3" w:name="_Toc4465"/>
      <w:r>
        <w:rPr>
          <w:rFonts w:hint="eastAsia"/>
          <w:lang w:val="en-US" w:eastAsia="zh-CN"/>
        </w:rPr>
        <w:t>原则</w:t>
      </w:r>
      <w:bookmarkEnd w:id="3"/>
    </w:p>
    <w:p w14:paraId="54B34A42">
      <w:pPr>
        <w:pStyle w:val="29"/>
        <w:bidi w:val="0"/>
        <w:rPr>
          <w:rFonts w:hint="eastAsia"/>
          <w:lang w:val="en-US" w:eastAsia="zh-CN"/>
        </w:rPr>
      </w:pPr>
      <w:r>
        <w:t>以客户需求为中心、以流程为导向的原则，强调服务战略、实施、运营和持续改进的全生命周期协同，并通过人员、过程、技术和资源的有效整合，确保运维服务管理的系统性、规范性和可测量性。</w:t>
      </w:r>
    </w:p>
    <w:p w14:paraId="6BD52D84">
      <w:pPr>
        <w:pStyle w:val="28"/>
        <w:bidi w:val="0"/>
      </w:pPr>
      <w:bookmarkStart w:id="4" w:name="_Toc22774"/>
      <w:r>
        <w:rPr>
          <w:rFonts w:hint="eastAsia"/>
          <w:lang w:val="en-US" w:eastAsia="zh-CN"/>
        </w:rPr>
        <w:t>适用</w:t>
      </w:r>
      <w:r>
        <w:t>范围</w:t>
      </w:r>
      <w:bookmarkEnd w:id="4"/>
    </w:p>
    <w:p w14:paraId="25B2406B">
      <w:pPr>
        <w:pStyle w:val="29"/>
        <w:bidi w:val="0"/>
      </w:pPr>
      <w:r>
        <w:t>本制度适用于公司内部所有与IT运维服务相关的部门、人员以及涉及的IT系统和服务流程。</w:t>
      </w:r>
    </w:p>
    <w:p w14:paraId="72F6781A">
      <w:pPr>
        <w:pStyle w:val="28"/>
        <w:bidi w:val="0"/>
        <w:rPr>
          <w:rFonts w:hint="eastAsia"/>
          <w:lang w:val="en-US" w:eastAsia="zh-CN"/>
        </w:rPr>
      </w:pPr>
      <w:bookmarkStart w:id="5" w:name="_Toc2395"/>
      <w:r>
        <w:rPr>
          <w:rFonts w:hint="eastAsia"/>
          <w:lang w:val="en-US" w:eastAsia="zh-CN"/>
        </w:rPr>
        <w:t>岗位职责</w:t>
      </w:r>
      <w:bookmarkEnd w:id="5"/>
    </w:p>
    <w:p w14:paraId="0F31A973">
      <w:pPr>
        <w:pStyle w:val="30"/>
        <w:bidi w:val="0"/>
        <w:rPr>
          <w:rFonts w:hint="eastAsia"/>
          <w:lang w:val="en-US" w:eastAsia="zh-CN"/>
        </w:rPr>
      </w:pPr>
      <w:bookmarkStart w:id="6" w:name="_Toc6463"/>
      <w:r>
        <w:rPr>
          <w:rFonts w:hint="eastAsia"/>
          <w:lang w:val="en-US" w:eastAsia="zh-CN"/>
        </w:rPr>
        <w:t>运维部</w:t>
      </w:r>
      <w:bookmarkEnd w:id="6"/>
    </w:p>
    <w:p w14:paraId="67C573C7">
      <w:pPr>
        <w:pStyle w:val="39"/>
        <w:numPr>
          <w:ilvl w:val="0"/>
          <w:numId w:val="2"/>
        </w:numPr>
        <w:bidi w:val="0"/>
        <w:ind w:left="425" w:leftChars="0" w:hanging="425" w:firstLineChars="0"/>
      </w:pPr>
      <w:r>
        <w:t>负责制定和完善运维服务过程框架设计管理制度。</w:t>
      </w:r>
    </w:p>
    <w:p w14:paraId="11A6FF41">
      <w:pPr>
        <w:pStyle w:val="39"/>
        <w:numPr>
          <w:ilvl w:val="0"/>
          <w:numId w:val="2"/>
        </w:numPr>
        <w:bidi w:val="0"/>
        <w:ind w:left="425" w:leftChars="0" w:hanging="425" w:firstLineChars="0"/>
      </w:pPr>
      <w:r>
        <w:t>组织开展服务规划与设计、服务部署与实施、服务运营与管理、服务监控与改进等活动。</w:t>
      </w:r>
    </w:p>
    <w:p w14:paraId="36A51C04">
      <w:pPr>
        <w:pStyle w:val="30"/>
        <w:bidi w:val="0"/>
        <w:rPr>
          <w:rFonts w:hint="eastAsia"/>
          <w:lang w:val="en-US" w:eastAsia="zh-CN"/>
        </w:rPr>
      </w:pPr>
      <w:bookmarkStart w:id="7" w:name="_Toc9358"/>
      <w:r>
        <w:rPr>
          <w:rFonts w:hint="eastAsia"/>
          <w:lang w:val="en-US" w:eastAsia="zh-CN"/>
        </w:rPr>
        <w:t>其他运维相关部门</w:t>
      </w:r>
      <w:bookmarkEnd w:id="7"/>
    </w:p>
    <w:p w14:paraId="72F8C217">
      <w:pPr>
        <w:pStyle w:val="39"/>
        <w:numPr>
          <w:ilvl w:val="0"/>
          <w:numId w:val="3"/>
        </w:numPr>
        <w:bidi w:val="0"/>
        <w:ind w:left="425" w:leftChars="0" w:hanging="425" w:firstLineChars="0"/>
      </w:pPr>
      <w:r>
        <w:t>提供业务需求信息，协助进行业务需求分析。</w:t>
      </w:r>
    </w:p>
    <w:p w14:paraId="735D4EF1">
      <w:pPr>
        <w:pStyle w:val="39"/>
        <w:numPr>
          <w:ilvl w:val="0"/>
          <w:numId w:val="3"/>
        </w:numPr>
        <w:bidi w:val="0"/>
        <w:ind w:left="425" w:leftChars="0" w:hanging="425" w:firstLineChars="0"/>
      </w:pPr>
      <w:r>
        <w:t>参与服务级别协议的制定和评审，确保服务能够满足业务需求。</w:t>
      </w:r>
    </w:p>
    <w:p w14:paraId="3DB3ED5E">
      <w:pPr>
        <w:pStyle w:val="39"/>
        <w:numPr>
          <w:ilvl w:val="0"/>
          <w:numId w:val="3"/>
        </w:numPr>
        <w:bidi w:val="0"/>
        <w:ind w:left="425" w:leftChars="0" w:hanging="425" w:firstLineChars="0"/>
      </w:pPr>
      <w:r>
        <w:t>及时反馈服务过程中存在的问题和建议，协助进行服务改进。</w:t>
      </w:r>
    </w:p>
    <w:p w14:paraId="7E6E312E">
      <w:pPr>
        <w:pStyle w:val="28"/>
        <w:bidi w:val="0"/>
        <w:rPr>
          <w:rFonts w:hint="default"/>
          <w:lang w:val="en-US" w:eastAsia="zh-CN"/>
        </w:rPr>
      </w:pPr>
      <w:bookmarkStart w:id="8" w:name="_Toc14113"/>
      <w:r>
        <w:rPr>
          <w:rFonts w:hint="eastAsia"/>
          <w:lang w:val="en-US" w:eastAsia="zh-CN"/>
        </w:rPr>
        <w:t>过程框架设计流程</w:t>
      </w:r>
      <w:bookmarkEnd w:id="8"/>
    </w:p>
    <w:p w14:paraId="54105148">
      <w:pPr>
        <w:pStyle w:val="30"/>
        <w:bidi w:val="0"/>
      </w:pPr>
      <w:bookmarkStart w:id="9" w:name="_Toc29078"/>
      <w:r>
        <w:t>服务规划与设计</w:t>
      </w:r>
      <w:bookmarkEnd w:id="9"/>
    </w:p>
    <w:p w14:paraId="6BBABA0D">
      <w:pPr>
        <w:pStyle w:val="31"/>
        <w:bidi w:val="0"/>
        <w:rPr>
          <w:rFonts w:hint="eastAsia"/>
          <w:lang w:val="en-US" w:eastAsia="zh-CN"/>
        </w:rPr>
      </w:pPr>
      <w:bookmarkStart w:id="10" w:name="_Toc31896"/>
      <w:r>
        <w:rPr>
          <w:rFonts w:hint="eastAsia"/>
          <w:lang w:val="en-US" w:eastAsia="zh-CN"/>
        </w:rPr>
        <w:t>目的</w:t>
      </w:r>
      <w:bookmarkEnd w:id="10"/>
    </w:p>
    <w:p w14:paraId="25B666EC">
      <w:pPr>
        <w:pStyle w:val="29"/>
        <w:bidi w:val="0"/>
      </w:pPr>
      <w:r>
        <w:t>旨在依据业务需求与IT战略，制定科学合理的运维服务规划与架构设计，确保运维服务持续支撑业务发展。</w:t>
      </w:r>
    </w:p>
    <w:p w14:paraId="318E4DAD">
      <w:pPr>
        <w:pStyle w:val="31"/>
        <w:bidi w:val="0"/>
        <w:rPr>
          <w:rFonts w:hint="eastAsia"/>
          <w:lang w:val="en-US" w:eastAsia="zh-CN"/>
        </w:rPr>
      </w:pPr>
      <w:bookmarkStart w:id="11" w:name="_Toc14750"/>
      <w:r>
        <w:rPr>
          <w:rFonts w:hint="eastAsia"/>
          <w:lang w:val="en-US" w:eastAsia="zh-CN"/>
        </w:rPr>
        <w:t>主要活动</w:t>
      </w:r>
      <w:bookmarkEnd w:id="11"/>
    </w:p>
    <w:p w14:paraId="68906BAF">
      <w:pPr>
        <w:pStyle w:val="29"/>
        <w:bidi w:val="0"/>
        <w:rPr>
          <w:rFonts w:hint="eastAsia"/>
          <w:lang w:val="en-US" w:eastAsia="zh-CN"/>
        </w:rPr>
      </w:pPr>
      <w:r>
        <w:t>分析业务需求，明确系统在功能、性能及可用性等方面的要求；据此制定运维服务目标、范围与策略，设计包括组织、流程、技术及资源在内的服务架构，并编制服务级别协议（SLA），明确服务质量标准、服务范围、响应与解决时间等关键指标</w:t>
      </w:r>
    </w:p>
    <w:p w14:paraId="426A0216">
      <w:pPr>
        <w:pStyle w:val="31"/>
        <w:bidi w:val="0"/>
        <w:rPr>
          <w:rFonts w:hint="default"/>
          <w:lang w:val="en-US" w:eastAsia="zh-CN"/>
        </w:rPr>
      </w:pPr>
      <w:bookmarkStart w:id="12" w:name="_Toc219"/>
      <w:r>
        <w:rPr>
          <w:rFonts w:hint="eastAsia"/>
          <w:lang w:val="en-US" w:eastAsia="zh-CN"/>
        </w:rPr>
        <w:t>输出结果</w:t>
      </w:r>
      <w:bookmarkEnd w:id="12"/>
    </w:p>
    <w:p w14:paraId="42553189">
      <w:pPr>
        <w:pStyle w:val="29"/>
        <w:bidi w:val="0"/>
      </w:pPr>
      <w:r>
        <w:t>业务需求分析报告、IT运维服务战略规划书、运维服务架构设计方案及服务级别协议等。</w:t>
      </w:r>
    </w:p>
    <w:p w14:paraId="6629AA6F">
      <w:pPr>
        <w:pStyle w:val="30"/>
        <w:bidi w:val="0"/>
      </w:pPr>
      <w:bookmarkStart w:id="13" w:name="_Toc9961"/>
      <w:r>
        <w:t>服务部署与实施</w:t>
      </w:r>
      <w:bookmarkEnd w:id="13"/>
    </w:p>
    <w:p w14:paraId="48A1D149">
      <w:pPr>
        <w:pStyle w:val="31"/>
        <w:bidi w:val="0"/>
        <w:rPr>
          <w:rFonts w:hint="eastAsia"/>
          <w:lang w:val="en-US" w:eastAsia="zh-CN"/>
        </w:rPr>
      </w:pPr>
      <w:bookmarkStart w:id="14" w:name="_Toc7516"/>
      <w:r>
        <w:rPr>
          <w:rFonts w:hint="eastAsia"/>
          <w:lang w:val="en-US" w:eastAsia="zh-CN"/>
        </w:rPr>
        <w:t>目的</w:t>
      </w:r>
      <w:bookmarkEnd w:id="14"/>
    </w:p>
    <w:p w14:paraId="10E23F1D">
      <w:pPr>
        <w:pStyle w:val="29"/>
        <w:rPr>
          <w:rFonts w:hint="eastAsia"/>
          <w:lang w:val="en-US" w:eastAsia="zh-CN"/>
        </w:rPr>
      </w:pPr>
      <w:r>
        <w:t>旨在将服务规划阶段确定的方案系统部署落地，保障运维服务所需人员、技术、流程与资源的有效就绪，支撑服务顺利运行</w:t>
      </w:r>
    </w:p>
    <w:p w14:paraId="7A28796E">
      <w:pPr>
        <w:pStyle w:val="31"/>
        <w:bidi w:val="0"/>
        <w:rPr>
          <w:rFonts w:hint="eastAsia"/>
          <w:lang w:val="en-US" w:eastAsia="zh-CN"/>
        </w:rPr>
      </w:pPr>
      <w:bookmarkStart w:id="15" w:name="_Toc11355"/>
      <w:r>
        <w:rPr>
          <w:rFonts w:hint="eastAsia"/>
          <w:lang w:val="en-US" w:eastAsia="zh-CN"/>
        </w:rPr>
        <w:t>主要活动</w:t>
      </w:r>
      <w:bookmarkEnd w:id="15"/>
    </w:p>
    <w:p w14:paraId="5D0D95FD">
      <w:pPr>
        <w:pStyle w:val="31"/>
        <w:bidi w:val="0"/>
        <w:rPr>
          <w:rFonts w:hint="default"/>
          <w:lang w:val="en-US" w:eastAsia="zh-CN"/>
        </w:rPr>
      </w:pPr>
      <w:bookmarkStart w:id="16" w:name="_Toc25542"/>
      <w:r>
        <w:rPr>
          <w:rFonts w:hint="eastAsia"/>
          <w:lang w:val="en-US" w:eastAsia="zh-CN"/>
        </w:rPr>
        <w:t>输出结果</w:t>
      </w:r>
      <w:bookmarkEnd w:id="16"/>
    </w:p>
    <w:p w14:paraId="1B13345D">
      <w:pPr>
        <w:pStyle w:val="29"/>
        <w:bidi w:val="0"/>
      </w:pPr>
      <w:r>
        <w:t>。重点包括组建运维服务团队并明确职责分工，部署监控、故障管理、配置管理等技术工具与平台，编写流程操作规范与指导文件并对团队开展培训，完成硬件、软件及网络等服务资源的统一配置与管理。输出成果涵盖运维服务团队组建方案、技术工具部署报告、流程操作规范与指导书及服务资源配置清单等。</w:t>
      </w:r>
    </w:p>
    <w:p w14:paraId="78262170">
      <w:pPr>
        <w:pStyle w:val="30"/>
        <w:bidi w:val="0"/>
      </w:pPr>
      <w:bookmarkStart w:id="17" w:name="_Toc7677"/>
      <w:r>
        <w:t>服务运营与管理</w:t>
      </w:r>
      <w:bookmarkEnd w:id="17"/>
    </w:p>
    <w:p w14:paraId="13309F83">
      <w:pPr>
        <w:pStyle w:val="31"/>
        <w:bidi w:val="0"/>
        <w:rPr>
          <w:rFonts w:hint="eastAsia"/>
          <w:lang w:val="en-US" w:eastAsia="zh-CN"/>
        </w:rPr>
      </w:pPr>
      <w:bookmarkStart w:id="18" w:name="_Toc25822"/>
      <w:r>
        <w:rPr>
          <w:rFonts w:hint="eastAsia"/>
          <w:lang w:val="en-US" w:eastAsia="zh-CN"/>
        </w:rPr>
        <w:t>目的</w:t>
      </w:r>
      <w:bookmarkEnd w:id="18"/>
    </w:p>
    <w:p w14:paraId="4968886F">
      <w:pPr>
        <w:pStyle w:val="31"/>
        <w:bidi w:val="0"/>
        <w:rPr>
          <w:rFonts w:hint="eastAsia"/>
          <w:lang w:val="en-US" w:eastAsia="zh-CN"/>
        </w:rPr>
      </w:pPr>
      <w:bookmarkStart w:id="19" w:name="_Toc10972"/>
      <w:r>
        <w:rPr>
          <w:rFonts w:hint="eastAsia"/>
          <w:lang w:val="en-US" w:eastAsia="zh-CN"/>
        </w:rPr>
        <w:t>主要活动</w:t>
      </w:r>
      <w:bookmarkEnd w:id="19"/>
    </w:p>
    <w:p w14:paraId="08FA52EA">
      <w:pPr>
        <w:pStyle w:val="31"/>
        <w:bidi w:val="0"/>
        <w:rPr>
          <w:rFonts w:hint="default"/>
          <w:lang w:val="en-US" w:eastAsia="zh-CN"/>
        </w:rPr>
      </w:pPr>
      <w:bookmarkStart w:id="20" w:name="_Toc22385"/>
      <w:r>
        <w:rPr>
          <w:rFonts w:hint="eastAsia"/>
          <w:lang w:val="en-US" w:eastAsia="zh-CN"/>
        </w:rPr>
        <w:t>输出结果</w:t>
      </w:r>
      <w:bookmarkEnd w:id="20"/>
    </w:p>
    <w:p w14:paraId="13C7D8AE">
      <w:pPr>
        <w:pStyle w:val="29"/>
        <w:bidi w:val="0"/>
      </w:pPr>
      <w:r>
        <w:t>旨在严格遵循服务级别协议（SLA），提供稳定、高效的日常运维服务，保障IT系统持续可靠运行。主要工作涵盖系统巡检、故障处理、补丁管理与配置变更等日常运维操作，按协议及时响应和处理服务请求，协同业务部门与供应商保持顺畅沟通与协作，并负责服务合同与供应商的绩效管理，确保其按约提供服务。输出成果包括日常运维记录、故障处理报告、服务请求处理记录及服务合同管理报告等</w:t>
      </w:r>
    </w:p>
    <w:p w14:paraId="3CE5BD3A">
      <w:pPr>
        <w:pStyle w:val="30"/>
        <w:bidi w:val="0"/>
      </w:pPr>
      <w:bookmarkStart w:id="21" w:name="_Toc10938"/>
      <w:r>
        <w:t>服务监控与改进</w:t>
      </w:r>
      <w:bookmarkEnd w:id="21"/>
    </w:p>
    <w:p w14:paraId="78608953">
      <w:pPr>
        <w:pStyle w:val="31"/>
        <w:bidi w:val="0"/>
        <w:rPr>
          <w:rFonts w:hint="eastAsia"/>
          <w:lang w:val="en-US" w:eastAsia="zh-CN"/>
        </w:rPr>
      </w:pPr>
      <w:bookmarkStart w:id="22" w:name="_Toc26551"/>
      <w:r>
        <w:rPr>
          <w:rFonts w:hint="eastAsia"/>
          <w:lang w:val="en-US" w:eastAsia="zh-CN"/>
        </w:rPr>
        <w:t>目的</w:t>
      </w:r>
      <w:bookmarkEnd w:id="22"/>
    </w:p>
    <w:p w14:paraId="59F95094">
      <w:pPr>
        <w:pStyle w:val="31"/>
        <w:bidi w:val="0"/>
        <w:rPr>
          <w:rFonts w:hint="eastAsia"/>
          <w:lang w:val="en-US" w:eastAsia="zh-CN"/>
        </w:rPr>
      </w:pPr>
      <w:bookmarkStart w:id="23" w:name="_Toc1638"/>
      <w:r>
        <w:rPr>
          <w:rFonts w:hint="eastAsia"/>
          <w:lang w:val="en-US" w:eastAsia="zh-CN"/>
        </w:rPr>
        <w:t>主要活动</w:t>
      </w:r>
      <w:bookmarkEnd w:id="23"/>
    </w:p>
    <w:p w14:paraId="1558D6FC">
      <w:pPr>
        <w:pStyle w:val="31"/>
        <w:bidi w:val="0"/>
      </w:pPr>
      <w:bookmarkStart w:id="24" w:name="_Toc31446"/>
      <w:r>
        <w:rPr>
          <w:rFonts w:hint="eastAsia"/>
          <w:lang w:val="en-US" w:eastAsia="zh-CN"/>
        </w:rPr>
        <w:t>输出结果</w:t>
      </w:r>
      <w:bookmarkEnd w:id="24"/>
    </w:p>
    <w:p w14:paraId="77610527">
      <w:pPr>
        <w:pStyle w:val="29"/>
        <w:bidi w:val="0"/>
        <w:rPr>
          <w:rFonts w:hint="eastAsia"/>
          <w:lang w:eastAsia="zh-CN"/>
        </w:rPr>
      </w:pPr>
      <w:r>
        <w:t>旨在通过系统性的监控评估与优化机制，推动运维服务能力与质量不断提升。该阶段依托服务测量指标和客户反馈，识别运行过程中的不足与改进机会，制定并落实优化措施，同时对流程、工具与服务管理进行持续调整和更新，实现运维服务效能的良性循环。输出主要包括服务改进计划、评估分析报告及优化实施总结等</w:t>
      </w:r>
      <w:r>
        <w:rPr>
          <w:rFonts w:hint="eastAsia"/>
          <w:lang w:eastAsia="zh-CN"/>
        </w:rPr>
        <w:t>。</w:t>
      </w:r>
    </w:p>
    <w:p w14:paraId="616E56CB">
      <w:pPr>
        <w:pStyle w:val="30"/>
        <w:bidi w:val="0"/>
        <w:rPr>
          <w:rFonts w:hint="default"/>
          <w:lang w:val="en-US" w:eastAsia="zh-CN"/>
        </w:rPr>
      </w:pPr>
      <w:bookmarkStart w:id="25" w:name="_Toc30650"/>
      <w:r>
        <w:rPr>
          <w:rFonts w:hint="eastAsia"/>
          <w:lang w:val="en-US" w:eastAsia="zh-CN"/>
        </w:rPr>
        <w:t>过程框架考核指标</w:t>
      </w:r>
      <w:bookmarkEnd w:id="25"/>
    </w:p>
    <w:p w14:paraId="1292F1DE">
      <w:pPr>
        <w:pStyle w:val="28"/>
        <w:bidi w:val="0"/>
        <w:rPr>
          <w:rStyle w:val="38"/>
          <w:rFonts w:hint="default" w:eastAsia="宋体"/>
          <w:lang w:val="en-US" w:eastAsia="zh-CN"/>
        </w:rPr>
      </w:pPr>
      <w:bookmarkStart w:id="32" w:name="_GoBack"/>
      <w:bookmarkEnd w:id="32"/>
      <w:bookmarkStart w:id="26" w:name="bookmark3"/>
      <w:bookmarkEnd w:id="26"/>
      <w:bookmarkStart w:id="27" w:name="_Toc17424"/>
      <w:bookmarkStart w:id="28" w:name="_Toc20327"/>
      <w:r>
        <w:rPr>
          <w:rStyle w:val="38"/>
          <w:rFonts w:hint="eastAsia" w:eastAsia="宋体"/>
          <w:lang w:val="en-US" w:eastAsia="zh-CN"/>
        </w:rPr>
        <w:t>附则</w:t>
      </w:r>
      <w:bookmarkEnd w:id="27"/>
      <w:bookmarkEnd w:id="28"/>
    </w:p>
    <w:p w14:paraId="17535BAC">
      <w:pPr>
        <w:keepNext w:val="0"/>
        <w:keepLines w:val="0"/>
        <w:pageBreakBefore w:val="0"/>
        <w:widowControl/>
        <w:numPr>
          <w:ilvl w:val="0"/>
          <w:numId w:val="4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本制度最终解释权和修订权归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运维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部</w:t>
      </w:r>
      <w:r>
        <w:rPr>
          <w:rFonts w:ascii="宋体" w:hAnsi="宋体" w:eastAsia="宋体" w:cs="宋体"/>
          <w:spacing w:val="-1"/>
          <w:sz w:val="24"/>
          <w:szCs w:val="24"/>
        </w:rPr>
        <w:t>。</w:t>
      </w:r>
    </w:p>
    <w:p w14:paraId="734B5A00">
      <w:pPr>
        <w:keepNext w:val="0"/>
        <w:keepLines w:val="0"/>
        <w:pageBreakBefore w:val="0"/>
        <w:widowControl/>
        <w:numPr>
          <w:ilvl w:val="0"/>
          <w:numId w:val="4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hint="default"/>
          <w:lang w:val="en-US" w:eastAsia="zh-CN"/>
        </w:rPr>
      </w:pPr>
      <w:r>
        <w:rPr>
          <w:rFonts w:ascii="宋体" w:hAnsi="宋体" w:eastAsia="宋体" w:cs="宋体"/>
          <w:spacing w:val="-2"/>
          <w:sz w:val="24"/>
          <w:szCs w:val="24"/>
        </w:rPr>
        <w:t>本制度自颁布之日起施行。</w:t>
      </w:r>
    </w:p>
    <w:p w14:paraId="572E3990">
      <w:pPr>
        <w:pStyle w:val="28"/>
        <w:bidi w:val="0"/>
        <w:rPr>
          <w:rFonts w:hint="default"/>
          <w:lang w:val="en-US" w:eastAsia="zh-CN"/>
        </w:rPr>
      </w:pPr>
      <w:bookmarkStart w:id="29" w:name="bookmark14"/>
      <w:bookmarkEnd w:id="29"/>
      <w:bookmarkStart w:id="30" w:name="_Toc1670"/>
      <w:r>
        <w:rPr>
          <w:rFonts w:hint="eastAsia"/>
          <w:lang w:val="en-US" w:eastAsia="zh-CN"/>
        </w:rPr>
        <w:t>附件</w:t>
      </w:r>
      <w:bookmarkEnd w:id="30"/>
    </w:p>
    <w:p w14:paraId="3B578C70">
      <w:pPr>
        <w:pStyle w:val="28"/>
        <w:bidi w:val="0"/>
        <w:rPr>
          <w:rFonts w:hint="eastAsia"/>
          <w:lang w:val="en-US" w:eastAsia="zh-CN"/>
        </w:rPr>
      </w:pPr>
      <w:bookmarkStart w:id="31" w:name="_Toc27431"/>
      <w:r>
        <w:rPr>
          <w:rFonts w:hint="eastAsia"/>
          <w:lang w:val="en-US" w:eastAsia="zh-CN"/>
        </w:rPr>
        <w:t>记录</w:t>
      </w:r>
      <w:bookmarkEnd w:id="31"/>
    </w:p>
    <w:sectPr>
      <w:headerReference r:id="rId5" w:type="default"/>
      <w:pgSz w:w="11906" w:h="16838"/>
      <w:pgMar w:top="1417" w:right="1800" w:bottom="1440" w:left="1800" w:header="1140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796BA9">
    <w:pPr>
      <w:pStyle w:val="15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C37908"/>
    <w:multiLevelType w:val="singleLevel"/>
    <w:tmpl w:val="80C3790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F14D7F3D"/>
    <w:multiLevelType w:val="singleLevel"/>
    <w:tmpl w:val="F14D7F3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F9539CF3"/>
    <w:multiLevelType w:val="singleLevel"/>
    <w:tmpl w:val="F9539CF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BF1626"/>
    <w:rsid w:val="02105DD0"/>
    <w:rsid w:val="03A97F02"/>
    <w:rsid w:val="05573D16"/>
    <w:rsid w:val="05C8669A"/>
    <w:rsid w:val="06963650"/>
    <w:rsid w:val="08055CAB"/>
    <w:rsid w:val="08667AF3"/>
    <w:rsid w:val="090B72F2"/>
    <w:rsid w:val="09615163"/>
    <w:rsid w:val="0B13248D"/>
    <w:rsid w:val="0B930577"/>
    <w:rsid w:val="0CA84E57"/>
    <w:rsid w:val="0D2A3ABE"/>
    <w:rsid w:val="0DC14423"/>
    <w:rsid w:val="0E4869E6"/>
    <w:rsid w:val="100912AD"/>
    <w:rsid w:val="104D4694"/>
    <w:rsid w:val="112A43FB"/>
    <w:rsid w:val="119775A7"/>
    <w:rsid w:val="12E144B4"/>
    <w:rsid w:val="14A44EB1"/>
    <w:rsid w:val="160F7CF5"/>
    <w:rsid w:val="167A1613"/>
    <w:rsid w:val="16C265E3"/>
    <w:rsid w:val="170C7BDF"/>
    <w:rsid w:val="18DE17DA"/>
    <w:rsid w:val="18F920E1"/>
    <w:rsid w:val="1A264519"/>
    <w:rsid w:val="1AC27A2C"/>
    <w:rsid w:val="1B7532B5"/>
    <w:rsid w:val="1B8D153C"/>
    <w:rsid w:val="1CFA72C7"/>
    <w:rsid w:val="1D7B4B8F"/>
    <w:rsid w:val="1E360515"/>
    <w:rsid w:val="207E221E"/>
    <w:rsid w:val="209179EB"/>
    <w:rsid w:val="21617F9F"/>
    <w:rsid w:val="25626B9F"/>
    <w:rsid w:val="262C093B"/>
    <w:rsid w:val="26747E2C"/>
    <w:rsid w:val="27363334"/>
    <w:rsid w:val="279B1602"/>
    <w:rsid w:val="28862099"/>
    <w:rsid w:val="296511D8"/>
    <w:rsid w:val="2A0635A2"/>
    <w:rsid w:val="2B141C1D"/>
    <w:rsid w:val="2B9C4A12"/>
    <w:rsid w:val="2BC0763F"/>
    <w:rsid w:val="2BDD6474"/>
    <w:rsid w:val="2D381E44"/>
    <w:rsid w:val="2E516CA5"/>
    <w:rsid w:val="2E9D013C"/>
    <w:rsid w:val="2EBC4A66"/>
    <w:rsid w:val="2F135073"/>
    <w:rsid w:val="2F4A02C4"/>
    <w:rsid w:val="2FF80E15"/>
    <w:rsid w:val="301D1535"/>
    <w:rsid w:val="31921AAF"/>
    <w:rsid w:val="32C13470"/>
    <w:rsid w:val="3350577D"/>
    <w:rsid w:val="33896EE1"/>
    <w:rsid w:val="33925FE4"/>
    <w:rsid w:val="34034EE6"/>
    <w:rsid w:val="341C57EF"/>
    <w:rsid w:val="366559E4"/>
    <w:rsid w:val="36785717"/>
    <w:rsid w:val="36F25E64"/>
    <w:rsid w:val="36FA4FFE"/>
    <w:rsid w:val="37BF1626"/>
    <w:rsid w:val="384A559C"/>
    <w:rsid w:val="39431617"/>
    <w:rsid w:val="3A3D6832"/>
    <w:rsid w:val="3B6E533A"/>
    <w:rsid w:val="3C176FE3"/>
    <w:rsid w:val="3C28373B"/>
    <w:rsid w:val="3C634773"/>
    <w:rsid w:val="3D156FFD"/>
    <w:rsid w:val="3D695DB9"/>
    <w:rsid w:val="3E7C0C45"/>
    <w:rsid w:val="3EAB0654"/>
    <w:rsid w:val="3F5A203E"/>
    <w:rsid w:val="410A1661"/>
    <w:rsid w:val="41566655"/>
    <w:rsid w:val="426B25D4"/>
    <w:rsid w:val="429D0A4E"/>
    <w:rsid w:val="43A318F9"/>
    <w:rsid w:val="442D371B"/>
    <w:rsid w:val="4613720A"/>
    <w:rsid w:val="461865CE"/>
    <w:rsid w:val="4642189D"/>
    <w:rsid w:val="471A69C9"/>
    <w:rsid w:val="47432D89"/>
    <w:rsid w:val="47E81FD1"/>
    <w:rsid w:val="48695A95"/>
    <w:rsid w:val="4893018E"/>
    <w:rsid w:val="4A804742"/>
    <w:rsid w:val="4AA3483E"/>
    <w:rsid w:val="4AC42881"/>
    <w:rsid w:val="4AD909E8"/>
    <w:rsid w:val="4B644252"/>
    <w:rsid w:val="4C013661"/>
    <w:rsid w:val="4D343593"/>
    <w:rsid w:val="4ECA2430"/>
    <w:rsid w:val="4F3A646E"/>
    <w:rsid w:val="4F540134"/>
    <w:rsid w:val="51FB199F"/>
    <w:rsid w:val="52687FF0"/>
    <w:rsid w:val="54B725CE"/>
    <w:rsid w:val="54CD67D6"/>
    <w:rsid w:val="56B65F4E"/>
    <w:rsid w:val="57AC16EE"/>
    <w:rsid w:val="5859544B"/>
    <w:rsid w:val="58956A46"/>
    <w:rsid w:val="58C8202C"/>
    <w:rsid w:val="5ADC59C5"/>
    <w:rsid w:val="5BBB7799"/>
    <w:rsid w:val="5BC619FD"/>
    <w:rsid w:val="5C717B35"/>
    <w:rsid w:val="5E133B7E"/>
    <w:rsid w:val="5E3B2A02"/>
    <w:rsid w:val="5E687992"/>
    <w:rsid w:val="5E8425FB"/>
    <w:rsid w:val="5EDA4387"/>
    <w:rsid w:val="608C7E04"/>
    <w:rsid w:val="60FF797D"/>
    <w:rsid w:val="62364D94"/>
    <w:rsid w:val="624943AD"/>
    <w:rsid w:val="62853344"/>
    <w:rsid w:val="637B1AF3"/>
    <w:rsid w:val="6457120A"/>
    <w:rsid w:val="65F22540"/>
    <w:rsid w:val="67931B01"/>
    <w:rsid w:val="689A2A1B"/>
    <w:rsid w:val="696E0130"/>
    <w:rsid w:val="69862A24"/>
    <w:rsid w:val="69B61AD7"/>
    <w:rsid w:val="69D9062E"/>
    <w:rsid w:val="6ADC556D"/>
    <w:rsid w:val="6B3615F4"/>
    <w:rsid w:val="6B6421C7"/>
    <w:rsid w:val="6B947BF6"/>
    <w:rsid w:val="6BCE07B8"/>
    <w:rsid w:val="6C0A6D13"/>
    <w:rsid w:val="6C7C0DB6"/>
    <w:rsid w:val="6DFA6436"/>
    <w:rsid w:val="711710AD"/>
    <w:rsid w:val="7148395C"/>
    <w:rsid w:val="71D074AE"/>
    <w:rsid w:val="72895FDA"/>
    <w:rsid w:val="72DC0914"/>
    <w:rsid w:val="747E1443"/>
    <w:rsid w:val="75A4312B"/>
    <w:rsid w:val="7695113D"/>
    <w:rsid w:val="77020109"/>
    <w:rsid w:val="78CC6D3B"/>
    <w:rsid w:val="78DC469B"/>
    <w:rsid w:val="7A147095"/>
    <w:rsid w:val="7AF366E7"/>
    <w:rsid w:val="7B734B9C"/>
    <w:rsid w:val="7D1E37CD"/>
    <w:rsid w:val="7DD86C30"/>
    <w:rsid w:val="7E993157"/>
    <w:rsid w:val="7EC14D4E"/>
    <w:rsid w:val="7F45025C"/>
    <w:rsid w:val="7FFA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360" w:lineRule="auto"/>
      <w:jc w:val="left"/>
      <w:textAlignment w:val="baseline"/>
    </w:pPr>
    <w:rPr>
      <w:rFonts w:ascii="Arial" w:hAnsi="Arial" w:eastAsia="宋体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6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Normal (Web)"/>
    <w:basedOn w:val="1"/>
    <w:qFormat/>
    <w:uiPriority w:val="0"/>
    <w:rPr>
      <w:sz w:val="24"/>
    </w:rPr>
  </w:style>
  <w:style w:type="paragraph" w:styleId="19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basedOn w:val="22"/>
    <w:qFormat/>
    <w:uiPriority w:val="0"/>
    <w:rPr>
      <w:b/>
    </w:rPr>
  </w:style>
  <w:style w:type="paragraph" w:customStyle="1" w:styleId="24">
    <w:name w:val="柴_公司名"/>
    <w:basedOn w:val="19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25">
    <w:name w:val="柴_文档名"/>
    <w:basedOn w:val="19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26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7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8">
    <w:name w:val="柴_标题1"/>
    <w:basedOn w:val="2"/>
    <w:next w:val="29"/>
    <w:link w:val="38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9">
    <w:name w:val="柴_正文"/>
    <w:basedOn w:val="12"/>
    <w:link w:val="41"/>
    <w:qFormat/>
    <w:uiPriority w:val="0"/>
    <w:pPr>
      <w:spacing w:line="360" w:lineRule="auto"/>
      <w:ind w:firstLine="470" w:firstLineChars="200"/>
    </w:pPr>
    <w:rPr>
      <w:rFonts w:ascii="Arial" w:hAnsi="Arial" w:eastAsia="宋体"/>
      <w:sz w:val="24"/>
      <w:lang w:eastAsia="zh-CN"/>
    </w:rPr>
  </w:style>
  <w:style w:type="paragraph" w:customStyle="1" w:styleId="30">
    <w:name w:val="柴_标题2"/>
    <w:basedOn w:val="3"/>
    <w:next w:val="29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31">
    <w:name w:val="柴_标题3"/>
    <w:basedOn w:val="4"/>
    <w:next w:val="29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32">
    <w:name w:val="柴_目录"/>
    <w:basedOn w:val="1"/>
    <w:next w:val="12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paragraph" w:customStyle="1" w:styleId="3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6">
    <w:name w:val="Compact"/>
    <w:basedOn w:val="12"/>
    <w:qFormat/>
    <w:uiPriority w:val="0"/>
    <w:pPr>
      <w:spacing w:before="36" w:after="36"/>
    </w:pPr>
  </w:style>
  <w:style w:type="table" w:customStyle="1" w:styleId="37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character" w:customStyle="1" w:styleId="38">
    <w:name w:val="柴_标题1 Char"/>
    <w:link w:val="28"/>
    <w:qFormat/>
    <w:uiPriority w:val="0"/>
    <w:rPr>
      <w:rFonts w:ascii="Arial" w:hAnsi="Arial" w:eastAsia="宋体"/>
      <w:sz w:val="32"/>
    </w:rPr>
  </w:style>
  <w:style w:type="paragraph" w:customStyle="1" w:styleId="39">
    <w:name w:val="柴_正文_无缩进"/>
    <w:basedOn w:val="1"/>
    <w:qFormat/>
    <w:uiPriority w:val="0"/>
    <w:pPr>
      <w:ind w:firstLine="0" w:firstLineChars="0"/>
    </w:pPr>
    <w:rPr>
      <w:rFonts w:ascii="Arial" w:hAnsi="Arial"/>
      <w:sz w:val="24"/>
      <w:lang w:eastAsia="zh-CN"/>
    </w:rPr>
  </w:style>
  <w:style w:type="paragraph" w:customStyle="1" w:styleId="40">
    <w:name w:val="柴_标题4"/>
    <w:basedOn w:val="5"/>
    <w:next w:val="1"/>
    <w:qFormat/>
    <w:uiPriority w:val="0"/>
    <w:pPr>
      <w:widowControl w:val="0"/>
      <w:spacing w:before="160" w:line="360" w:lineRule="auto"/>
      <w:ind w:left="981" w:leftChars="300" w:hanging="862"/>
    </w:pPr>
    <w:rPr>
      <w:rFonts w:hint="eastAsia" w:ascii="Calibri" w:hAnsi="Calibri" w:eastAsia="宋体" w:cs="宋体"/>
      <w:sz w:val="24"/>
      <w:szCs w:val="24"/>
      <w:lang w:eastAsia="zh-CN" w:bidi="zh-CN"/>
    </w:rPr>
  </w:style>
  <w:style w:type="character" w:customStyle="1" w:styleId="41">
    <w:name w:val="柴_正文 Char"/>
    <w:link w:val="29"/>
    <w:qFormat/>
    <w:uiPriority w:val="0"/>
    <w:rPr>
      <w:rFonts w:ascii="Arial" w:hAnsi="Arial" w:eastAsia="宋体"/>
      <w:sz w:val="24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1391</Words>
  <Characters>1480</Characters>
  <Lines>0</Lines>
  <Paragraphs>0</Paragraphs>
  <TotalTime>0</TotalTime>
  <ScaleCrop>false</ScaleCrop>
  <LinksUpToDate>false</LinksUpToDate>
  <CharactersWithSpaces>1507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2025-09-08T15:18:59Z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41A67243DC5B46309601F3EDD32C00CA_13</vt:lpwstr>
  </property>
  <property fmtid="{D5CDD505-2E9C-101B-9397-08002B2CF9AE}" pid="4" name="KSOTemplateDocerSaveRecord">
    <vt:lpwstr>eyJoZGlkIjoiMDY5NmFjMmM4ZTljMGJiZDAxN2JmYTc0NGI0NmFiNDgiLCJ1c2VySWQiOiIxMDc1MzgyOSJ9</vt:lpwstr>
  </property>
</Properties>
</file>