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6</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-01</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2609"/>
      <w:r>
        <w:rPr>
          <w:rFonts w:hint="eastAsia"/>
          <w:lang w:val="en-US" w:eastAsia="zh-CN"/>
        </w:rPr>
        <w:t>万洲奇智（青岛）信息科技有限</w:t>
      </w:r>
      <w:r>
        <w:t>公司</w:t>
      </w:r>
      <w:bookmarkEnd w:id="0"/>
    </w:p>
    <w:p w14:paraId="3D74D20A">
      <w:pPr>
        <w:pStyle w:val="25"/>
        <w:bidi w:val="0"/>
        <w:rPr>
          <w:rFonts w:hint="default"/>
          <w:lang w:val="en-US"/>
        </w:rPr>
      </w:pPr>
      <w:bookmarkStart w:id="1" w:name="_Toc23697"/>
      <w:r>
        <w:rPr>
          <w:rFonts w:hint="eastAsia"/>
          <w:lang w:val="en-US" w:eastAsia="zh-CN"/>
        </w:rPr>
        <w:t>服务级别管理制度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68A68CEB">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_Toc2609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_Toc2609 \h </w:instrText>
          </w:r>
          <w:r>
            <w:fldChar w:fldCharType="separate"/>
          </w:r>
          <w:r>
            <w:t>1</w:t>
          </w:r>
          <w:r>
            <w:fldChar w:fldCharType="end"/>
          </w:r>
          <w:r>
            <w:rPr>
              <w:rFonts w:hint="eastAsia" w:ascii="宋体" w:hAnsi="宋体" w:eastAsia="宋体" w:cs="宋体"/>
              <w:szCs w:val="24"/>
            </w:rPr>
            <w:fldChar w:fldCharType="end"/>
          </w:r>
        </w:p>
        <w:p w14:paraId="4AF4D191">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_Toc23697 </w:instrText>
          </w:r>
          <w:r>
            <w:rPr>
              <w:rFonts w:hint="eastAsia" w:ascii="宋体" w:hAnsi="宋体" w:eastAsia="宋体" w:cs="宋体"/>
              <w:szCs w:val="24"/>
            </w:rPr>
            <w:fldChar w:fldCharType="separate"/>
          </w:r>
          <w:r>
            <w:rPr>
              <w:rFonts w:hint="eastAsia"/>
              <w:lang w:val="en-US" w:eastAsia="zh-CN"/>
            </w:rPr>
            <w:t>服务级别管理制度</w:t>
          </w:r>
          <w:r>
            <w:tab/>
          </w:r>
          <w:r>
            <w:fldChar w:fldCharType="begin"/>
          </w:r>
          <w:r>
            <w:instrText xml:space="preserve"> PAGEREF _Toc23697 \h </w:instrText>
          </w:r>
          <w:r>
            <w:fldChar w:fldCharType="separate"/>
          </w:r>
          <w:r>
            <w:t>1</w:t>
          </w:r>
          <w:r>
            <w:fldChar w:fldCharType="end"/>
          </w:r>
          <w:r>
            <w:rPr>
              <w:rFonts w:hint="eastAsia" w:ascii="宋体" w:hAnsi="宋体" w:eastAsia="宋体" w:cs="宋体"/>
              <w:szCs w:val="24"/>
            </w:rPr>
            <w:fldChar w:fldCharType="end"/>
          </w:r>
        </w:p>
        <w:p w14:paraId="3FF86CBB">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_Toc14135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_Toc14135 \h </w:instrText>
          </w:r>
          <w:r>
            <w:fldChar w:fldCharType="separate"/>
          </w:r>
          <w:r>
            <w:t>4</w:t>
          </w:r>
          <w:r>
            <w:fldChar w:fldCharType="end"/>
          </w:r>
          <w:r>
            <w:rPr>
              <w:rFonts w:hint="eastAsia" w:ascii="宋体" w:hAnsi="宋体" w:eastAsia="宋体" w:cs="宋体"/>
              <w:szCs w:val="24"/>
            </w:rPr>
            <w:fldChar w:fldCharType="end"/>
          </w:r>
        </w:p>
        <w:p w14:paraId="6BE7B93E">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_Toc24291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_Toc24291 \h </w:instrText>
          </w:r>
          <w:r>
            <w:fldChar w:fldCharType="separate"/>
          </w:r>
          <w:r>
            <w:t>4</w:t>
          </w:r>
          <w:r>
            <w:fldChar w:fldCharType="end"/>
          </w:r>
          <w:r>
            <w:rPr>
              <w:rFonts w:hint="eastAsia" w:ascii="宋体" w:hAnsi="宋体" w:eastAsia="宋体" w:cs="宋体"/>
              <w:szCs w:val="24"/>
            </w:rPr>
            <w:fldChar w:fldCharType="end"/>
          </w:r>
        </w:p>
        <w:p w14:paraId="2CA78824">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_Toc31288 </w:instrText>
          </w:r>
          <w:r>
            <w:rPr>
              <w:rFonts w:hint="eastAsia" w:ascii="宋体" w:hAnsi="宋体" w:eastAsia="宋体" w:cs="宋体"/>
              <w:szCs w:val="24"/>
            </w:rPr>
            <w:fldChar w:fldCharType="separate"/>
          </w:r>
          <w:r>
            <w:rPr>
              <w:rFonts w:hint="default"/>
              <w:lang w:val="en-US" w:eastAsia="zh-CN"/>
            </w:rPr>
            <w:t xml:space="preserve">2.1. </w:t>
          </w:r>
          <w:r>
            <w:rPr>
              <w:rFonts w:hint="eastAsia"/>
              <w:lang w:val="en-US" w:eastAsia="zh-CN"/>
            </w:rPr>
            <w:t>术语定义</w:t>
          </w:r>
          <w:r>
            <w:tab/>
          </w:r>
          <w:r>
            <w:fldChar w:fldCharType="begin"/>
          </w:r>
          <w:r>
            <w:instrText xml:space="preserve"> PAGEREF _Toc31288 \h </w:instrText>
          </w:r>
          <w:r>
            <w:fldChar w:fldCharType="separate"/>
          </w:r>
          <w:r>
            <w:t>4</w:t>
          </w:r>
          <w:r>
            <w:fldChar w:fldCharType="end"/>
          </w:r>
          <w:r>
            <w:rPr>
              <w:rFonts w:hint="eastAsia" w:ascii="宋体" w:hAnsi="宋体" w:eastAsia="宋体" w:cs="宋体"/>
              <w:szCs w:val="24"/>
            </w:rPr>
            <w:fldChar w:fldCharType="end"/>
          </w:r>
        </w:p>
        <w:p w14:paraId="5921485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_Toc1436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_Toc1436 \h </w:instrText>
          </w:r>
          <w:r>
            <w:fldChar w:fldCharType="separate"/>
          </w:r>
          <w:r>
            <w:t>5</w:t>
          </w:r>
          <w:r>
            <w:fldChar w:fldCharType="end"/>
          </w:r>
          <w:r>
            <w:rPr>
              <w:rFonts w:hint="eastAsia" w:ascii="宋体" w:hAnsi="宋体" w:eastAsia="宋体" w:cs="宋体"/>
              <w:szCs w:val="24"/>
            </w:rPr>
            <w:fldChar w:fldCharType="end"/>
          </w:r>
        </w:p>
        <w:p w14:paraId="6C6BD63B">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_Toc19964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_Toc19964 \h </w:instrText>
          </w:r>
          <w:r>
            <w:fldChar w:fldCharType="separate"/>
          </w:r>
          <w:r>
            <w:t>5</w:t>
          </w:r>
          <w:r>
            <w:fldChar w:fldCharType="end"/>
          </w:r>
          <w:r>
            <w:rPr>
              <w:rFonts w:hint="eastAsia" w:ascii="宋体" w:hAnsi="宋体" w:eastAsia="宋体" w:cs="宋体"/>
              <w:szCs w:val="24"/>
            </w:rPr>
            <w:fldChar w:fldCharType="end"/>
          </w:r>
        </w:p>
        <w:p w14:paraId="524B365B">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_Toc27940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运维部经理</w:t>
          </w:r>
          <w:r>
            <w:tab/>
          </w:r>
          <w:r>
            <w:fldChar w:fldCharType="begin"/>
          </w:r>
          <w:r>
            <w:instrText xml:space="preserve"> PAGEREF _Toc27940 \h </w:instrText>
          </w:r>
          <w:r>
            <w:fldChar w:fldCharType="separate"/>
          </w:r>
          <w:r>
            <w:t>5</w:t>
          </w:r>
          <w:r>
            <w:fldChar w:fldCharType="end"/>
          </w:r>
          <w:r>
            <w:rPr>
              <w:rFonts w:hint="eastAsia" w:ascii="宋体" w:hAnsi="宋体" w:eastAsia="宋体" w:cs="宋体"/>
              <w:szCs w:val="24"/>
            </w:rPr>
            <w:fldChar w:fldCharType="end"/>
          </w:r>
        </w:p>
        <w:p w14:paraId="5C9BF04C">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_Toc16130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运维项目经理</w:t>
          </w:r>
          <w:r>
            <w:tab/>
          </w:r>
          <w:r>
            <w:fldChar w:fldCharType="begin"/>
          </w:r>
          <w:r>
            <w:instrText xml:space="preserve"> PAGEREF _Toc16130 \h </w:instrText>
          </w:r>
          <w:r>
            <w:fldChar w:fldCharType="separate"/>
          </w:r>
          <w:r>
            <w:t>5</w:t>
          </w:r>
          <w:r>
            <w:fldChar w:fldCharType="end"/>
          </w:r>
          <w:r>
            <w:rPr>
              <w:rFonts w:hint="eastAsia" w:ascii="宋体" w:hAnsi="宋体" w:eastAsia="宋体" w:cs="宋体"/>
              <w:szCs w:val="24"/>
            </w:rPr>
            <w:fldChar w:fldCharType="end"/>
          </w:r>
        </w:p>
        <w:p w14:paraId="2BB4ABFA">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_Toc13011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服务级别管理流程</w:t>
          </w:r>
          <w:r>
            <w:tab/>
          </w:r>
          <w:r>
            <w:fldChar w:fldCharType="begin"/>
          </w:r>
          <w:r>
            <w:instrText xml:space="preserve"> PAGEREF _Toc13011 \h </w:instrText>
          </w:r>
          <w:r>
            <w:fldChar w:fldCharType="separate"/>
          </w:r>
          <w:r>
            <w:t>5</w:t>
          </w:r>
          <w:r>
            <w:fldChar w:fldCharType="end"/>
          </w:r>
          <w:r>
            <w:rPr>
              <w:rFonts w:hint="eastAsia" w:ascii="宋体" w:hAnsi="宋体" w:eastAsia="宋体" w:cs="宋体"/>
              <w:szCs w:val="24"/>
            </w:rPr>
            <w:fldChar w:fldCharType="end"/>
          </w:r>
        </w:p>
        <w:p w14:paraId="0B7AD743">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_Toc29906 </w:instrText>
          </w:r>
          <w:r>
            <w:rPr>
              <w:rFonts w:hint="eastAsia" w:ascii="宋体" w:hAnsi="宋体" w:eastAsia="宋体" w:cs="宋体"/>
              <w:szCs w:val="24"/>
            </w:rPr>
            <w:fldChar w:fldCharType="separate"/>
          </w:r>
          <w:r>
            <w:rPr>
              <w:rFonts w:hint="default"/>
              <w:lang w:val="en-US" w:eastAsia="zh-CN"/>
            </w:rPr>
            <w:t xml:space="preserve">5.1. </w:t>
          </w:r>
          <w:r>
            <w:rPr>
              <w:rFonts w:hint="eastAsia"/>
              <w:lang w:val="en-US" w:eastAsia="zh-CN"/>
            </w:rPr>
            <w:t>过程描述</w:t>
          </w:r>
          <w:r>
            <w:tab/>
          </w:r>
          <w:r>
            <w:fldChar w:fldCharType="begin"/>
          </w:r>
          <w:r>
            <w:instrText xml:space="preserve"> PAGEREF _Toc29906 \h </w:instrText>
          </w:r>
          <w:r>
            <w:fldChar w:fldCharType="separate"/>
          </w:r>
          <w:r>
            <w:t>6</w:t>
          </w:r>
          <w:r>
            <w:fldChar w:fldCharType="end"/>
          </w:r>
          <w:r>
            <w:rPr>
              <w:rFonts w:hint="eastAsia" w:ascii="宋体" w:hAnsi="宋体" w:eastAsia="宋体" w:cs="宋体"/>
              <w:szCs w:val="24"/>
            </w:rPr>
            <w:fldChar w:fldCharType="end"/>
          </w:r>
        </w:p>
        <w:p w14:paraId="49B9B3BD">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_Toc2420 </w:instrText>
          </w:r>
          <w:r>
            <w:rPr>
              <w:rFonts w:hint="eastAsia" w:ascii="宋体" w:hAnsi="宋体" w:eastAsia="宋体" w:cs="宋体"/>
              <w:szCs w:val="24"/>
            </w:rPr>
            <w:fldChar w:fldCharType="separate"/>
          </w:r>
          <w:r>
            <w:rPr>
              <w:rFonts w:hint="default"/>
              <w:lang w:val="en-US" w:eastAsia="zh-CN"/>
            </w:rPr>
            <w:t>5.1.1. 服务需求的识别、分析与定义</w:t>
          </w:r>
          <w:r>
            <w:tab/>
          </w:r>
          <w:r>
            <w:fldChar w:fldCharType="begin"/>
          </w:r>
          <w:r>
            <w:instrText xml:space="preserve"> PAGEREF _Toc2420 \h </w:instrText>
          </w:r>
          <w:r>
            <w:fldChar w:fldCharType="separate"/>
          </w:r>
          <w:r>
            <w:t>6</w:t>
          </w:r>
          <w:r>
            <w:fldChar w:fldCharType="end"/>
          </w:r>
          <w:r>
            <w:rPr>
              <w:rFonts w:hint="eastAsia" w:ascii="宋体" w:hAnsi="宋体" w:eastAsia="宋体" w:cs="宋体"/>
              <w:szCs w:val="24"/>
            </w:rPr>
            <w:fldChar w:fldCharType="end"/>
          </w:r>
        </w:p>
        <w:p w14:paraId="6BD768FB">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_Toc25309 </w:instrText>
          </w:r>
          <w:r>
            <w:rPr>
              <w:rFonts w:hint="eastAsia" w:ascii="宋体" w:hAnsi="宋体" w:eastAsia="宋体" w:cs="宋体"/>
              <w:szCs w:val="24"/>
            </w:rPr>
            <w:fldChar w:fldCharType="separate"/>
          </w:r>
          <w:r>
            <w:rPr>
              <w:rFonts w:hint="default"/>
              <w:lang w:val="en-US" w:eastAsia="zh-CN"/>
            </w:rPr>
            <w:t>5.1.2. 制定或修订服务实施规范</w:t>
          </w:r>
          <w:r>
            <w:tab/>
          </w:r>
          <w:r>
            <w:fldChar w:fldCharType="begin"/>
          </w:r>
          <w:r>
            <w:instrText xml:space="preserve"> PAGEREF _Toc25309 \h </w:instrText>
          </w:r>
          <w:r>
            <w:fldChar w:fldCharType="separate"/>
          </w:r>
          <w:r>
            <w:t>7</w:t>
          </w:r>
          <w:r>
            <w:fldChar w:fldCharType="end"/>
          </w:r>
          <w:r>
            <w:rPr>
              <w:rFonts w:hint="eastAsia" w:ascii="宋体" w:hAnsi="宋体" w:eastAsia="宋体" w:cs="宋体"/>
              <w:szCs w:val="24"/>
            </w:rPr>
            <w:fldChar w:fldCharType="end"/>
          </w:r>
        </w:p>
        <w:p w14:paraId="5CDC98D2">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_Toc23332 </w:instrText>
          </w:r>
          <w:r>
            <w:rPr>
              <w:rFonts w:hint="eastAsia" w:ascii="宋体" w:hAnsi="宋体" w:eastAsia="宋体" w:cs="宋体"/>
              <w:szCs w:val="24"/>
            </w:rPr>
            <w:fldChar w:fldCharType="separate"/>
          </w:r>
          <w:r>
            <w:rPr>
              <w:rFonts w:hint="default"/>
              <w:lang w:val="en-US" w:eastAsia="zh-CN"/>
            </w:rPr>
            <w:t xml:space="preserve">5.1.3. </w:t>
          </w:r>
          <w:r>
            <w:rPr>
              <w:rFonts w:hint="eastAsia"/>
              <w:lang w:val="en-US" w:eastAsia="zh-CN"/>
            </w:rPr>
            <w:t>运维</w:t>
          </w:r>
          <w:r>
            <w:rPr>
              <w:rFonts w:hint="default"/>
              <w:lang w:val="en-US" w:eastAsia="zh-CN"/>
            </w:rPr>
            <w:t>级别协议的协商、起草、修订与终止</w:t>
          </w:r>
          <w:r>
            <w:tab/>
          </w:r>
          <w:r>
            <w:fldChar w:fldCharType="begin"/>
          </w:r>
          <w:r>
            <w:instrText xml:space="preserve"> PAGEREF _Toc23332 \h </w:instrText>
          </w:r>
          <w:r>
            <w:fldChar w:fldCharType="separate"/>
          </w:r>
          <w:r>
            <w:t>7</w:t>
          </w:r>
          <w:r>
            <w:fldChar w:fldCharType="end"/>
          </w:r>
          <w:r>
            <w:rPr>
              <w:rFonts w:hint="eastAsia" w:ascii="宋体" w:hAnsi="宋体" w:eastAsia="宋体" w:cs="宋体"/>
              <w:szCs w:val="24"/>
            </w:rPr>
            <w:fldChar w:fldCharType="end"/>
          </w:r>
        </w:p>
        <w:p w14:paraId="52868CA3">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_Toc17789 </w:instrText>
          </w:r>
          <w:r>
            <w:rPr>
              <w:rFonts w:hint="eastAsia" w:ascii="宋体" w:hAnsi="宋体" w:eastAsia="宋体" w:cs="宋体"/>
              <w:szCs w:val="24"/>
            </w:rPr>
            <w:fldChar w:fldCharType="separate"/>
          </w:r>
          <w:r>
            <w:rPr>
              <w:rFonts w:hint="default"/>
              <w:lang w:val="en-US" w:eastAsia="zh-CN"/>
            </w:rPr>
            <w:t>5.1.4. 制定与完善服务目录</w:t>
          </w:r>
          <w:r>
            <w:tab/>
          </w:r>
          <w:r>
            <w:fldChar w:fldCharType="begin"/>
          </w:r>
          <w:r>
            <w:instrText xml:space="preserve"> PAGEREF _Toc17789 \h </w:instrText>
          </w:r>
          <w:r>
            <w:fldChar w:fldCharType="separate"/>
          </w:r>
          <w:r>
            <w:t>8</w:t>
          </w:r>
          <w:r>
            <w:fldChar w:fldCharType="end"/>
          </w:r>
          <w:r>
            <w:rPr>
              <w:rFonts w:hint="eastAsia" w:ascii="宋体" w:hAnsi="宋体" w:eastAsia="宋体" w:cs="宋体"/>
              <w:szCs w:val="24"/>
            </w:rPr>
            <w:fldChar w:fldCharType="end"/>
          </w:r>
        </w:p>
        <w:p w14:paraId="1C0CD22C">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_Toc10965 </w:instrText>
          </w:r>
          <w:r>
            <w:rPr>
              <w:rFonts w:hint="eastAsia" w:ascii="宋体" w:hAnsi="宋体" w:eastAsia="宋体" w:cs="宋体"/>
              <w:szCs w:val="24"/>
            </w:rPr>
            <w:fldChar w:fldCharType="separate"/>
          </w:r>
          <w:r>
            <w:rPr>
              <w:rFonts w:hint="default"/>
              <w:lang w:val="en-US" w:eastAsia="zh-CN"/>
            </w:rPr>
            <w:t>5.1.5. 服务级别执行情况的监控</w:t>
          </w:r>
          <w:r>
            <w:tab/>
          </w:r>
          <w:r>
            <w:fldChar w:fldCharType="begin"/>
          </w:r>
          <w:r>
            <w:instrText xml:space="preserve"> PAGEREF _Toc10965 \h </w:instrText>
          </w:r>
          <w:r>
            <w:fldChar w:fldCharType="separate"/>
          </w:r>
          <w:r>
            <w:t>9</w:t>
          </w:r>
          <w:r>
            <w:fldChar w:fldCharType="end"/>
          </w:r>
          <w:r>
            <w:rPr>
              <w:rFonts w:hint="eastAsia" w:ascii="宋体" w:hAnsi="宋体" w:eastAsia="宋体" w:cs="宋体"/>
              <w:szCs w:val="24"/>
            </w:rPr>
            <w:fldChar w:fldCharType="end"/>
          </w:r>
        </w:p>
        <w:p w14:paraId="184939EF">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_Toc29650 </w:instrText>
          </w:r>
          <w:r>
            <w:rPr>
              <w:rFonts w:hint="eastAsia" w:ascii="宋体" w:hAnsi="宋体" w:eastAsia="宋体" w:cs="宋体"/>
              <w:szCs w:val="24"/>
            </w:rPr>
            <w:fldChar w:fldCharType="separate"/>
          </w:r>
          <w:r>
            <w:rPr>
              <w:rFonts w:hint="default"/>
              <w:lang w:val="en-US" w:eastAsia="zh-CN"/>
            </w:rPr>
            <w:t>5.1.6. 执行情况汇报与评审</w:t>
          </w:r>
          <w:r>
            <w:tab/>
          </w:r>
          <w:r>
            <w:fldChar w:fldCharType="begin"/>
          </w:r>
          <w:r>
            <w:instrText xml:space="preserve"> PAGEREF _Toc29650 \h </w:instrText>
          </w:r>
          <w:r>
            <w:fldChar w:fldCharType="separate"/>
          </w:r>
          <w:r>
            <w:t>9</w:t>
          </w:r>
          <w:r>
            <w:fldChar w:fldCharType="end"/>
          </w:r>
          <w:r>
            <w:rPr>
              <w:rFonts w:hint="eastAsia" w:ascii="宋体" w:hAnsi="宋体" w:eastAsia="宋体" w:cs="宋体"/>
              <w:szCs w:val="24"/>
            </w:rPr>
            <w:fldChar w:fldCharType="end"/>
          </w:r>
        </w:p>
        <w:p w14:paraId="107618F7">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_Toc15165 </w:instrText>
          </w:r>
          <w:r>
            <w:rPr>
              <w:rFonts w:hint="eastAsia" w:ascii="宋体" w:hAnsi="宋体" w:eastAsia="宋体" w:cs="宋体"/>
              <w:szCs w:val="24"/>
            </w:rPr>
            <w:fldChar w:fldCharType="separate"/>
          </w:r>
          <w:r>
            <w:rPr>
              <w:rFonts w:hint="default"/>
              <w:lang w:val="en-US" w:eastAsia="zh-CN"/>
            </w:rPr>
            <w:t>5.1.7. 持续改进</w:t>
          </w:r>
          <w:r>
            <w:tab/>
          </w:r>
          <w:r>
            <w:fldChar w:fldCharType="begin"/>
          </w:r>
          <w:r>
            <w:instrText xml:space="preserve"> PAGEREF _Toc15165 \h </w:instrText>
          </w:r>
          <w:r>
            <w:fldChar w:fldCharType="separate"/>
          </w:r>
          <w:r>
            <w:t>9</w:t>
          </w:r>
          <w:r>
            <w:fldChar w:fldCharType="end"/>
          </w:r>
          <w:r>
            <w:rPr>
              <w:rFonts w:hint="eastAsia" w:ascii="宋体" w:hAnsi="宋体" w:eastAsia="宋体" w:cs="宋体"/>
              <w:szCs w:val="24"/>
            </w:rPr>
            <w:fldChar w:fldCharType="end"/>
          </w:r>
        </w:p>
        <w:p w14:paraId="60FD5C5B">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_Toc5509 </w:instrText>
          </w:r>
          <w:r>
            <w:rPr>
              <w:rFonts w:hint="eastAsia" w:ascii="宋体" w:hAnsi="宋体" w:eastAsia="宋体" w:cs="宋体"/>
              <w:szCs w:val="24"/>
            </w:rPr>
            <w:fldChar w:fldCharType="separate"/>
          </w:r>
          <w:r>
            <w:rPr>
              <w:rFonts w:hint="default"/>
            </w:rPr>
            <w:t xml:space="preserve">5.2. </w:t>
          </w:r>
          <w:r>
            <w:t>考核指标</w:t>
          </w:r>
          <w:r>
            <w:tab/>
          </w:r>
          <w:r>
            <w:fldChar w:fldCharType="begin"/>
          </w:r>
          <w:r>
            <w:instrText xml:space="preserve"> PAGEREF _Toc5509 \h </w:instrText>
          </w:r>
          <w:r>
            <w:fldChar w:fldCharType="separate"/>
          </w:r>
          <w:r>
            <w:t>10</w:t>
          </w:r>
          <w:r>
            <w:fldChar w:fldCharType="end"/>
          </w:r>
          <w:r>
            <w:rPr>
              <w:rFonts w:hint="eastAsia" w:ascii="宋体" w:hAnsi="宋体" w:eastAsia="宋体" w:cs="宋体"/>
              <w:szCs w:val="24"/>
            </w:rPr>
            <w:fldChar w:fldCharType="end"/>
          </w:r>
        </w:p>
        <w:p w14:paraId="587B79EF">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_Toc28161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_Toc28161 \h </w:instrText>
          </w:r>
          <w:r>
            <w:fldChar w:fldCharType="separate"/>
          </w:r>
          <w:r>
            <w:t>10</w:t>
          </w:r>
          <w:r>
            <w:fldChar w:fldCharType="end"/>
          </w:r>
          <w:r>
            <w:rPr>
              <w:rFonts w:hint="eastAsia" w:ascii="宋体" w:hAnsi="宋体" w:eastAsia="宋体" w:cs="宋体"/>
              <w:szCs w:val="24"/>
            </w:rPr>
            <w:fldChar w:fldCharType="end"/>
          </w:r>
        </w:p>
        <w:p w14:paraId="29DAF5B1">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_Toc962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_Toc962 \h </w:instrText>
          </w:r>
          <w:r>
            <w:fldChar w:fldCharType="separate"/>
          </w:r>
          <w:r>
            <w:t>10</w:t>
          </w:r>
          <w:r>
            <w:fldChar w:fldCharType="end"/>
          </w:r>
          <w:r>
            <w:rPr>
              <w:rFonts w:hint="eastAsia" w:ascii="宋体" w:hAnsi="宋体" w:eastAsia="宋体" w:cs="宋体"/>
              <w:szCs w:val="24"/>
            </w:rPr>
            <w:fldChar w:fldCharType="end"/>
          </w:r>
        </w:p>
        <w:p w14:paraId="65BAD3E9">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_Toc9552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_Toc9552 \h </w:instrText>
          </w:r>
          <w:r>
            <w:fldChar w:fldCharType="separate"/>
          </w:r>
          <w:r>
            <w:t>10</w:t>
          </w:r>
          <w:r>
            <w:fldChar w:fldCharType="end"/>
          </w:r>
          <w:r>
            <w:rPr>
              <w:rFonts w:hint="eastAsia" w:ascii="宋体" w:hAnsi="宋体" w:eastAsia="宋体" w:cs="宋体"/>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28"/>
        <w:bidi w:val="0"/>
      </w:pPr>
      <w:bookmarkStart w:id="2" w:name="_Toc14135"/>
      <w:r>
        <w:t>目的</w:t>
      </w:r>
      <w:bookmarkEnd w:id="2"/>
    </w:p>
    <w:p w14:paraId="30AEBCC4">
      <w:pPr>
        <w:pStyle w:val="29"/>
        <w:bidi w:val="0"/>
      </w:pPr>
      <w:r>
        <w:t>为确保用户所需服务得到持续的维护和改进，特制定本制度。旨在通过协商确定服务级别、监控与报告服务绩效，并在服务提供商与用户之间建立有效的业务关系，从而提升用户满意度，并优化服务商的规划与管理。</w:t>
      </w:r>
    </w:p>
    <w:p w14:paraId="2D240536">
      <w:pPr>
        <w:pStyle w:val="28"/>
        <w:bidi w:val="0"/>
        <w:rPr>
          <w:rFonts w:hint="eastAsia"/>
          <w:lang w:val="en-US" w:eastAsia="zh-CN"/>
        </w:rPr>
      </w:pPr>
      <w:bookmarkStart w:id="3" w:name="_Toc24291"/>
      <w:r>
        <w:rPr>
          <w:rFonts w:hint="eastAsia"/>
          <w:lang w:val="en-US" w:eastAsia="zh-CN"/>
        </w:rPr>
        <w:t>原则</w:t>
      </w:r>
      <w:bookmarkEnd w:id="3"/>
    </w:p>
    <w:p w14:paraId="421175E6">
      <w:pPr>
        <w:pStyle w:val="29"/>
        <w:rPr>
          <w:rFonts w:hint="eastAsia"/>
          <w:lang w:val="en-US" w:eastAsia="zh-CN"/>
        </w:rPr>
      </w:pPr>
      <w:r>
        <w:rPr>
          <w:rFonts w:hint="eastAsia"/>
          <w:lang w:val="en-US" w:eastAsia="zh-CN"/>
        </w:rPr>
        <w:t>以业务为中心：服务级别协议（SLA）必须紧密围绕业务需求来制定，确保IT服务能够有效支撑业务目标。</w:t>
      </w:r>
    </w:p>
    <w:p w14:paraId="41F7B99C">
      <w:pPr>
        <w:pStyle w:val="29"/>
        <w:rPr>
          <w:rFonts w:hint="eastAsia"/>
          <w:lang w:val="en-US" w:eastAsia="zh-CN"/>
        </w:rPr>
      </w:pPr>
      <w:r>
        <w:rPr>
          <w:rFonts w:hint="eastAsia"/>
          <w:lang w:val="en-US" w:eastAsia="zh-CN"/>
        </w:rPr>
        <w:t>承诺清晰、可衡量：所有服务目标都应是具体、明确且可量化的（例如可用性百分比、故障响应时间），避免模糊不清的承诺。</w:t>
      </w:r>
    </w:p>
    <w:p w14:paraId="4A28C860">
      <w:pPr>
        <w:pStyle w:val="29"/>
        <w:rPr>
          <w:rFonts w:hint="eastAsia"/>
          <w:lang w:val="en-US" w:eastAsia="zh-CN"/>
        </w:rPr>
      </w:pPr>
      <w:r>
        <w:rPr>
          <w:rFonts w:hint="eastAsia"/>
          <w:lang w:val="en-US" w:eastAsia="zh-CN"/>
        </w:rPr>
        <w:t>责任共担：强调IT服务提供方与业务客户（用户）双方共同的责任，而不仅仅是IT部门的单方面承诺。</w:t>
      </w:r>
    </w:p>
    <w:p w14:paraId="198ADCEE">
      <w:pPr>
        <w:pStyle w:val="29"/>
        <w:rPr>
          <w:rFonts w:hint="eastAsia"/>
          <w:lang w:val="en-US" w:eastAsia="zh-CN"/>
        </w:rPr>
      </w:pPr>
      <w:r>
        <w:rPr>
          <w:rFonts w:hint="eastAsia"/>
          <w:lang w:val="en-US" w:eastAsia="zh-CN"/>
        </w:rPr>
        <w:t>持续改进：定期评审服务表现，分析差距与趋势，并基于此驱动服务流程、工具与能力的持续优化。</w:t>
      </w:r>
    </w:p>
    <w:p w14:paraId="2AE5EAB9">
      <w:pPr>
        <w:pStyle w:val="29"/>
        <w:rPr>
          <w:rFonts w:hint="eastAsia"/>
          <w:lang w:val="en-US" w:eastAsia="zh-CN"/>
        </w:rPr>
      </w:pPr>
      <w:r>
        <w:rPr>
          <w:rFonts w:hint="eastAsia"/>
          <w:lang w:val="en-US" w:eastAsia="zh-CN"/>
        </w:rPr>
        <w:t>沟通透明：确保服务绩效报告清晰、准确、及时地传达给所有相关方，建立并维持有效的沟通机制。</w:t>
      </w:r>
    </w:p>
    <w:p w14:paraId="5EE16EC3">
      <w:pPr>
        <w:pStyle w:val="30"/>
        <w:bidi w:val="0"/>
        <w:rPr>
          <w:rFonts w:hint="default"/>
          <w:lang w:val="en-US" w:eastAsia="zh-CN"/>
        </w:rPr>
      </w:pPr>
      <w:bookmarkStart w:id="4" w:name="_Toc31288"/>
      <w:r>
        <w:rPr>
          <w:rFonts w:hint="eastAsia"/>
          <w:lang w:val="en-US" w:eastAsia="zh-CN"/>
        </w:rPr>
        <w:t>术语定义</w:t>
      </w:r>
      <w:bookmarkEnd w:id="4"/>
    </w:p>
    <w:p w14:paraId="3343BC11">
      <w:pPr>
        <w:pStyle w:val="29"/>
        <w:numPr>
          <w:ilvl w:val="0"/>
          <w:numId w:val="2"/>
        </w:numPr>
        <w:bidi w:val="0"/>
        <w:ind w:left="425" w:leftChars="0" w:hanging="425" w:firstLineChars="0"/>
        <w:rPr>
          <w:rFonts w:hint="eastAsia"/>
          <w:lang w:val="en-US" w:eastAsia="zh-CN"/>
        </w:rPr>
      </w:pPr>
      <w:r>
        <w:t>服务级别管理</w:t>
      </w:r>
      <w:r>
        <w:rPr>
          <w:rFonts w:hint="eastAsia"/>
          <w:lang w:eastAsia="zh-CN"/>
        </w:rPr>
        <w:t>：</w:t>
      </w:r>
    </w:p>
    <w:p w14:paraId="243FDE96">
      <w:pPr>
        <w:pStyle w:val="29"/>
        <w:bidi w:val="0"/>
      </w:pPr>
      <w:r>
        <w:t>是对服务的提供进行协商、定义、评价、管理以及以可接受的成本改进服务的质量流程。所有这些活动要求在一个业务需求和技术都在快速变化的环境中进行。服务级别管理试图在服务质量的供应与需求、客户关系和服务成本之间找到某个合适的平衡点。服务级别管理包括对下列文档的设计、协商和维护：</w:t>
      </w:r>
    </w:p>
    <w:p w14:paraId="3BCA97B3">
      <w:pPr>
        <w:pStyle w:val="29"/>
        <w:numPr>
          <w:ilvl w:val="0"/>
          <w:numId w:val="3"/>
        </w:numPr>
        <w:bidi w:val="0"/>
        <w:ind w:left="845" w:leftChars="0" w:hanging="425" w:firstLineChars="0"/>
      </w:pPr>
      <w:r>
        <w:t>服务级别协议（SLA，Service Level Agreements）；</w:t>
      </w:r>
    </w:p>
    <w:p w14:paraId="2D9B3D3A">
      <w:pPr>
        <w:pStyle w:val="29"/>
        <w:numPr>
          <w:ilvl w:val="0"/>
          <w:numId w:val="3"/>
        </w:numPr>
        <w:bidi w:val="0"/>
        <w:ind w:left="845" w:leftChars="0" w:hanging="425" w:firstLineChars="0"/>
      </w:pPr>
      <w:r>
        <w:rPr>
          <w:rFonts w:hint="eastAsia"/>
          <w:lang w:eastAsia="zh-CN"/>
        </w:rPr>
        <w:t>运维</w:t>
      </w:r>
      <w:r>
        <w:t>级别协议(OLA，Operation Level Agreements)；</w:t>
      </w:r>
    </w:p>
    <w:p w14:paraId="128ADD73">
      <w:pPr>
        <w:pStyle w:val="29"/>
        <w:numPr>
          <w:ilvl w:val="0"/>
          <w:numId w:val="3"/>
        </w:numPr>
        <w:bidi w:val="0"/>
        <w:ind w:left="845" w:leftChars="0" w:hanging="425" w:firstLineChars="0"/>
        <w:rPr>
          <w:rFonts w:hint="eastAsia"/>
          <w:lang w:val="en-US" w:eastAsia="zh-CN"/>
        </w:rPr>
      </w:pPr>
      <w:r>
        <w:t xml:space="preserve">  支持合同(UC，Underpinning Contracts)。</w:t>
      </w:r>
    </w:p>
    <w:p w14:paraId="6C53C30F">
      <w:pPr>
        <w:pStyle w:val="29"/>
        <w:numPr>
          <w:ilvl w:val="0"/>
          <w:numId w:val="2"/>
        </w:numPr>
        <w:bidi w:val="0"/>
        <w:ind w:left="425" w:leftChars="0" w:hanging="425" w:firstLineChars="0"/>
      </w:pPr>
      <w:r>
        <w:t>服务级别协议（SLA）</w:t>
      </w:r>
      <w:r>
        <w:rPr>
          <w:rFonts w:hint="eastAsia"/>
          <w:lang w:eastAsia="zh-CN"/>
        </w:rPr>
        <w:t>：</w:t>
      </w:r>
    </w:p>
    <w:p w14:paraId="188717C2">
      <w:pPr>
        <w:pStyle w:val="29"/>
        <w:bidi w:val="0"/>
      </w:pPr>
      <w:r>
        <w:t>规范流程、确保所有组件和承诺均配置妥当， 以便为本服务项目提供优化的服务性能</w:t>
      </w:r>
    </w:p>
    <w:p w14:paraId="611BD946">
      <w:pPr>
        <w:pStyle w:val="29"/>
        <w:numPr>
          <w:ilvl w:val="0"/>
          <w:numId w:val="2"/>
        </w:numPr>
        <w:bidi w:val="0"/>
        <w:ind w:left="425" w:leftChars="0" w:hanging="425" w:firstLineChars="0"/>
        <w:rPr>
          <w:rFonts w:hint="eastAsia"/>
          <w:lang w:eastAsia="zh-CN"/>
        </w:rPr>
      </w:pPr>
      <w:r>
        <w:t>支持合同(UC)</w:t>
      </w:r>
      <w:r>
        <w:rPr>
          <w:rFonts w:hint="eastAsia"/>
          <w:lang w:eastAsia="zh-CN"/>
        </w:rPr>
        <w:t>：</w:t>
      </w:r>
    </w:p>
    <w:p w14:paraId="3EFEC275">
      <w:pPr>
        <w:pStyle w:val="29"/>
        <w:numPr>
          <w:ilvl w:val="0"/>
          <w:numId w:val="4"/>
        </w:numPr>
        <w:bidi w:val="0"/>
        <w:ind w:left="845" w:leftChars="0" w:hanging="425" w:firstLineChars="0"/>
      </w:pPr>
      <w:r>
        <w:t>与外部提供商就某项服务的供应所签订的合同；</w:t>
      </w:r>
    </w:p>
    <w:p w14:paraId="06ED73BC">
      <w:pPr>
        <w:pStyle w:val="29"/>
        <w:numPr>
          <w:ilvl w:val="0"/>
          <w:numId w:val="4"/>
        </w:numPr>
        <w:bidi w:val="0"/>
        <w:ind w:left="845" w:leftChars="0" w:hanging="425" w:firstLineChars="0"/>
      </w:pPr>
      <w:r>
        <w:t>通常是正式的合同，而SLA和OLA通常不是法律文本</w:t>
      </w:r>
    </w:p>
    <w:p w14:paraId="62F491F3">
      <w:pPr>
        <w:pStyle w:val="29"/>
        <w:numPr>
          <w:ilvl w:val="0"/>
          <w:numId w:val="2"/>
        </w:numPr>
        <w:bidi w:val="0"/>
        <w:ind w:left="425" w:leftChars="0" w:hanging="425" w:firstLineChars="0"/>
      </w:pPr>
      <w:r>
        <w:t>服务级别管理负责人</w:t>
      </w:r>
      <w:r>
        <w:rPr>
          <w:rFonts w:hint="eastAsia"/>
          <w:lang w:eastAsia="zh-CN"/>
        </w:rPr>
        <w:t>：</w:t>
      </w:r>
    </w:p>
    <w:p w14:paraId="0CADB8B4">
      <w:pPr>
        <w:pStyle w:val="29"/>
        <w:bidi w:val="0"/>
        <w:rPr>
          <w:rFonts w:hint="default" w:eastAsia="宋体"/>
          <w:lang w:val="en-US" w:eastAsia="zh-CN"/>
        </w:rPr>
      </w:pPr>
      <w:r>
        <w:t>服务级别管理需要由一个流程负责人来进行控制。该负责人应该确保该流程有效地运作并提供预定的效益</w:t>
      </w:r>
      <w:r>
        <w:rPr>
          <w:rFonts w:hint="eastAsia"/>
          <w:lang w:eastAsia="zh-CN"/>
        </w:rPr>
        <w:t>，</w:t>
      </w:r>
      <w:r>
        <w:rPr>
          <w:rFonts w:hint="eastAsia"/>
          <w:lang w:val="en-US" w:eastAsia="zh-CN"/>
        </w:rPr>
        <w:t>一般是运维服务经理担任。</w:t>
      </w:r>
      <w:bookmarkStart w:id="26" w:name="_GoBack"/>
      <w:bookmarkEnd w:id="26"/>
    </w:p>
    <w:p w14:paraId="2120DE9E">
      <w:pPr>
        <w:pStyle w:val="29"/>
        <w:numPr>
          <w:ilvl w:val="0"/>
          <w:numId w:val="2"/>
        </w:numPr>
        <w:bidi w:val="0"/>
        <w:ind w:left="425" w:leftChars="0" w:hanging="425" w:firstLineChars="0"/>
      </w:pPr>
      <w:r>
        <w:t>服务目录</w:t>
      </w:r>
    </w:p>
    <w:p w14:paraId="40D9654E">
      <w:pPr>
        <w:pStyle w:val="29"/>
        <w:bidi w:val="0"/>
        <w:rPr>
          <w:rFonts w:hint="default"/>
          <w:lang w:val="en-US" w:eastAsia="zh-CN"/>
        </w:rPr>
      </w:pPr>
      <w:r>
        <w:t>有关可用的服务资源及这些服务的服务级别的详细说明</w:t>
      </w:r>
    </w:p>
    <w:p w14:paraId="6BD52D84">
      <w:pPr>
        <w:pStyle w:val="28"/>
        <w:bidi w:val="0"/>
      </w:pPr>
      <w:bookmarkStart w:id="5" w:name="_Toc1436"/>
      <w:r>
        <w:rPr>
          <w:rFonts w:hint="eastAsia"/>
          <w:lang w:val="en-US" w:eastAsia="zh-CN"/>
        </w:rPr>
        <w:t>适用</w:t>
      </w:r>
      <w:r>
        <w:t>范围</w:t>
      </w:r>
      <w:bookmarkEnd w:id="5"/>
    </w:p>
    <w:p w14:paraId="2804F358">
      <w:pPr>
        <w:pStyle w:val="29"/>
        <w:bidi w:val="0"/>
        <w:rPr>
          <w:rFonts w:hint="eastAsia" w:eastAsia="宋体"/>
          <w:lang w:val="en-US" w:eastAsia="zh-CN"/>
        </w:rPr>
      </w:pPr>
      <w:r>
        <w:t>本</w:t>
      </w:r>
      <w:r>
        <w:rPr>
          <w:rFonts w:hint="eastAsia"/>
          <w:lang w:val="en-US" w:eastAsia="zh-CN"/>
        </w:rPr>
        <w:t>制度</w:t>
      </w:r>
      <w:r>
        <w:t>适用于运维服务所覆盖的所有部门</w:t>
      </w:r>
      <w:r>
        <w:rPr>
          <w:rFonts w:hint="eastAsia"/>
          <w:lang w:eastAsia="zh-CN"/>
        </w:rPr>
        <w:t>。</w:t>
      </w:r>
    </w:p>
    <w:p w14:paraId="72F6781A">
      <w:pPr>
        <w:pStyle w:val="28"/>
        <w:bidi w:val="0"/>
        <w:rPr>
          <w:rFonts w:hint="eastAsia"/>
          <w:lang w:val="en-US" w:eastAsia="zh-CN"/>
        </w:rPr>
      </w:pPr>
      <w:bookmarkStart w:id="6" w:name="_Toc19964"/>
      <w:r>
        <w:rPr>
          <w:rFonts w:hint="eastAsia"/>
          <w:lang w:val="en-US" w:eastAsia="zh-CN"/>
        </w:rPr>
        <w:t>岗位职责</w:t>
      </w:r>
      <w:bookmarkEnd w:id="6"/>
    </w:p>
    <w:p w14:paraId="6681E6AF">
      <w:pPr>
        <w:pStyle w:val="30"/>
        <w:bidi w:val="0"/>
        <w:rPr>
          <w:rFonts w:hint="default"/>
          <w:lang w:val="en-US" w:eastAsia="zh-CN"/>
        </w:rPr>
      </w:pPr>
      <w:bookmarkStart w:id="7" w:name="_Toc27940"/>
      <w:r>
        <w:rPr>
          <w:rFonts w:hint="eastAsia"/>
          <w:lang w:val="en-US" w:eastAsia="zh-CN"/>
        </w:rPr>
        <w:t>运维部经理</w:t>
      </w:r>
      <w:bookmarkEnd w:id="7"/>
    </w:p>
    <w:p w14:paraId="55F7008A">
      <w:pPr>
        <w:pStyle w:val="29"/>
        <w:numPr>
          <w:ilvl w:val="0"/>
          <w:numId w:val="5"/>
        </w:numPr>
        <w:ind w:left="425" w:leftChars="0" w:hanging="425" w:firstLineChars="0"/>
        <w:rPr>
          <w:rFonts w:hint="eastAsia"/>
          <w:lang w:val="en-US" w:eastAsia="zh-CN"/>
        </w:rPr>
      </w:pPr>
      <w:r>
        <w:rPr>
          <w:rFonts w:hint="eastAsia"/>
          <w:lang w:val="en-US" w:eastAsia="zh-CN"/>
        </w:rPr>
        <w:t>编制、更新服务目录</w:t>
      </w:r>
    </w:p>
    <w:p w14:paraId="34EF8310">
      <w:pPr>
        <w:pStyle w:val="29"/>
        <w:numPr>
          <w:ilvl w:val="0"/>
          <w:numId w:val="5"/>
        </w:numPr>
        <w:ind w:left="425" w:leftChars="0" w:hanging="425" w:firstLineChars="0"/>
        <w:rPr>
          <w:rFonts w:hint="default"/>
          <w:lang w:val="en-US" w:eastAsia="zh-CN"/>
        </w:rPr>
      </w:pPr>
      <w:r>
        <w:rPr>
          <w:rFonts w:hint="eastAsia"/>
          <w:lang w:val="en-US" w:eastAsia="zh-CN"/>
        </w:rPr>
        <w:t>定义和维护服务级别管理过程</w:t>
      </w:r>
    </w:p>
    <w:p w14:paraId="2D94FDBA">
      <w:pPr>
        <w:pStyle w:val="30"/>
        <w:bidi w:val="0"/>
        <w:rPr>
          <w:rFonts w:hint="default"/>
          <w:lang w:val="en-US" w:eastAsia="zh-CN"/>
        </w:rPr>
      </w:pPr>
      <w:bookmarkStart w:id="8" w:name="_Toc16130"/>
      <w:r>
        <w:rPr>
          <w:rFonts w:hint="eastAsia"/>
          <w:lang w:val="en-US" w:eastAsia="zh-CN"/>
        </w:rPr>
        <w:t>运维项目经理</w:t>
      </w:r>
      <w:bookmarkEnd w:id="8"/>
    </w:p>
    <w:p w14:paraId="6EBC2979">
      <w:pPr>
        <w:pStyle w:val="29"/>
        <w:numPr>
          <w:ilvl w:val="0"/>
          <w:numId w:val="6"/>
        </w:numPr>
        <w:bidi w:val="0"/>
        <w:ind w:left="425" w:leftChars="0" w:hanging="425" w:firstLineChars="0"/>
      </w:pPr>
      <w:r>
        <w:t>识别客户需求，与客户协商谈判，负责签订和维护 SLA</w:t>
      </w:r>
    </w:p>
    <w:p w14:paraId="74E41158">
      <w:pPr>
        <w:pStyle w:val="29"/>
        <w:numPr>
          <w:ilvl w:val="0"/>
          <w:numId w:val="6"/>
        </w:numPr>
        <w:bidi w:val="0"/>
        <w:ind w:left="425" w:leftChars="0" w:hanging="425" w:firstLineChars="0"/>
      </w:pPr>
      <w:r>
        <w:t>依据 SLA 完成服务规划，完成服务部署</w:t>
      </w:r>
    </w:p>
    <w:p w14:paraId="3A6BC368">
      <w:pPr>
        <w:pStyle w:val="29"/>
        <w:numPr>
          <w:ilvl w:val="0"/>
          <w:numId w:val="6"/>
        </w:numPr>
        <w:bidi w:val="0"/>
        <w:ind w:left="425" w:leftChars="0" w:hanging="425" w:firstLineChars="0"/>
      </w:pPr>
      <w:r>
        <w:t>监测服务质量，落实服务改进措施</w:t>
      </w:r>
    </w:p>
    <w:p w14:paraId="23B20F9F">
      <w:pPr>
        <w:pStyle w:val="29"/>
        <w:numPr>
          <w:ilvl w:val="0"/>
          <w:numId w:val="6"/>
        </w:numPr>
        <w:bidi w:val="0"/>
        <w:ind w:left="425" w:leftChars="0" w:hanging="425" w:firstLineChars="0"/>
        <w:rPr>
          <w:rFonts w:hint="default"/>
          <w:lang w:val="en-US" w:eastAsia="zh-CN"/>
        </w:rPr>
      </w:pPr>
      <w:r>
        <w:t>同客户进行评价，调整下一周期的 SLA</w:t>
      </w:r>
    </w:p>
    <w:p w14:paraId="7E6E312E">
      <w:pPr>
        <w:pStyle w:val="28"/>
        <w:bidi w:val="0"/>
        <w:rPr>
          <w:rFonts w:hint="default"/>
          <w:lang w:val="en-US" w:eastAsia="zh-CN"/>
        </w:rPr>
      </w:pPr>
      <w:bookmarkStart w:id="9" w:name="_Toc13011"/>
      <w:r>
        <w:rPr>
          <w:rFonts w:hint="eastAsia"/>
          <w:lang w:val="en-US" w:eastAsia="zh-CN"/>
        </w:rPr>
        <w:t>服务级别管理流程</w:t>
      </w:r>
      <w:bookmarkEnd w:id="9"/>
    </w:p>
    <w:p w14:paraId="00645C5E">
      <w:pPr>
        <w:pStyle w:val="29"/>
        <w:rPr>
          <w:rFonts w:hint="eastAsia"/>
          <w:lang w:val="en-US" w:eastAsia="zh-CN"/>
        </w:rPr>
      </w:pPr>
      <w:r>
        <w:rPr>
          <w:rFonts w:hint="eastAsia"/>
          <w:lang w:val="en-US" w:eastAsia="zh-CN"/>
        </w:rPr>
        <w:t>服务级别流程管理流程如图5-1所示</w:t>
      </w:r>
    </w:p>
    <w:p w14:paraId="5C476D32">
      <w:pPr>
        <w:pStyle w:val="29"/>
        <w:rPr>
          <w:rFonts w:hint="default"/>
          <w:lang w:val="en-US" w:eastAsia="zh-CN"/>
        </w:rPr>
      </w:pPr>
      <w:r>
        <w:rPr>
          <w:rFonts w:hint="eastAsia"/>
          <w:lang w:val="en-US" w:eastAsia="zh-CN"/>
        </w:rPr>
        <w:t xml:space="preserve">图 </w:t>
      </w:r>
      <w:r>
        <w:rPr>
          <w:rFonts w:hint="eastAsia"/>
          <w:lang w:val="en-US" w:eastAsia="zh-CN"/>
        </w:rPr>
        <w:fldChar w:fldCharType="begin"/>
      </w:r>
      <w:r>
        <w:rPr>
          <w:rFonts w:hint="eastAsia"/>
          <w:lang w:val="en-US" w:eastAsia="zh-CN"/>
        </w:rPr>
        <w:instrText xml:space="preserve"> STYLEREF "柴_标题1" \n \* Charformat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图 \* ARABIC  \s 1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 xml:space="preserve"> 服务流程管理：</w:t>
      </w:r>
      <w:r>
        <w:rPr>
          <w:rFonts w:hint="default"/>
          <w:lang w:val="en-US" w:eastAsia="zh-CN"/>
        </w:rPr>
        <w:object>
          <v:shape id="_x0000_i1025" o:spt="75" type="#_x0000_t75" style="height:504.65pt;width:408.65pt;" o:ole="t" filled="f" o:preferrelative="t" stroked="f" coordsize="21600,21600">
            <v:path/>
            <v:fill on="f" focussize="0,0"/>
            <v:stroke on="f"/>
            <v:imagedata r:id="rId8" o:title=""/>
            <o:lock v:ext="edit" aspectratio="t"/>
            <w10:wrap type="none"/>
            <w10:anchorlock/>
          </v:shape>
          <o:OLEObject Type="Embed" ProgID="Visio.Drawing.15" ShapeID="_x0000_i1025" DrawAspect="Content" ObjectID="_1468075725" r:id="rId7">
            <o:LockedField>false</o:LockedField>
          </o:OLEObject>
        </w:object>
      </w:r>
    </w:p>
    <w:p w14:paraId="61226C1B">
      <w:pPr>
        <w:pStyle w:val="30"/>
        <w:bidi w:val="0"/>
        <w:rPr>
          <w:rFonts w:hint="default"/>
          <w:lang w:val="en-US" w:eastAsia="zh-CN"/>
        </w:rPr>
      </w:pPr>
      <w:bookmarkStart w:id="10" w:name="_Toc29906"/>
      <w:r>
        <w:rPr>
          <w:rFonts w:hint="eastAsia"/>
          <w:lang w:val="en-US" w:eastAsia="zh-CN"/>
        </w:rPr>
        <w:t>过程描述</w:t>
      </w:r>
      <w:bookmarkEnd w:id="10"/>
    </w:p>
    <w:p w14:paraId="3F87570C">
      <w:pPr>
        <w:pStyle w:val="31"/>
        <w:bidi w:val="0"/>
        <w:rPr>
          <w:rFonts w:hint="default"/>
          <w:lang w:val="en-US" w:eastAsia="zh-CN"/>
        </w:rPr>
      </w:pPr>
      <w:bookmarkStart w:id="11" w:name="_Toc2420"/>
      <w:r>
        <w:rPr>
          <w:rFonts w:hint="default"/>
          <w:lang w:val="en-US" w:eastAsia="zh-CN"/>
        </w:rPr>
        <w:t>服务需求的识别、分析与定义</w:t>
      </w:r>
      <w:bookmarkEnd w:id="11"/>
      <w:r>
        <w:rPr>
          <w:rFonts w:hint="default"/>
          <w:lang w:val="en-US" w:eastAsia="zh-CN"/>
        </w:rPr>
        <w:t xml:space="preserve">  </w:t>
      </w:r>
    </w:p>
    <w:p w14:paraId="6FFA084B">
      <w:pPr>
        <w:pStyle w:val="29"/>
        <w:rPr>
          <w:rFonts w:hint="default"/>
          <w:lang w:val="en-US" w:eastAsia="zh-CN"/>
        </w:rPr>
      </w:pPr>
      <w:r>
        <w:rPr>
          <w:rFonts w:hint="default"/>
          <w:lang w:val="en-US" w:eastAsia="zh-CN"/>
        </w:rPr>
        <w:t>服务级别管理负责人负责对与信息管理系统用户签署的服务合同、会议纪要、管理评审结果等材料进行综合分析、设计与监控，以明确客户服务</w:t>
      </w:r>
      <w:r>
        <w:rPr>
          <w:rFonts w:hint="eastAsia"/>
          <w:lang w:val="en-US" w:eastAsia="zh-CN"/>
        </w:rPr>
        <w:t>运维</w:t>
      </w:r>
      <w:r>
        <w:rPr>
          <w:rFonts w:hint="default"/>
          <w:lang w:val="en-US" w:eastAsia="zh-CN"/>
        </w:rPr>
        <w:t>需求，并编制形成《服务需求说明书》。</w:t>
      </w:r>
    </w:p>
    <w:p w14:paraId="71E9F0DE">
      <w:pPr>
        <w:pStyle w:val="29"/>
        <w:rPr>
          <w:rFonts w:hint="default"/>
          <w:lang w:val="en-US" w:eastAsia="zh-CN"/>
        </w:rPr>
      </w:pPr>
      <w:r>
        <w:rPr>
          <w:rFonts w:hint="default"/>
          <w:lang w:val="en-US" w:eastAsia="zh-CN"/>
        </w:rPr>
        <w:t>主要工作内容包括：</w:t>
      </w:r>
    </w:p>
    <w:p w14:paraId="08B1CF2F">
      <w:pPr>
        <w:pStyle w:val="29"/>
        <w:numPr>
          <w:ilvl w:val="0"/>
          <w:numId w:val="7"/>
        </w:numPr>
        <w:ind w:left="425" w:leftChars="0" w:hanging="425" w:firstLineChars="0"/>
        <w:rPr>
          <w:rFonts w:hint="default"/>
          <w:lang w:val="en-US" w:eastAsia="zh-CN"/>
        </w:rPr>
      </w:pPr>
      <w:r>
        <w:rPr>
          <w:rFonts w:hint="default"/>
          <w:lang w:val="en-US" w:eastAsia="zh-CN"/>
        </w:rPr>
        <w:t>调研用户对软件系统客户服务的期望；</w:t>
      </w:r>
    </w:p>
    <w:p w14:paraId="2CF6969F">
      <w:pPr>
        <w:pStyle w:val="29"/>
        <w:numPr>
          <w:ilvl w:val="0"/>
          <w:numId w:val="7"/>
        </w:numPr>
        <w:ind w:left="425" w:leftChars="0" w:hanging="425" w:firstLineChars="0"/>
        <w:rPr>
          <w:rFonts w:hint="default"/>
          <w:lang w:val="en-US" w:eastAsia="zh-CN"/>
        </w:rPr>
      </w:pPr>
      <w:r>
        <w:rPr>
          <w:rFonts w:hint="default"/>
          <w:lang w:val="en-US" w:eastAsia="zh-CN"/>
        </w:rPr>
        <w:t>明确服务需处于可用状态的时间段及天数；</w:t>
      </w:r>
    </w:p>
    <w:p w14:paraId="3111C763">
      <w:pPr>
        <w:pStyle w:val="29"/>
        <w:numPr>
          <w:ilvl w:val="0"/>
          <w:numId w:val="7"/>
        </w:numPr>
        <w:ind w:left="425" w:leftChars="0" w:hanging="425" w:firstLineChars="0"/>
        <w:rPr>
          <w:rFonts w:hint="default"/>
          <w:lang w:val="en-US" w:eastAsia="zh-CN"/>
        </w:rPr>
      </w:pPr>
      <w:r>
        <w:rPr>
          <w:rFonts w:hint="default"/>
          <w:lang w:val="en-US" w:eastAsia="zh-CN"/>
        </w:rPr>
        <w:t>识别服务持续性要求；</w:t>
      </w:r>
    </w:p>
    <w:p w14:paraId="46F2DB0B">
      <w:pPr>
        <w:pStyle w:val="29"/>
        <w:numPr>
          <w:ilvl w:val="0"/>
          <w:numId w:val="7"/>
        </w:numPr>
        <w:ind w:left="425" w:leftChars="0" w:hanging="425" w:firstLineChars="0"/>
        <w:rPr>
          <w:rFonts w:hint="default"/>
          <w:lang w:val="en-US" w:eastAsia="zh-CN"/>
        </w:rPr>
      </w:pPr>
      <w:r>
        <w:rPr>
          <w:rFonts w:hint="default"/>
          <w:lang w:val="en-US" w:eastAsia="zh-CN"/>
        </w:rPr>
        <w:t>确定提供软件系统客户服务所涉及的职能部门；</w:t>
      </w:r>
    </w:p>
    <w:p w14:paraId="57552A1A">
      <w:pPr>
        <w:pStyle w:val="29"/>
        <w:numPr>
          <w:ilvl w:val="0"/>
          <w:numId w:val="7"/>
        </w:numPr>
        <w:ind w:left="425" w:leftChars="0" w:hanging="425" w:firstLineChars="0"/>
        <w:rPr>
          <w:rFonts w:hint="default"/>
          <w:lang w:val="en-US" w:eastAsia="zh-CN"/>
        </w:rPr>
      </w:pPr>
      <w:r>
        <w:rPr>
          <w:rFonts w:hint="default"/>
          <w:lang w:val="en-US" w:eastAsia="zh-CN"/>
        </w:rPr>
        <w:t>在服务定义中参考当前</w:t>
      </w:r>
      <w:r>
        <w:rPr>
          <w:rFonts w:hint="eastAsia"/>
          <w:lang w:val="en-US" w:eastAsia="zh-CN"/>
        </w:rPr>
        <w:t>运维</w:t>
      </w:r>
      <w:r>
        <w:rPr>
          <w:rFonts w:hint="default"/>
          <w:lang w:val="en-US" w:eastAsia="zh-CN"/>
        </w:rPr>
        <w:t>方法或质量标准的基准；</w:t>
      </w:r>
    </w:p>
    <w:p w14:paraId="3B6DEAA1">
      <w:pPr>
        <w:pStyle w:val="29"/>
        <w:numPr>
          <w:ilvl w:val="0"/>
          <w:numId w:val="7"/>
        </w:numPr>
        <w:ind w:left="425" w:leftChars="0" w:hanging="425" w:firstLineChars="0"/>
        <w:rPr>
          <w:rFonts w:hint="default"/>
          <w:lang w:val="en-US" w:eastAsia="zh-CN"/>
        </w:rPr>
      </w:pPr>
      <w:r>
        <w:rPr>
          <w:rFonts w:hint="default"/>
          <w:lang w:val="en-US" w:eastAsia="zh-CN"/>
        </w:rPr>
        <w:t>形成服务及其组件的内部详细描述；</w:t>
      </w:r>
    </w:p>
    <w:p w14:paraId="070567E5">
      <w:pPr>
        <w:pStyle w:val="29"/>
        <w:numPr>
          <w:ilvl w:val="0"/>
          <w:numId w:val="7"/>
        </w:numPr>
        <w:ind w:left="425" w:leftChars="0" w:hanging="425" w:firstLineChars="0"/>
        <w:rPr>
          <w:rFonts w:hint="default"/>
          <w:lang w:val="en-US" w:eastAsia="zh-CN"/>
        </w:rPr>
      </w:pPr>
      <w:r>
        <w:rPr>
          <w:rFonts w:hint="default"/>
          <w:lang w:val="en-US" w:eastAsia="zh-CN"/>
        </w:rPr>
        <w:t>说明服务的实施与提供方式；</w:t>
      </w:r>
    </w:p>
    <w:p w14:paraId="21050389">
      <w:pPr>
        <w:pStyle w:val="29"/>
        <w:numPr>
          <w:ilvl w:val="0"/>
          <w:numId w:val="7"/>
        </w:numPr>
        <w:ind w:left="425" w:leftChars="0" w:hanging="425" w:firstLineChars="0"/>
        <w:rPr>
          <w:rFonts w:hint="default"/>
          <w:lang w:val="en-US" w:eastAsia="zh-CN"/>
        </w:rPr>
      </w:pPr>
      <w:r>
        <w:rPr>
          <w:rFonts w:hint="default"/>
          <w:lang w:val="en-US" w:eastAsia="zh-CN"/>
        </w:rPr>
        <w:t>明确必要的质量控制程序；</w:t>
      </w:r>
    </w:p>
    <w:p w14:paraId="0DA83090">
      <w:pPr>
        <w:pStyle w:val="29"/>
        <w:numPr>
          <w:ilvl w:val="0"/>
          <w:numId w:val="7"/>
        </w:numPr>
        <w:ind w:left="425" w:leftChars="0" w:hanging="425" w:firstLineChars="0"/>
        <w:rPr>
          <w:rFonts w:hint="default"/>
          <w:lang w:val="en-US" w:eastAsia="zh-CN"/>
        </w:rPr>
      </w:pPr>
      <w:r>
        <w:rPr>
          <w:rFonts w:hint="default"/>
          <w:lang w:val="en-US" w:eastAsia="zh-CN"/>
        </w:rPr>
        <w:t>界定服务级别标准，包括但不限于：可用小时数、故障数量、故障频率、故障持续时间、响应时间及周转时间等指标。</w:t>
      </w:r>
    </w:p>
    <w:p w14:paraId="4CDAA38F">
      <w:pPr>
        <w:pStyle w:val="31"/>
        <w:bidi w:val="0"/>
        <w:rPr>
          <w:rFonts w:hint="default"/>
          <w:lang w:val="en-US" w:eastAsia="zh-CN"/>
        </w:rPr>
      </w:pPr>
      <w:bookmarkStart w:id="12" w:name="_Toc25309"/>
      <w:r>
        <w:rPr>
          <w:rFonts w:hint="default"/>
          <w:lang w:val="en-US" w:eastAsia="zh-CN"/>
        </w:rPr>
        <w:t>制定或修订服务实施规范</w:t>
      </w:r>
      <w:bookmarkEnd w:id="12"/>
      <w:r>
        <w:rPr>
          <w:rFonts w:hint="default"/>
          <w:lang w:val="en-US" w:eastAsia="zh-CN"/>
        </w:rPr>
        <w:t xml:space="preserve">  </w:t>
      </w:r>
    </w:p>
    <w:p w14:paraId="170D74FF">
      <w:pPr>
        <w:pStyle w:val="29"/>
        <w:rPr>
          <w:rFonts w:hint="default"/>
          <w:lang w:val="en-US" w:eastAsia="zh-CN"/>
        </w:rPr>
      </w:pPr>
      <w:r>
        <w:rPr>
          <w:rFonts w:hint="default"/>
          <w:lang w:val="en-US" w:eastAsia="zh-CN"/>
        </w:rPr>
        <w:t>基于原有服务规范，伴随服务的持续改进与提升，</w:t>
      </w:r>
      <w:r>
        <w:rPr>
          <w:rFonts w:hint="eastAsia"/>
          <w:lang w:val="en-US" w:eastAsia="zh-CN"/>
        </w:rPr>
        <w:t>运维服务人员</w:t>
      </w:r>
      <w:r>
        <w:rPr>
          <w:rFonts w:hint="default"/>
          <w:lang w:val="en-US" w:eastAsia="zh-CN"/>
        </w:rPr>
        <w:t>应制定新业务的服务规范，并不断完善现有业务的服务规范。服务规范涵盖服务交付所实施的流程、运行监控及日常维护管理的技术要求。</w:t>
      </w:r>
    </w:p>
    <w:p w14:paraId="406D8566">
      <w:pPr>
        <w:pStyle w:val="29"/>
        <w:rPr>
          <w:rFonts w:hint="default"/>
          <w:lang w:val="en-US" w:eastAsia="zh-CN"/>
        </w:rPr>
      </w:pPr>
      <w:r>
        <w:rPr>
          <w:rFonts w:hint="eastAsia"/>
          <w:lang w:val="en-US" w:eastAsia="zh-CN"/>
        </w:rPr>
        <w:t>运维部</w:t>
      </w:r>
      <w:r>
        <w:rPr>
          <w:rFonts w:hint="default"/>
          <w:lang w:val="en-US" w:eastAsia="zh-CN"/>
        </w:rPr>
        <w:t>依据所识别、分析与定义的服务级别需求，对服务规范内容进行增订或修订，提交至运维部</w:t>
      </w:r>
      <w:r>
        <w:rPr>
          <w:rFonts w:hint="eastAsia"/>
          <w:lang w:val="en-US" w:eastAsia="zh-CN"/>
        </w:rPr>
        <w:t>经理</w:t>
      </w:r>
      <w:r>
        <w:rPr>
          <w:rFonts w:hint="default"/>
          <w:lang w:val="en-US" w:eastAsia="zh-CN"/>
        </w:rPr>
        <w:t>与</w:t>
      </w:r>
      <w:r>
        <w:rPr>
          <w:rFonts w:hint="eastAsia"/>
          <w:lang w:val="en-US" w:eastAsia="zh-CN"/>
        </w:rPr>
        <w:t>质量</w:t>
      </w:r>
      <w:r>
        <w:rPr>
          <w:rFonts w:hint="default"/>
          <w:lang w:val="en-US" w:eastAsia="zh-CN"/>
        </w:rPr>
        <w:t>部审核批准后发布。</w:t>
      </w:r>
    </w:p>
    <w:p w14:paraId="18EAEF24">
      <w:pPr>
        <w:pStyle w:val="31"/>
        <w:bidi w:val="0"/>
        <w:rPr>
          <w:rFonts w:hint="default"/>
          <w:lang w:val="en-US" w:eastAsia="zh-CN"/>
        </w:rPr>
      </w:pPr>
      <w:bookmarkStart w:id="13" w:name="_Toc23332"/>
      <w:r>
        <w:rPr>
          <w:rFonts w:hint="eastAsia"/>
          <w:lang w:val="en-US" w:eastAsia="zh-CN"/>
        </w:rPr>
        <w:t>运维</w:t>
      </w:r>
      <w:r>
        <w:rPr>
          <w:rFonts w:hint="default"/>
          <w:lang w:val="en-US" w:eastAsia="zh-CN"/>
        </w:rPr>
        <w:t>级别协议的协商、起草、修订与终止</w:t>
      </w:r>
      <w:bookmarkEnd w:id="13"/>
    </w:p>
    <w:p w14:paraId="25D7198A">
      <w:pPr>
        <w:pStyle w:val="29"/>
        <w:numPr>
          <w:ilvl w:val="0"/>
          <w:numId w:val="8"/>
        </w:numPr>
        <w:ind w:left="425" w:leftChars="0" w:hanging="425" w:firstLineChars="0"/>
        <w:rPr>
          <w:rFonts w:hint="default"/>
          <w:lang w:val="en-US" w:eastAsia="zh-CN"/>
        </w:rPr>
      </w:pPr>
      <w:r>
        <w:rPr>
          <w:rFonts w:hint="default"/>
          <w:lang w:val="en-US" w:eastAsia="zh-CN"/>
        </w:rPr>
        <w:t>服务级别协议（SLA）的制定与修订</w:t>
      </w:r>
    </w:p>
    <w:p w14:paraId="2AC0DCA6">
      <w:pPr>
        <w:pStyle w:val="29"/>
        <w:rPr>
          <w:rFonts w:hint="default"/>
          <w:lang w:val="en-US" w:eastAsia="zh-CN"/>
        </w:rPr>
      </w:pPr>
      <w:r>
        <w:rPr>
          <w:rFonts w:hint="default"/>
          <w:lang w:val="en-US" w:eastAsia="zh-CN"/>
        </w:rPr>
        <w:t>服务级别负责人负责执行《服务级别协议》的制定或修订工作：</w:t>
      </w:r>
    </w:p>
    <w:p w14:paraId="136DDFA9">
      <w:pPr>
        <w:pStyle w:val="29"/>
        <w:numPr>
          <w:ilvl w:val="0"/>
          <w:numId w:val="9"/>
        </w:numPr>
        <w:ind w:left="845" w:leftChars="0" w:hanging="425" w:firstLineChars="0"/>
        <w:rPr>
          <w:rFonts w:hint="default"/>
          <w:lang w:val="en-US" w:eastAsia="zh-CN"/>
        </w:rPr>
      </w:pPr>
      <w:r>
        <w:rPr>
          <w:rFonts w:hint="default"/>
          <w:lang w:val="en-US" w:eastAsia="zh-CN"/>
        </w:rPr>
        <w:t>在确定SLA结构时，应首先就公司通用服务目录（如网络服务）进行定义，并制定以服务为基础的总体SLA框架模型；</w:t>
      </w:r>
    </w:p>
    <w:p w14:paraId="4CDAD301">
      <w:pPr>
        <w:pStyle w:val="29"/>
        <w:numPr>
          <w:ilvl w:val="0"/>
          <w:numId w:val="9"/>
        </w:numPr>
        <w:ind w:left="845" w:leftChars="0" w:hanging="425" w:firstLineChars="0"/>
        <w:rPr>
          <w:rFonts w:hint="default"/>
          <w:lang w:val="en-US" w:eastAsia="zh-CN"/>
        </w:rPr>
      </w:pPr>
      <w:r>
        <w:rPr>
          <w:rFonts w:hint="default"/>
          <w:lang w:val="en-US" w:eastAsia="zh-CN"/>
        </w:rPr>
        <w:t>SLA应具备层次化结构，与用户组织结构相对应，形成多层级的框架协议；</w:t>
      </w:r>
    </w:p>
    <w:p w14:paraId="5316C361">
      <w:pPr>
        <w:pStyle w:val="29"/>
        <w:numPr>
          <w:ilvl w:val="0"/>
          <w:numId w:val="9"/>
        </w:numPr>
        <w:ind w:left="845" w:leftChars="0" w:hanging="425" w:firstLineChars="0"/>
        <w:rPr>
          <w:rFonts w:hint="default"/>
          <w:lang w:val="en-US" w:eastAsia="zh-CN"/>
        </w:rPr>
      </w:pPr>
      <w:r>
        <w:rPr>
          <w:rFonts w:hint="default"/>
          <w:lang w:val="en-US" w:eastAsia="zh-CN"/>
        </w:rPr>
        <w:t>各层级需体现相应的细化程度。顶层承诺面向整个组织提供通用服务，底层承诺则涵盖与具体用户相关的详细信息。</w:t>
      </w:r>
    </w:p>
    <w:p w14:paraId="10EECF54">
      <w:pPr>
        <w:pStyle w:val="29"/>
        <w:rPr>
          <w:rFonts w:hint="default"/>
          <w:lang w:val="en-US" w:eastAsia="zh-CN"/>
        </w:rPr>
      </w:pPr>
      <w:r>
        <w:rPr>
          <w:rFonts w:hint="default"/>
          <w:lang w:val="en-US" w:eastAsia="zh-CN"/>
        </w:rPr>
        <w:t>SLA经</w:t>
      </w:r>
      <w:r>
        <w:rPr>
          <w:rFonts w:hint="eastAsia"/>
          <w:lang w:val="en-US" w:eastAsia="zh-CN"/>
        </w:rPr>
        <w:t>运维部经理</w:t>
      </w:r>
      <w:r>
        <w:rPr>
          <w:rFonts w:hint="default"/>
          <w:lang w:val="en-US" w:eastAsia="zh-CN"/>
        </w:rPr>
        <w:t>审议通过后，正式向用户公告。</w:t>
      </w:r>
    </w:p>
    <w:p w14:paraId="334EA03F">
      <w:pPr>
        <w:pStyle w:val="29"/>
        <w:numPr>
          <w:ilvl w:val="0"/>
          <w:numId w:val="8"/>
        </w:numPr>
        <w:ind w:left="425" w:leftChars="0" w:hanging="425" w:firstLineChars="0"/>
        <w:rPr>
          <w:rFonts w:hint="default"/>
          <w:lang w:val="en-US" w:eastAsia="zh-CN"/>
        </w:rPr>
      </w:pPr>
      <w:r>
        <w:rPr>
          <w:rFonts w:hint="eastAsia"/>
          <w:lang w:val="en-US" w:eastAsia="zh-CN"/>
        </w:rPr>
        <w:t>运维</w:t>
      </w:r>
      <w:r>
        <w:rPr>
          <w:rFonts w:hint="default"/>
          <w:lang w:val="en-US" w:eastAsia="zh-CN"/>
        </w:rPr>
        <w:t>级别协议（OLA）的制定与修订</w:t>
      </w:r>
    </w:p>
    <w:p w14:paraId="71B728CE">
      <w:pPr>
        <w:pStyle w:val="29"/>
        <w:rPr>
          <w:rFonts w:hint="default"/>
          <w:lang w:val="en-US" w:eastAsia="zh-CN"/>
        </w:rPr>
      </w:pPr>
      <w:r>
        <w:rPr>
          <w:rFonts w:hint="default"/>
          <w:lang w:val="en-US" w:eastAsia="zh-CN"/>
        </w:rPr>
        <w:t>为达成SLA所定目标，如需内部供应商支持，</w:t>
      </w:r>
      <w:r>
        <w:rPr>
          <w:rFonts w:hint="eastAsia"/>
          <w:lang w:val="en-US" w:eastAsia="zh-CN"/>
        </w:rPr>
        <w:t>运维项目经理</w:t>
      </w:r>
      <w:r>
        <w:rPr>
          <w:rFonts w:hint="default"/>
          <w:lang w:val="en-US" w:eastAsia="zh-CN"/>
        </w:rPr>
        <w:t>须与内部供应商签订</w:t>
      </w:r>
      <w:r>
        <w:rPr>
          <w:rFonts w:hint="eastAsia"/>
          <w:lang w:val="en-US" w:eastAsia="zh-CN"/>
        </w:rPr>
        <w:t>运维</w:t>
      </w:r>
      <w:r>
        <w:rPr>
          <w:rFonts w:hint="default"/>
          <w:lang w:val="en-US" w:eastAsia="zh-CN"/>
        </w:rPr>
        <w:t>级别协议（OLA），其内容应满足：</w:t>
      </w:r>
    </w:p>
    <w:p w14:paraId="45B3E36B">
      <w:pPr>
        <w:pStyle w:val="29"/>
        <w:numPr>
          <w:ilvl w:val="0"/>
          <w:numId w:val="10"/>
        </w:numPr>
        <w:ind w:left="845" w:leftChars="0" w:hanging="425" w:firstLineChars="0"/>
        <w:rPr>
          <w:rFonts w:hint="default"/>
          <w:lang w:val="en-US" w:eastAsia="zh-CN"/>
        </w:rPr>
      </w:pPr>
      <w:r>
        <w:rPr>
          <w:rFonts w:hint="default"/>
          <w:lang w:val="en-US" w:eastAsia="zh-CN"/>
        </w:rPr>
        <w:t>依据SLA内容制定OLA，且不得降低要求；</w:t>
      </w:r>
    </w:p>
    <w:p w14:paraId="4541ED59">
      <w:pPr>
        <w:pStyle w:val="29"/>
        <w:numPr>
          <w:ilvl w:val="0"/>
          <w:numId w:val="10"/>
        </w:numPr>
        <w:ind w:left="845" w:leftChars="0" w:hanging="425" w:firstLineChars="0"/>
        <w:rPr>
          <w:rFonts w:hint="default"/>
          <w:lang w:val="en-US" w:eastAsia="zh-CN"/>
        </w:rPr>
      </w:pPr>
      <w:r>
        <w:rPr>
          <w:rFonts w:hint="default"/>
          <w:lang w:val="en-US" w:eastAsia="zh-CN"/>
        </w:rPr>
        <w:t>对SLA的任何修改与补充，均须在OLA中同步修订。</w:t>
      </w:r>
    </w:p>
    <w:p w14:paraId="405A1A09">
      <w:pPr>
        <w:pStyle w:val="29"/>
        <w:numPr>
          <w:ilvl w:val="0"/>
          <w:numId w:val="10"/>
        </w:numPr>
        <w:ind w:left="845" w:leftChars="0" w:hanging="425" w:firstLineChars="0"/>
        <w:rPr>
          <w:rFonts w:hint="default"/>
          <w:lang w:val="en-US" w:eastAsia="zh-CN"/>
        </w:rPr>
      </w:pPr>
      <w:r>
        <w:rPr>
          <w:rFonts w:hint="default"/>
          <w:lang w:val="en-US" w:eastAsia="zh-CN"/>
        </w:rPr>
        <w:t>OLA一般</w:t>
      </w:r>
      <w:r>
        <w:rPr>
          <w:rFonts w:hint="eastAsia"/>
          <w:lang w:val="en-US" w:eastAsia="zh-CN"/>
        </w:rPr>
        <w:t>由运维部经理</w:t>
      </w:r>
      <w:r>
        <w:rPr>
          <w:rFonts w:hint="default"/>
          <w:lang w:val="en-US" w:eastAsia="zh-CN"/>
        </w:rPr>
        <w:t>审核通过后，由</w:t>
      </w:r>
      <w:r>
        <w:rPr>
          <w:rFonts w:hint="eastAsia"/>
          <w:lang w:val="en-US" w:eastAsia="zh-CN"/>
        </w:rPr>
        <w:t>管理层</w:t>
      </w:r>
      <w:r>
        <w:rPr>
          <w:rFonts w:hint="default"/>
          <w:lang w:val="en-US" w:eastAsia="zh-CN"/>
        </w:rPr>
        <w:t>层级签署生效。</w:t>
      </w:r>
    </w:p>
    <w:p w14:paraId="28D52D4D">
      <w:pPr>
        <w:pStyle w:val="29"/>
        <w:numPr>
          <w:ilvl w:val="0"/>
          <w:numId w:val="8"/>
        </w:numPr>
        <w:ind w:left="425" w:leftChars="0" w:hanging="425" w:firstLineChars="0"/>
        <w:rPr>
          <w:rFonts w:hint="default"/>
          <w:lang w:val="en-US" w:eastAsia="zh-CN"/>
        </w:rPr>
      </w:pPr>
      <w:r>
        <w:rPr>
          <w:rFonts w:hint="default"/>
          <w:lang w:val="en-US" w:eastAsia="zh-CN"/>
        </w:rPr>
        <w:t>支持合同（UC）的制定与修订</w:t>
      </w:r>
    </w:p>
    <w:p w14:paraId="095455BE">
      <w:pPr>
        <w:pStyle w:val="29"/>
        <w:rPr>
          <w:rFonts w:hint="default"/>
          <w:lang w:val="en-US" w:eastAsia="zh-CN"/>
        </w:rPr>
      </w:pPr>
      <w:r>
        <w:rPr>
          <w:rFonts w:hint="default"/>
          <w:lang w:val="en-US" w:eastAsia="zh-CN"/>
        </w:rPr>
        <w:t>为达成SLA目标，如须第三方供应商支持，服务管理负责人应与其签订支持合同（UC）。UC须满足以下要求：</w:t>
      </w:r>
    </w:p>
    <w:p w14:paraId="441E59BF">
      <w:pPr>
        <w:pStyle w:val="29"/>
        <w:numPr>
          <w:ilvl w:val="0"/>
          <w:numId w:val="11"/>
        </w:numPr>
        <w:ind w:left="845" w:leftChars="0" w:hanging="425" w:firstLineChars="0"/>
        <w:rPr>
          <w:rFonts w:hint="default"/>
          <w:lang w:val="en-US" w:eastAsia="zh-CN"/>
        </w:rPr>
      </w:pPr>
      <w:r>
        <w:rPr>
          <w:rFonts w:hint="default"/>
          <w:lang w:val="en-US" w:eastAsia="zh-CN"/>
        </w:rPr>
        <w:t>以SLA为依据制定相应UC；</w:t>
      </w:r>
    </w:p>
    <w:p w14:paraId="1960732A">
      <w:pPr>
        <w:pStyle w:val="29"/>
        <w:numPr>
          <w:ilvl w:val="0"/>
          <w:numId w:val="11"/>
        </w:numPr>
        <w:ind w:left="845" w:leftChars="0" w:hanging="425" w:firstLineChars="0"/>
        <w:rPr>
          <w:rFonts w:hint="default"/>
          <w:lang w:val="en-US" w:eastAsia="zh-CN"/>
        </w:rPr>
      </w:pPr>
      <w:r>
        <w:rPr>
          <w:rFonts w:hint="default"/>
          <w:lang w:val="en-US" w:eastAsia="zh-CN"/>
        </w:rPr>
        <w:t>对SLA的任何修改与补充，均应在UC中同步修订。</w:t>
      </w:r>
    </w:p>
    <w:p w14:paraId="264882DA">
      <w:pPr>
        <w:pStyle w:val="29"/>
        <w:rPr>
          <w:rFonts w:hint="default"/>
          <w:lang w:val="en-US" w:eastAsia="zh-CN"/>
        </w:rPr>
      </w:pPr>
      <w:r>
        <w:rPr>
          <w:rFonts w:hint="default"/>
          <w:lang w:val="en-US" w:eastAsia="zh-CN"/>
        </w:rPr>
        <w:t>第三方支持合同（UC）须通过合同评审，并以公司名义与供应商签订。</w:t>
      </w:r>
    </w:p>
    <w:p w14:paraId="68494C53">
      <w:pPr>
        <w:pStyle w:val="29"/>
        <w:numPr>
          <w:ilvl w:val="0"/>
          <w:numId w:val="8"/>
        </w:numPr>
        <w:ind w:left="425" w:leftChars="0" w:hanging="425" w:firstLineChars="0"/>
        <w:rPr>
          <w:rFonts w:hint="default"/>
          <w:lang w:val="en-US" w:eastAsia="zh-CN"/>
        </w:rPr>
      </w:pPr>
      <w:r>
        <w:rPr>
          <w:rFonts w:hint="default"/>
          <w:lang w:val="en-US" w:eastAsia="zh-CN"/>
        </w:rPr>
        <w:t>采购管理</w:t>
      </w:r>
    </w:p>
    <w:p w14:paraId="413BFB7B">
      <w:pPr>
        <w:pStyle w:val="29"/>
        <w:rPr>
          <w:rFonts w:hint="default"/>
          <w:lang w:val="en-US" w:eastAsia="zh-CN"/>
        </w:rPr>
      </w:pPr>
      <w:r>
        <w:rPr>
          <w:rFonts w:hint="eastAsia"/>
          <w:lang w:val="en-US" w:eastAsia="zh-CN"/>
        </w:rPr>
        <w:t>运维服务人员</w:t>
      </w:r>
      <w:r>
        <w:rPr>
          <w:rFonts w:hint="default"/>
          <w:lang w:val="en-US" w:eastAsia="zh-CN"/>
        </w:rPr>
        <w:t>负责提出采购申请，采购管理相关工作参照《供应商管理</w:t>
      </w:r>
      <w:r>
        <w:rPr>
          <w:rFonts w:hint="eastAsia"/>
          <w:lang w:val="en-US" w:eastAsia="zh-CN"/>
        </w:rPr>
        <w:t>制度</w:t>
      </w:r>
      <w:r>
        <w:rPr>
          <w:rFonts w:hint="default"/>
          <w:lang w:val="en-US" w:eastAsia="zh-CN"/>
        </w:rPr>
        <w:t>》执行。</w:t>
      </w:r>
    </w:p>
    <w:p w14:paraId="3BF490E7">
      <w:pPr>
        <w:pStyle w:val="29"/>
        <w:numPr>
          <w:ilvl w:val="0"/>
          <w:numId w:val="8"/>
        </w:numPr>
        <w:ind w:left="425" w:leftChars="0" w:hanging="425" w:firstLineChars="0"/>
        <w:rPr>
          <w:rFonts w:hint="default"/>
          <w:lang w:val="en-US" w:eastAsia="zh-CN"/>
        </w:rPr>
      </w:pPr>
      <w:r>
        <w:rPr>
          <w:rFonts w:hint="default"/>
          <w:lang w:val="en-US" w:eastAsia="zh-CN"/>
        </w:rPr>
        <w:t>支持合同的协商、起草、修订与终止</w:t>
      </w:r>
    </w:p>
    <w:p w14:paraId="7761F3EA">
      <w:pPr>
        <w:pStyle w:val="29"/>
        <w:rPr>
          <w:rFonts w:hint="default"/>
          <w:lang w:val="en-US" w:eastAsia="zh-CN"/>
        </w:rPr>
      </w:pPr>
      <w:r>
        <w:rPr>
          <w:rFonts w:hint="eastAsia"/>
          <w:lang w:val="en-US" w:eastAsia="zh-CN"/>
        </w:rPr>
        <w:t>运维服务人员</w:t>
      </w:r>
      <w:r>
        <w:rPr>
          <w:rFonts w:hint="default"/>
          <w:lang w:val="en-US" w:eastAsia="zh-CN"/>
        </w:rPr>
        <w:t>参与支持合同的协商、起草、修订与终止工作。</w:t>
      </w:r>
    </w:p>
    <w:p w14:paraId="0C40DB9D">
      <w:pPr>
        <w:pStyle w:val="29"/>
        <w:rPr>
          <w:rFonts w:hint="default"/>
          <w:lang w:val="en-US" w:eastAsia="zh-CN"/>
        </w:rPr>
      </w:pPr>
      <w:r>
        <w:rPr>
          <w:rFonts w:hint="default"/>
          <w:lang w:val="en-US" w:eastAsia="zh-CN"/>
        </w:rPr>
        <w:t>如用户要求签订、修改或终止涉及UC的服务合同，</w:t>
      </w:r>
      <w:r>
        <w:rPr>
          <w:rFonts w:hint="eastAsia"/>
          <w:lang w:val="en-US" w:eastAsia="zh-CN"/>
        </w:rPr>
        <w:t>运维服务人员</w:t>
      </w:r>
      <w:r>
        <w:rPr>
          <w:rFonts w:hint="default"/>
          <w:lang w:val="en-US" w:eastAsia="zh-CN"/>
        </w:rPr>
        <w:t>应同时向客户部提出申请，要求签订、修改或终止相应UC。</w:t>
      </w:r>
    </w:p>
    <w:p w14:paraId="29632583">
      <w:pPr>
        <w:pStyle w:val="29"/>
        <w:numPr>
          <w:ilvl w:val="0"/>
          <w:numId w:val="8"/>
        </w:numPr>
        <w:ind w:left="425" w:leftChars="0" w:hanging="425" w:firstLineChars="0"/>
        <w:rPr>
          <w:rFonts w:hint="default"/>
          <w:lang w:val="en-US" w:eastAsia="zh-CN"/>
        </w:rPr>
      </w:pPr>
      <w:r>
        <w:rPr>
          <w:rFonts w:hint="default"/>
          <w:lang w:val="en-US" w:eastAsia="zh-CN"/>
        </w:rPr>
        <w:t>合同管理</w:t>
      </w:r>
    </w:p>
    <w:p w14:paraId="69EBDA3E">
      <w:pPr>
        <w:pStyle w:val="29"/>
        <w:numPr>
          <w:ilvl w:val="0"/>
          <w:numId w:val="12"/>
        </w:numPr>
        <w:ind w:left="425" w:leftChars="0" w:hanging="425" w:firstLineChars="0"/>
        <w:rPr>
          <w:rFonts w:hint="default"/>
          <w:lang w:val="en-US" w:eastAsia="zh-CN"/>
        </w:rPr>
      </w:pPr>
      <w:r>
        <w:rPr>
          <w:rFonts w:hint="eastAsia"/>
          <w:lang w:val="en-US" w:eastAsia="zh-CN"/>
        </w:rPr>
        <w:t>运维部</w:t>
      </w:r>
      <w:r>
        <w:rPr>
          <w:rFonts w:hint="default"/>
          <w:lang w:val="en-US" w:eastAsia="zh-CN"/>
        </w:rPr>
        <w:t>负责合同的起草与修订；</w:t>
      </w:r>
    </w:p>
    <w:p w14:paraId="2157D24D">
      <w:pPr>
        <w:pStyle w:val="29"/>
        <w:numPr>
          <w:ilvl w:val="0"/>
          <w:numId w:val="12"/>
        </w:numPr>
        <w:ind w:left="425" w:leftChars="0" w:hanging="425" w:firstLineChars="0"/>
        <w:rPr>
          <w:rFonts w:hint="default"/>
          <w:lang w:val="en-US" w:eastAsia="zh-CN"/>
        </w:rPr>
      </w:pPr>
      <w:r>
        <w:rPr>
          <w:rFonts w:hint="default"/>
          <w:lang w:val="en-US" w:eastAsia="zh-CN"/>
        </w:rPr>
        <w:t>管理层负责合同的评审；</w:t>
      </w:r>
    </w:p>
    <w:p w14:paraId="79A8E598">
      <w:pPr>
        <w:pStyle w:val="29"/>
        <w:numPr>
          <w:ilvl w:val="0"/>
          <w:numId w:val="12"/>
        </w:numPr>
        <w:ind w:left="425" w:leftChars="0" w:hanging="425" w:firstLineChars="0"/>
        <w:rPr>
          <w:rFonts w:hint="default"/>
          <w:lang w:val="en-US" w:eastAsia="zh-CN"/>
        </w:rPr>
      </w:pPr>
      <w:r>
        <w:rPr>
          <w:rFonts w:hint="eastAsia"/>
          <w:lang w:val="en-US" w:eastAsia="zh-CN"/>
        </w:rPr>
        <w:t>运维部</w:t>
      </w:r>
      <w:r>
        <w:rPr>
          <w:rFonts w:hint="default"/>
          <w:lang w:val="en-US" w:eastAsia="zh-CN"/>
        </w:rPr>
        <w:t>负责执行与客户的合同签订、续签及改签等工作；</w:t>
      </w:r>
    </w:p>
    <w:p w14:paraId="6E862EA3">
      <w:pPr>
        <w:pStyle w:val="29"/>
        <w:numPr>
          <w:ilvl w:val="0"/>
          <w:numId w:val="12"/>
        </w:numPr>
        <w:ind w:left="425" w:leftChars="0" w:hanging="425" w:firstLineChars="0"/>
        <w:rPr>
          <w:rFonts w:hint="default"/>
          <w:lang w:val="en-US" w:eastAsia="zh-CN"/>
        </w:rPr>
      </w:pPr>
      <w:r>
        <w:rPr>
          <w:rFonts w:hint="eastAsia"/>
          <w:lang w:val="en-US" w:eastAsia="zh-CN"/>
        </w:rPr>
        <w:t>人力部</w:t>
      </w:r>
      <w:r>
        <w:rPr>
          <w:rFonts w:hint="default"/>
          <w:lang w:val="en-US" w:eastAsia="zh-CN"/>
        </w:rPr>
        <w:t>负责合同的归档与管理。</w:t>
      </w:r>
    </w:p>
    <w:p w14:paraId="03715DDD">
      <w:pPr>
        <w:pStyle w:val="31"/>
        <w:bidi w:val="0"/>
        <w:rPr>
          <w:rFonts w:hint="default"/>
          <w:lang w:val="en-US" w:eastAsia="zh-CN"/>
        </w:rPr>
      </w:pPr>
      <w:bookmarkStart w:id="14" w:name="_Toc17789"/>
      <w:r>
        <w:rPr>
          <w:rFonts w:hint="default"/>
          <w:lang w:val="en-US" w:eastAsia="zh-CN"/>
        </w:rPr>
        <w:t>制定与完善服务目录</w:t>
      </w:r>
      <w:bookmarkEnd w:id="14"/>
      <w:r>
        <w:rPr>
          <w:rFonts w:hint="default"/>
          <w:lang w:val="en-US" w:eastAsia="zh-CN"/>
        </w:rPr>
        <w:t xml:space="preserve">  </w:t>
      </w:r>
    </w:p>
    <w:p w14:paraId="105FE9F6">
      <w:pPr>
        <w:pStyle w:val="29"/>
        <w:rPr>
          <w:rFonts w:hint="default"/>
          <w:lang w:val="en-US" w:eastAsia="zh-CN"/>
        </w:rPr>
      </w:pPr>
      <w:r>
        <w:rPr>
          <w:rFonts w:hint="eastAsia"/>
          <w:lang w:val="en-US" w:eastAsia="zh-CN"/>
        </w:rPr>
        <w:t>运维相关人员</w:t>
      </w:r>
      <w:r>
        <w:rPr>
          <w:rFonts w:hint="default"/>
          <w:lang w:val="en-US" w:eastAsia="zh-CN"/>
        </w:rPr>
        <w:t>须针对服务项目制定或完善服务目录，应注意以下要点：</w:t>
      </w:r>
    </w:p>
    <w:p w14:paraId="35BF980A">
      <w:pPr>
        <w:pStyle w:val="29"/>
        <w:numPr>
          <w:ilvl w:val="0"/>
          <w:numId w:val="13"/>
        </w:numPr>
        <w:ind w:left="425" w:leftChars="0" w:hanging="425" w:firstLineChars="0"/>
        <w:rPr>
          <w:rFonts w:hint="default"/>
          <w:lang w:val="en-US" w:eastAsia="zh-CN"/>
        </w:rPr>
      </w:pPr>
      <w:r>
        <w:rPr>
          <w:rFonts w:hint="default"/>
          <w:lang w:val="en-US" w:eastAsia="zh-CN"/>
        </w:rPr>
        <w:t>尽量避免使用技术术语，采用符合相关业务的语言；</w:t>
      </w:r>
    </w:p>
    <w:p w14:paraId="3135A1E5">
      <w:pPr>
        <w:pStyle w:val="29"/>
        <w:numPr>
          <w:ilvl w:val="0"/>
          <w:numId w:val="13"/>
        </w:numPr>
        <w:ind w:left="425" w:leftChars="0" w:hanging="425" w:firstLineChars="0"/>
        <w:rPr>
          <w:rFonts w:hint="default"/>
          <w:lang w:val="en-US" w:eastAsia="zh-CN"/>
        </w:rPr>
      </w:pPr>
      <w:r>
        <w:rPr>
          <w:rFonts w:hint="default"/>
          <w:lang w:val="en-US" w:eastAsia="zh-CN"/>
        </w:rPr>
        <w:t>从用户视角识别和呈现相关信息；</w:t>
      </w:r>
    </w:p>
    <w:p w14:paraId="37A07ED2">
      <w:pPr>
        <w:pStyle w:val="29"/>
        <w:numPr>
          <w:ilvl w:val="0"/>
          <w:numId w:val="13"/>
        </w:numPr>
        <w:ind w:left="425" w:leftChars="0" w:hanging="425" w:firstLineChars="0"/>
        <w:rPr>
          <w:rFonts w:hint="default"/>
          <w:lang w:val="en-US" w:eastAsia="zh-CN"/>
        </w:rPr>
      </w:pPr>
      <w:r>
        <w:rPr>
          <w:rFonts w:hint="default"/>
          <w:lang w:val="en-US" w:eastAsia="zh-CN"/>
        </w:rPr>
        <w:t>提供具有吸引力的规划，以便客户部可据此向用户全面展示服务能力；</w:t>
      </w:r>
    </w:p>
    <w:p w14:paraId="0158EF74">
      <w:pPr>
        <w:pStyle w:val="29"/>
        <w:numPr>
          <w:ilvl w:val="0"/>
          <w:numId w:val="13"/>
        </w:numPr>
        <w:ind w:left="425" w:leftChars="0" w:hanging="425" w:firstLineChars="0"/>
        <w:rPr>
          <w:rFonts w:hint="default"/>
          <w:lang w:val="en-US" w:eastAsia="zh-CN"/>
        </w:rPr>
      </w:pPr>
      <w:r>
        <w:rPr>
          <w:rFonts w:hint="default"/>
          <w:lang w:val="en-US" w:eastAsia="zh-CN"/>
        </w:rPr>
        <w:t>确保</w:t>
      </w:r>
      <w:r>
        <w:rPr>
          <w:rFonts w:hint="eastAsia"/>
          <w:lang w:val="en-US" w:eastAsia="zh-CN"/>
        </w:rPr>
        <w:t>人力部、质量部、运维部和采购部</w:t>
      </w:r>
      <w:r>
        <w:rPr>
          <w:rFonts w:hint="default"/>
          <w:lang w:val="en-US" w:eastAsia="zh-CN"/>
        </w:rPr>
        <w:t>全体成员均可获取该文档。</w:t>
      </w:r>
    </w:p>
    <w:p w14:paraId="3A33587F">
      <w:pPr>
        <w:pStyle w:val="31"/>
        <w:bidi w:val="0"/>
        <w:rPr>
          <w:rFonts w:hint="default"/>
          <w:lang w:val="en-US" w:eastAsia="zh-CN"/>
        </w:rPr>
      </w:pPr>
      <w:bookmarkStart w:id="15" w:name="_Toc10965"/>
      <w:r>
        <w:rPr>
          <w:rFonts w:hint="default"/>
          <w:lang w:val="en-US" w:eastAsia="zh-CN"/>
        </w:rPr>
        <w:t>服务级别执行情况的监控</w:t>
      </w:r>
      <w:bookmarkEnd w:id="15"/>
    </w:p>
    <w:p w14:paraId="7F4F3719">
      <w:pPr>
        <w:pStyle w:val="29"/>
        <w:rPr>
          <w:rFonts w:hint="default"/>
          <w:lang w:val="en-US" w:eastAsia="zh-CN"/>
        </w:rPr>
      </w:pPr>
      <w:r>
        <w:rPr>
          <w:rFonts w:hint="default"/>
          <w:lang w:val="en-US" w:eastAsia="zh-CN"/>
        </w:rPr>
        <w:t>服务级别须从用户角度进行测量与评价：</w:t>
      </w:r>
    </w:p>
    <w:p w14:paraId="50B8581E">
      <w:pPr>
        <w:pStyle w:val="29"/>
        <w:numPr>
          <w:ilvl w:val="0"/>
          <w:numId w:val="14"/>
        </w:numPr>
        <w:ind w:left="425" w:leftChars="0" w:hanging="425" w:firstLineChars="0"/>
        <w:rPr>
          <w:rFonts w:hint="default"/>
          <w:lang w:val="en-US" w:eastAsia="zh-CN"/>
        </w:rPr>
      </w:pPr>
      <w:r>
        <w:rPr>
          <w:rFonts w:hint="default"/>
          <w:lang w:val="en-US" w:eastAsia="zh-CN"/>
        </w:rPr>
        <w:t>监控范围不仅包括技术层面，还应涵盖流程层面。例如，在用户未收到服务恢复通知前，应视服务为不可用；</w:t>
      </w:r>
    </w:p>
    <w:p w14:paraId="0C4FB938">
      <w:pPr>
        <w:pStyle w:val="29"/>
        <w:numPr>
          <w:ilvl w:val="0"/>
          <w:numId w:val="14"/>
        </w:numPr>
        <w:ind w:left="425" w:leftChars="0" w:hanging="425" w:firstLineChars="0"/>
        <w:rPr>
          <w:rFonts w:hint="default"/>
          <w:lang w:val="en-US" w:eastAsia="zh-CN"/>
        </w:rPr>
      </w:pPr>
      <w:r>
        <w:rPr>
          <w:rFonts w:hint="default"/>
          <w:lang w:val="en-US" w:eastAsia="zh-CN"/>
        </w:rPr>
        <w:t>可用性管理与能力管理通常可提供与服务级别技术目标实现情况相关的信息；</w:t>
      </w:r>
    </w:p>
    <w:p w14:paraId="07209A1B">
      <w:pPr>
        <w:pStyle w:val="29"/>
        <w:numPr>
          <w:ilvl w:val="0"/>
          <w:numId w:val="14"/>
        </w:numPr>
        <w:ind w:left="425" w:leftChars="0" w:hanging="425" w:firstLineChars="0"/>
        <w:rPr>
          <w:rFonts w:hint="default"/>
          <w:lang w:val="en-US" w:eastAsia="zh-CN"/>
        </w:rPr>
      </w:pPr>
      <w:r>
        <w:rPr>
          <w:rFonts w:hint="default"/>
          <w:lang w:val="en-US" w:eastAsia="zh-CN"/>
        </w:rPr>
        <w:t xml:space="preserve">在某些情况下，应由服务支持流程（特别是事件管理）提供相关信息；  </w:t>
      </w:r>
    </w:p>
    <w:p w14:paraId="25085DB2">
      <w:pPr>
        <w:pStyle w:val="29"/>
        <w:numPr>
          <w:ilvl w:val="0"/>
          <w:numId w:val="14"/>
        </w:numPr>
        <w:ind w:left="425" w:leftChars="0" w:hanging="425" w:firstLineChars="0"/>
        <w:rPr>
          <w:rFonts w:hint="default"/>
          <w:lang w:val="en-US" w:eastAsia="zh-CN"/>
        </w:rPr>
      </w:pPr>
      <w:r>
        <w:rPr>
          <w:rFonts w:hint="default"/>
          <w:lang w:val="en-US" w:eastAsia="zh-CN"/>
        </w:rPr>
        <w:t>仅评估内部参数不足以反映用户体验，应尽量量化系统响应时间、升级时间及支持等方面的指标；</w:t>
      </w:r>
    </w:p>
    <w:p w14:paraId="4C1CC66C">
      <w:pPr>
        <w:pStyle w:val="29"/>
        <w:numPr>
          <w:ilvl w:val="0"/>
          <w:numId w:val="14"/>
        </w:numPr>
        <w:ind w:left="425" w:leftChars="0" w:hanging="425" w:firstLineChars="0"/>
        <w:rPr>
          <w:rFonts w:hint="default"/>
          <w:lang w:val="en-US" w:eastAsia="zh-CN"/>
        </w:rPr>
      </w:pPr>
      <w:r>
        <w:rPr>
          <w:rFonts w:hint="default"/>
          <w:lang w:val="en-US" w:eastAsia="zh-CN"/>
        </w:rPr>
        <w:t>用户需结合来自系统的可用性数据与服务管理信息，才能获得全面的服务视图。</w:t>
      </w:r>
    </w:p>
    <w:p w14:paraId="18845DFB">
      <w:pPr>
        <w:pStyle w:val="31"/>
        <w:bidi w:val="0"/>
        <w:rPr>
          <w:rFonts w:hint="default"/>
          <w:lang w:val="en-US" w:eastAsia="zh-CN"/>
        </w:rPr>
      </w:pPr>
      <w:bookmarkStart w:id="16" w:name="_Toc29650"/>
      <w:r>
        <w:rPr>
          <w:rFonts w:hint="default"/>
          <w:lang w:val="en-US" w:eastAsia="zh-CN"/>
        </w:rPr>
        <w:t>执行情况汇报与评审</w:t>
      </w:r>
      <w:bookmarkEnd w:id="16"/>
    </w:p>
    <w:p w14:paraId="5603E728">
      <w:pPr>
        <w:pStyle w:val="29"/>
        <w:numPr>
          <w:ilvl w:val="0"/>
          <w:numId w:val="15"/>
        </w:numPr>
        <w:ind w:left="425" w:leftChars="0" w:hanging="425" w:firstLineChars="0"/>
        <w:rPr>
          <w:rFonts w:hint="default"/>
          <w:lang w:val="en-US" w:eastAsia="zh-CN"/>
        </w:rPr>
      </w:pPr>
      <w:r>
        <w:rPr>
          <w:rFonts w:hint="default"/>
          <w:lang w:val="en-US" w:eastAsia="zh-CN"/>
        </w:rPr>
        <w:t>执行情况汇报</w:t>
      </w:r>
    </w:p>
    <w:p w14:paraId="492AD3E7">
      <w:pPr>
        <w:pStyle w:val="29"/>
        <w:rPr>
          <w:rFonts w:hint="default"/>
          <w:lang w:val="en-US" w:eastAsia="zh-CN"/>
        </w:rPr>
      </w:pPr>
      <w:r>
        <w:rPr>
          <w:rFonts w:hint="default"/>
          <w:lang w:val="en-US" w:eastAsia="zh-CN"/>
        </w:rPr>
        <w:t>按既定机制进行服务级别执行情况的定期汇报。</w:t>
      </w:r>
    </w:p>
    <w:p w14:paraId="7E882165">
      <w:pPr>
        <w:pStyle w:val="29"/>
        <w:numPr>
          <w:ilvl w:val="0"/>
          <w:numId w:val="15"/>
        </w:numPr>
        <w:ind w:left="425" w:leftChars="0" w:hanging="425" w:firstLineChars="0"/>
        <w:rPr>
          <w:rFonts w:hint="default"/>
          <w:lang w:val="en-US" w:eastAsia="zh-CN"/>
        </w:rPr>
      </w:pPr>
      <w:r>
        <w:rPr>
          <w:rFonts w:hint="default"/>
          <w:lang w:val="en-US" w:eastAsia="zh-CN"/>
        </w:rPr>
        <w:t>管理评审的频次与时间</w:t>
      </w:r>
    </w:p>
    <w:p w14:paraId="5F9AAAE2">
      <w:pPr>
        <w:pStyle w:val="29"/>
        <w:numPr>
          <w:ilvl w:val="0"/>
          <w:numId w:val="16"/>
        </w:numPr>
        <w:ind w:left="845" w:leftChars="0" w:hanging="425" w:firstLineChars="0"/>
        <w:rPr>
          <w:rFonts w:hint="default"/>
          <w:lang w:val="en-US" w:eastAsia="zh-CN"/>
        </w:rPr>
      </w:pPr>
      <w:r>
        <w:rPr>
          <w:rFonts w:hint="default"/>
          <w:lang w:val="en-US" w:eastAsia="zh-CN"/>
        </w:rPr>
        <w:t>每年至少进行一次，通常结合年度工作总结开展；</w:t>
      </w:r>
    </w:p>
    <w:p w14:paraId="68D1A1A7">
      <w:pPr>
        <w:pStyle w:val="29"/>
        <w:numPr>
          <w:ilvl w:val="0"/>
          <w:numId w:val="16"/>
        </w:numPr>
        <w:ind w:left="845" w:leftChars="0" w:hanging="425" w:firstLineChars="0"/>
        <w:rPr>
          <w:rFonts w:hint="default"/>
          <w:lang w:val="en-US" w:eastAsia="zh-CN"/>
        </w:rPr>
      </w:pPr>
      <w:r>
        <w:rPr>
          <w:rFonts w:hint="default"/>
          <w:lang w:val="en-US" w:eastAsia="zh-CN"/>
        </w:rPr>
        <w:t>发生紧急或重大事件时，须追加服务管理评审。</w:t>
      </w:r>
    </w:p>
    <w:p w14:paraId="04F2C50B">
      <w:pPr>
        <w:pStyle w:val="29"/>
        <w:numPr>
          <w:ilvl w:val="0"/>
          <w:numId w:val="15"/>
        </w:numPr>
        <w:ind w:left="425" w:leftChars="0" w:hanging="425" w:firstLineChars="0"/>
        <w:rPr>
          <w:rFonts w:hint="default"/>
          <w:lang w:val="en-US" w:eastAsia="zh-CN"/>
        </w:rPr>
      </w:pPr>
      <w:r>
        <w:rPr>
          <w:rFonts w:hint="default"/>
          <w:lang w:val="en-US" w:eastAsia="zh-CN"/>
        </w:rPr>
        <w:t>管理评审内容</w:t>
      </w:r>
    </w:p>
    <w:p w14:paraId="76881043">
      <w:pPr>
        <w:pStyle w:val="29"/>
        <w:numPr>
          <w:ilvl w:val="0"/>
          <w:numId w:val="17"/>
        </w:numPr>
        <w:ind w:left="845" w:leftChars="0" w:hanging="425" w:firstLineChars="0"/>
        <w:rPr>
          <w:rFonts w:hint="default"/>
          <w:lang w:val="en-US" w:eastAsia="zh-CN"/>
        </w:rPr>
      </w:pPr>
      <w:r>
        <w:rPr>
          <w:rFonts w:hint="default"/>
          <w:lang w:val="en-US" w:eastAsia="zh-CN"/>
        </w:rPr>
        <w:t>自上次评审以来已公告的服务级别承诺、服务级别协议及与服务相关的问题；</w:t>
      </w:r>
    </w:p>
    <w:p w14:paraId="3ACC2AB7">
      <w:pPr>
        <w:pStyle w:val="29"/>
        <w:numPr>
          <w:ilvl w:val="0"/>
          <w:numId w:val="17"/>
        </w:numPr>
        <w:ind w:left="845" w:leftChars="0" w:hanging="425" w:firstLineChars="0"/>
        <w:rPr>
          <w:rFonts w:hint="default"/>
          <w:lang w:val="en-US" w:eastAsia="zh-CN"/>
        </w:rPr>
      </w:pPr>
      <w:r>
        <w:rPr>
          <w:rFonts w:hint="default"/>
          <w:lang w:val="en-US" w:eastAsia="zh-CN"/>
        </w:rPr>
        <w:t xml:space="preserve">服务趋势的确认与服务级别约定范围内的变更情况；  </w:t>
      </w:r>
    </w:p>
    <w:p w14:paraId="42060BFF">
      <w:pPr>
        <w:pStyle w:val="29"/>
        <w:numPr>
          <w:ilvl w:val="0"/>
          <w:numId w:val="17"/>
        </w:numPr>
        <w:ind w:left="845" w:leftChars="0" w:hanging="425" w:firstLineChars="0"/>
        <w:rPr>
          <w:rFonts w:hint="default"/>
          <w:lang w:val="en-US" w:eastAsia="zh-CN"/>
        </w:rPr>
      </w:pPr>
      <w:r>
        <w:rPr>
          <w:rFonts w:hint="default"/>
          <w:lang w:val="en-US" w:eastAsia="zh-CN"/>
        </w:rPr>
        <w:t xml:space="preserve">流程变更及所需额外资源的评估；  </w:t>
      </w:r>
    </w:p>
    <w:p w14:paraId="6959B01C">
      <w:pPr>
        <w:pStyle w:val="29"/>
        <w:numPr>
          <w:ilvl w:val="0"/>
          <w:numId w:val="17"/>
        </w:numPr>
        <w:ind w:left="845" w:leftChars="0" w:hanging="425" w:firstLineChars="0"/>
        <w:rPr>
          <w:rFonts w:hint="default"/>
          <w:lang w:val="en-US" w:eastAsia="zh-CN"/>
        </w:rPr>
      </w:pPr>
      <w:r>
        <w:rPr>
          <w:rFonts w:hint="default"/>
          <w:lang w:val="en-US" w:eastAsia="zh-CN"/>
        </w:rPr>
        <w:t xml:space="preserve">未达到约定服务级别的原因分析。  </w:t>
      </w:r>
    </w:p>
    <w:p w14:paraId="11FA2786">
      <w:pPr>
        <w:pStyle w:val="29"/>
        <w:numPr>
          <w:ilvl w:val="0"/>
          <w:numId w:val="17"/>
        </w:numPr>
        <w:ind w:left="845" w:leftChars="0" w:hanging="425" w:firstLineChars="0"/>
        <w:rPr>
          <w:rFonts w:hint="default"/>
          <w:lang w:val="en-US" w:eastAsia="zh-CN"/>
        </w:rPr>
      </w:pPr>
      <w:r>
        <w:rPr>
          <w:rFonts w:hint="default"/>
          <w:lang w:val="en-US" w:eastAsia="zh-CN"/>
        </w:rPr>
        <w:t>管理评审工作参照公司《</w:t>
      </w:r>
      <w:r>
        <w:rPr>
          <w:rFonts w:hint="eastAsia"/>
          <w:lang w:val="en-US" w:eastAsia="zh-CN"/>
        </w:rPr>
        <w:t>管理评审制度</w:t>
      </w:r>
      <w:r>
        <w:rPr>
          <w:rFonts w:hint="default"/>
          <w:lang w:val="en-US" w:eastAsia="zh-CN"/>
        </w:rPr>
        <w:t>》执行。</w:t>
      </w:r>
    </w:p>
    <w:p w14:paraId="1527BAB1">
      <w:pPr>
        <w:pStyle w:val="31"/>
        <w:bidi w:val="0"/>
        <w:rPr>
          <w:rFonts w:hint="default"/>
          <w:lang w:val="en-US" w:eastAsia="zh-CN"/>
        </w:rPr>
      </w:pPr>
      <w:bookmarkStart w:id="17" w:name="_Toc15165"/>
      <w:r>
        <w:rPr>
          <w:rFonts w:hint="default"/>
          <w:lang w:val="en-US" w:eastAsia="zh-CN"/>
        </w:rPr>
        <w:t>持续改进</w:t>
      </w:r>
      <w:bookmarkEnd w:id="17"/>
    </w:p>
    <w:p w14:paraId="0B2B6F4F">
      <w:pPr>
        <w:pStyle w:val="29"/>
        <w:rPr>
          <w:rFonts w:hint="default"/>
          <w:lang w:val="en-US" w:eastAsia="zh-CN"/>
        </w:rPr>
      </w:pPr>
      <w:r>
        <w:rPr>
          <w:rFonts w:hint="eastAsia"/>
          <w:lang w:val="en-US" w:eastAsia="zh-CN"/>
        </w:rPr>
        <w:t>运维服务人员</w:t>
      </w:r>
      <w:r>
        <w:rPr>
          <w:rFonts w:hint="default"/>
          <w:lang w:val="en-US" w:eastAsia="zh-CN"/>
        </w:rPr>
        <w:t>根据管理评审结果或部门例会《会议纪要》决议，识别问题与差距，推动持续改进：</w:t>
      </w:r>
    </w:p>
    <w:p w14:paraId="6D4D26D1">
      <w:pPr>
        <w:pStyle w:val="29"/>
        <w:numPr>
          <w:ilvl w:val="0"/>
          <w:numId w:val="18"/>
        </w:numPr>
        <w:ind w:left="425" w:leftChars="0" w:hanging="425" w:firstLineChars="0"/>
        <w:rPr>
          <w:rFonts w:hint="default"/>
          <w:lang w:val="en-US" w:eastAsia="zh-CN"/>
        </w:rPr>
      </w:pPr>
      <w:r>
        <w:rPr>
          <w:rFonts w:hint="default"/>
          <w:lang w:val="en-US" w:eastAsia="zh-CN"/>
        </w:rPr>
        <w:t>填写《服务改进记录》，分配额外资源与人员；</w:t>
      </w:r>
    </w:p>
    <w:p w14:paraId="2352E659">
      <w:pPr>
        <w:pStyle w:val="29"/>
        <w:numPr>
          <w:ilvl w:val="0"/>
          <w:numId w:val="18"/>
        </w:numPr>
        <w:ind w:left="425" w:leftChars="0" w:hanging="425" w:firstLineChars="0"/>
        <w:rPr>
          <w:rFonts w:hint="default"/>
          <w:lang w:val="en-US" w:eastAsia="zh-CN"/>
        </w:rPr>
      </w:pPr>
      <w:r>
        <w:rPr>
          <w:rFonts w:hint="default"/>
          <w:lang w:val="en-US" w:eastAsia="zh-CN"/>
        </w:rPr>
        <w:t>必要时修订服务级别协议中定义的服务级别；</w:t>
      </w:r>
    </w:p>
    <w:p w14:paraId="730A8A31">
      <w:pPr>
        <w:pStyle w:val="29"/>
        <w:numPr>
          <w:ilvl w:val="0"/>
          <w:numId w:val="18"/>
        </w:numPr>
        <w:ind w:left="425" w:leftChars="0" w:hanging="425" w:firstLineChars="0"/>
        <w:rPr>
          <w:rFonts w:hint="default"/>
          <w:lang w:val="en-US" w:eastAsia="zh-CN"/>
        </w:rPr>
      </w:pPr>
      <w:r>
        <w:rPr>
          <w:rFonts w:hint="default"/>
          <w:lang w:val="en-US" w:eastAsia="zh-CN"/>
        </w:rPr>
        <w:t>修改相关流程；</w:t>
      </w:r>
    </w:p>
    <w:p w14:paraId="02FF3227">
      <w:pPr>
        <w:pStyle w:val="29"/>
        <w:numPr>
          <w:ilvl w:val="0"/>
          <w:numId w:val="18"/>
        </w:numPr>
        <w:ind w:left="425" w:leftChars="0" w:hanging="425" w:firstLineChars="0"/>
        <w:rPr>
          <w:rFonts w:hint="default"/>
          <w:lang w:val="en-US" w:eastAsia="zh-CN"/>
        </w:rPr>
      </w:pPr>
      <w:r>
        <w:rPr>
          <w:rFonts w:hint="default"/>
          <w:lang w:val="en-US" w:eastAsia="zh-CN"/>
        </w:rPr>
        <w:t>更新</w:t>
      </w:r>
      <w:r>
        <w:rPr>
          <w:rFonts w:hint="eastAsia"/>
          <w:lang w:val="en-US" w:eastAsia="zh-CN"/>
        </w:rPr>
        <w:t>运维</w:t>
      </w:r>
      <w:r>
        <w:rPr>
          <w:rFonts w:hint="default"/>
          <w:lang w:val="en-US" w:eastAsia="zh-CN"/>
        </w:rPr>
        <w:t>级别协议与支持合同。</w:t>
      </w:r>
    </w:p>
    <w:p w14:paraId="2C20A0FA">
      <w:pPr>
        <w:pStyle w:val="29"/>
        <w:rPr>
          <w:rFonts w:hint="default"/>
          <w:lang w:val="en-US" w:eastAsia="zh-CN"/>
        </w:rPr>
      </w:pPr>
      <w:r>
        <w:rPr>
          <w:rFonts w:hint="default"/>
          <w:lang w:val="en-US" w:eastAsia="zh-CN"/>
        </w:rPr>
        <w:t>持续改进过程参照《</w:t>
      </w:r>
      <w:r>
        <w:rPr>
          <w:rFonts w:hint="eastAsia"/>
          <w:lang w:val="en-US" w:eastAsia="zh-CN"/>
        </w:rPr>
        <w:t>运维</w:t>
      </w:r>
      <w:r>
        <w:rPr>
          <w:rFonts w:hint="default"/>
          <w:lang w:val="en-US" w:eastAsia="zh-CN"/>
        </w:rPr>
        <w:t>服务</w:t>
      </w:r>
      <w:r>
        <w:rPr>
          <w:rFonts w:hint="eastAsia"/>
          <w:lang w:val="en-US" w:eastAsia="zh-CN"/>
        </w:rPr>
        <w:t>能力改进</w:t>
      </w:r>
      <w:r>
        <w:rPr>
          <w:rFonts w:hint="default"/>
          <w:lang w:val="en-US" w:eastAsia="zh-CN"/>
        </w:rPr>
        <w:t>管理</w:t>
      </w:r>
      <w:r>
        <w:rPr>
          <w:rFonts w:hint="eastAsia"/>
          <w:lang w:val="en-US" w:eastAsia="zh-CN"/>
        </w:rPr>
        <w:t>制度</w:t>
      </w:r>
      <w:r>
        <w:rPr>
          <w:rFonts w:hint="default"/>
          <w:lang w:val="en-US" w:eastAsia="zh-CN"/>
        </w:rPr>
        <w:t>》执行。</w:t>
      </w:r>
    </w:p>
    <w:p w14:paraId="515ED9D6">
      <w:pPr>
        <w:pStyle w:val="30"/>
        <w:bidi w:val="0"/>
      </w:pPr>
      <w:bookmarkStart w:id="18" w:name="_Toc6088"/>
      <w:bookmarkStart w:id="19" w:name="_Toc5509"/>
      <w:r>
        <w:t>考核指标</w:t>
      </w:r>
      <w:bookmarkEnd w:id="18"/>
      <w:bookmarkEnd w:id="19"/>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7"/>
        <w:gridCol w:w="3919"/>
        <w:gridCol w:w="855"/>
        <w:gridCol w:w="1221"/>
      </w:tblGrid>
      <w:tr w14:paraId="646148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7" w:type="dxa"/>
          </w:tcPr>
          <w:p w14:paraId="570E8829">
            <w:pPr>
              <w:pStyle w:val="29"/>
              <w:widowControl w:val="0"/>
              <w:rPr>
                <w:rFonts w:hint="default"/>
                <w:vertAlign w:val="baseline"/>
                <w:lang w:val="en-US" w:eastAsia="zh-CN"/>
              </w:rPr>
            </w:pPr>
            <w:r>
              <w:rPr>
                <w:rFonts w:hint="eastAsia"/>
                <w:vertAlign w:val="baseline"/>
                <w:lang w:val="en-US" w:eastAsia="zh-CN"/>
              </w:rPr>
              <w:t>指标度量性</w:t>
            </w:r>
          </w:p>
        </w:tc>
        <w:tc>
          <w:tcPr>
            <w:tcW w:w="3919" w:type="dxa"/>
          </w:tcPr>
          <w:p w14:paraId="36DC3899">
            <w:pPr>
              <w:pStyle w:val="29"/>
              <w:widowControl w:val="0"/>
              <w:ind w:left="0" w:leftChars="0" w:firstLine="0" w:firstLineChars="0"/>
              <w:jc w:val="center"/>
              <w:rPr>
                <w:rFonts w:hint="default"/>
                <w:vertAlign w:val="baseline"/>
                <w:lang w:val="en-US" w:eastAsia="zh-CN"/>
              </w:rPr>
            </w:pPr>
            <w:r>
              <w:rPr>
                <w:rFonts w:hint="eastAsia"/>
                <w:vertAlign w:val="baseline"/>
                <w:lang w:val="en-US" w:eastAsia="zh-CN"/>
              </w:rPr>
              <w:t>计算方式</w:t>
            </w:r>
          </w:p>
        </w:tc>
        <w:tc>
          <w:tcPr>
            <w:tcW w:w="855" w:type="dxa"/>
          </w:tcPr>
          <w:p w14:paraId="3B6D449C">
            <w:pPr>
              <w:pStyle w:val="29"/>
              <w:widowControl w:val="0"/>
              <w:ind w:left="0" w:leftChars="0" w:firstLine="0" w:firstLineChars="0"/>
              <w:jc w:val="center"/>
              <w:rPr>
                <w:rFonts w:hint="default"/>
                <w:vertAlign w:val="baseline"/>
                <w:lang w:val="en-US" w:eastAsia="zh-CN"/>
              </w:rPr>
            </w:pPr>
            <w:r>
              <w:rPr>
                <w:rFonts w:hint="eastAsia"/>
                <w:vertAlign w:val="baseline"/>
                <w:lang w:val="en-US" w:eastAsia="zh-CN"/>
              </w:rPr>
              <w:t>频次</w:t>
            </w:r>
          </w:p>
        </w:tc>
        <w:tc>
          <w:tcPr>
            <w:tcW w:w="1221" w:type="dxa"/>
          </w:tcPr>
          <w:p w14:paraId="7BE0BA8E">
            <w:pPr>
              <w:pStyle w:val="29"/>
              <w:widowControl w:val="0"/>
              <w:ind w:left="0" w:leftChars="0" w:firstLine="0" w:firstLineChars="0"/>
              <w:jc w:val="center"/>
              <w:rPr>
                <w:rFonts w:hint="default"/>
                <w:vertAlign w:val="baseline"/>
                <w:lang w:val="en-US" w:eastAsia="zh-CN"/>
              </w:rPr>
            </w:pPr>
            <w:r>
              <w:rPr>
                <w:rFonts w:hint="eastAsia"/>
                <w:vertAlign w:val="baseline"/>
                <w:lang w:val="en-US" w:eastAsia="zh-CN"/>
              </w:rPr>
              <w:t>指标要求</w:t>
            </w:r>
          </w:p>
        </w:tc>
      </w:tr>
      <w:tr w14:paraId="68C4F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2527" w:type="dxa"/>
            <w:shd w:val="clear" w:color="auto" w:fill="auto"/>
            <w:vAlign w:val="top"/>
          </w:tcPr>
          <w:p w14:paraId="395C77A5">
            <w:pPr>
              <w:bidi w:val="0"/>
              <w:rPr>
                <w:rFonts w:hint="default"/>
                <w:lang w:val="en-US" w:eastAsia="zh-CN"/>
              </w:rPr>
            </w:pPr>
            <w:r>
              <w:rPr>
                <w:rFonts w:hint="eastAsia"/>
              </w:rPr>
              <w:t>服务级别达成率</w:t>
            </w:r>
          </w:p>
        </w:tc>
        <w:tc>
          <w:tcPr>
            <w:tcW w:w="3919" w:type="dxa"/>
            <w:shd w:val="clear" w:color="auto" w:fill="auto"/>
            <w:vAlign w:val="top"/>
          </w:tcPr>
          <w:p w14:paraId="27347DB2">
            <w:pPr>
              <w:bidi w:val="0"/>
              <w:rPr>
                <w:rFonts w:hint="default"/>
                <w:lang w:val="en-US" w:eastAsia="zh-CN"/>
              </w:rPr>
            </w:pPr>
            <w:r>
              <w:rPr>
                <w:rFonts w:hint="eastAsia"/>
              </w:rPr>
              <w:t>达成SLA要求的项目数/项目总数</w:t>
            </w:r>
            <w:r>
              <w:rPr>
                <w:rFonts w:hint="eastAsia"/>
                <w:lang w:eastAsia="zh-CN"/>
              </w:rPr>
              <w:t>*</w:t>
            </w:r>
            <w:r>
              <w:rPr>
                <w:rFonts w:hint="eastAsia"/>
              </w:rPr>
              <w:t>100%</w:t>
            </w:r>
          </w:p>
        </w:tc>
        <w:tc>
          <w:tcPr>
            <w:tcW w:w="855" w:type="dxa"/>
            <w:shd w:val="clear" w:color="auto" w:fill="auto"/>
            <w:vAlign w:val="top"/>
          </w:tcPr>
          <w:p w14:paraId="2E961F64">
            <w:pPr>
              <w:bidi w:val="0"/>
              <w:rPr>
                <w:rFonts w:hint="default"/>
                <w:lang w:val="en-US" w:eastAsia="zh-CN"/>
              </w:rPr>
            </w:pPr>
            <w:r>
              <w:rPr>
                <w:rFonts w:hint="eastAsia"/>
              </w:rPr>
              <w:t>每月</w:t>
            </w:r>
          </w:p>
        </w:tc>
        <w:tc>
          <w:tcPr>
            <w:tcW w:w="1221" w:type="dxa"/>
            <w:shd w:val="clear" w:color="auto" w:fill="auto"/>
            <w:vAlign w:val="top"/>
          </w:tcPr>
          <w:p w14:paraId="6A5D6556">
            <w:pPr>
              <w:bidi w:val="0"/>
              <w:rPr>
                <w:rFonts w:hint="eastAsia"/>
                <w:lang w:val="en-US" w:eastAsia="zh-CN"/>
              </w:rPr>
            </w:pPr>
            <w:r>
              <w:rPr>
                <w:rFonts w:hint="eastAsia"/>
              </w:rPr>
              <w:t>≥95%</w:t>
            </w:r>
          </w:p>
        </w:tc>
      </w:tr>
      <w:tr w14:paraId="03F828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2527" w:type="dxa"/>
            <w:shd w:val="clear" w:color="auto" w:fill="auto"/>
            <w:vAlign w:val="top"/>
          </w:tcPr>
          <w:p w14:paraId="2CFB9C39">
            <w:pPr>
              <w:bidi w:val="0"/>
              <w:rPr>
                <w:rFonts w:hint="default"/>
                <w:lang w:val="en-US" w:eastAsia="zh-CN"/>
              </w:rPr>
            </w:pPr>
            <w:r>
              <w:rPr>
                <w:rFonts w:hint="eastAsia"/>
              </w:rPr>
              <w:t>SLA达成情况按时监控率</w:t>
            </w:r>
          </w:p>
        </w:tc>
        <w:tc>
          <w:tcPr>
            <w:tcW w:w="3919" w:type="dxa"/>
            <w:shd w:val="clear" w:color="auto" w:fill="auto"/>
            <w:vAlign w:val="top"/>
          </w:tcPr>
          <w:p w14:paraId="65776081">
            <w:pPr>
              <w:bidi w:val="0"/>
              <w:rPr>
                <w:rFonts w:hint="default"/>
                <w:lang w:val="en-US" w:eastAsia="zh-CN"/>
              </w:rPr>
            </w:pPr>
            <w:r>
              <w:rPr>
                <w:rFonts w:hint="eastAsia"/>
              </w:rPr>
              <w:t>得到及时监控的项目数/项目总数</w:t>
            </w:r>
            <w:r>
              <w:rPr>
                <w:rFonts w:hint="eastAsia"/>
                <w:lang w:eastAsia="zh-CN"/>
              </w:rPr>
              <w:t>*</w:t>
            </w:r>
            <w:r>
              <w:rPr>
                <w:rFonts w:hint="eastAsia"/>
              </w:rPr>
              <w:t>100%</w:t>
            </w:r>
          </w:p>
        </w:tc>
        <w:tc>
          <w:tcPr>
            <w:tcW w:w="855" w:type="dxa"/>
            <w:shd w:val="clear" w:color="auto" w:fill="auto"/>
            <w:vAlign w:val="top"/>
          </w:tcPr>
          <w:p w14:paraId="265BAFAD">
            <w:pPr>
              <w:bidi w:val="0"/>
              <w:rPr>
                <w:rFonts w:hint="default"/>
                <w:lang w:val="en-US" w:eastAsia="zh-CN"/>
              </w:rPr>
            </w:pPr>
            <w:r>
              <w:rPr>
                <w:rFonts w:hint="eastAsia"/>
              </w:rPr>
              <w:t>每季度</w:t>
            </w:r>
          </w:p>
        </w:tc>
        <w:tc>
          <w:tcPr>
            <w:tcW w:w="0" w:type="auto"/>
            <w:shd w:val="clear" w:color="auto" w:fill="auto"/>
            <w:vAlign w:val="top"/>
          </w:tcPr>
          <w:p w14:paraId="504F40BB">
            <w:pPr>
              <w:bidi w:val="0"/>
              <w:rPr>
                <w:rFonts w:hint="eastAsia"/>
                <w:lang w:val="en-US" w:eastAsia="zh-CN"/>
              </w:rPr>
            </w:pPr>
            <w:r>
              <w:rPr>
                <w:rFonts w:hint="eastAsia"/>
              </w:rPr>
              <w:t>≥95%</w:t>
            </w:r>
          </w:p>
        </w:tc>
      </w:tr>
      <w:tr w14:paraId="24ADED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2527" w:type="dxa"/>
            <w:shd w:val="clear" w:color="auto" w:fill="auto"/>
            <w:vAlign w:val="top"/>
          </w:tcPr>
          <w:p w14:paraId="75EC90CF">
            <w:pPr>
              <w:bidi w:val="0"/>
              <w:rPr>
                <w:rFonts w:hint="default"/>
                <w:lang w:val="en-US" w:eastAsia="zh-CN"/>
              </w:rPr>
            </w:pPr>
            <w:r>
              <w:rPr>
                <w:rFonts w:hint="eastAsia"/>
              </w:rPr>
              <w:t>未达成指标分析并制定改进措施比率</w:t>
            </w:r>
          </w:p>
        </w:tc>
        <w:tc>
          <w:tcPr>
            <w:tcW w:w="3919" w:type="dxa"/>
            <w:shd w:val="clear" w:color="auto" w:fill="auto"/>
            <w:vAlign w:val="top"/>
          </w:tcPr>
          <w:p w14:paraId="34283106">
            <w:pPr>
              <w:bidi w:val="0"/>
              <w:rPr>
                <w:rFonts w:hint="default"/>
                <w:lang w:val="en-US" w:eastAsia="zh-CN"/>
              </w:rPr>
            </w:pPr>
            <w:r>
              <w:rPr>
                <w:rFonts w:hint="eastAsia"/>
              </w:rPr>
              <w:t>监控指标未达标时分析并制定改进措施次数/未达成指标数量</w:t>
            </w:r>
            <w:r>
              <w:rPr>
                <w:rFonts w:hint="eastAsia"/>
                <w:lang w:eastAsia="zh-CN"/>
              </w:rPr>
              <w:t>*</w:t>
            </w:r>
            <w:r>
              <w:rPr>
                <w:rFonts w:hint="eastAsia"/>
              </w:rPr>
              <w:t>100%</w:t>
            </w:r>
          </w:p>
        </w:tc>
        <w:tc>
          <w:tcPr>
            <w:tcW w:w="855" w:type="dxa"/>
            <w:shd w:val="clear" w:color="auto" w:fill="auto"/>
            <w:vAlign w:val="top"/>
          </w:tcPr>
          <w:p w14:paraId="3BDFAFE7">
            <w:pPr>
              <w:bidi w:val="0"/>
              <w:rPr>
                <w:rFonts w:hint="default"/>
                <w:lang w:val="en-US" w:eastAsia="zh-CN"/>
              </w:rPr>
            </w:pPr>
            <w:r>
              <w:rPr>
                <w:rFonts w:hint="eastAsia"/>
              </w:rPr>
              <w:t>每季度</w:t>
            </w:r>
          </w:p>
        </w:tc>
        <w:tc>
          <w:tcPr>
            <w:tcW w:w="0" w:type="auto"/>
            <w:shd w:val="clear" w:color="auto" w:fill="auto"/>
            <w:vAlign w:val="top"/>
          </w:tcPr>
          <w:p w14:paraId="2A63CCD8">
            <w:pPr>
              <w:bidi w:val="0"/>
              <w:rPr>
                <w:rFonts w:hint="eastAsia"/>
                <w:lang w:val="en-US" w:eastAsia="zh-CN"/>
              </w:rPr>
            </w:pPr>
            <w:r>
              <w:rPr>
                <w:rFonts w:hint="eastAsia"/>
              </w:rPr>
              <w:t>100%</w:t>
            </w:r>
          </w:p>
        </w:tc>
      </w:tr>
    </w:tbl>
    <w:p w14:paraId="1292F1DE">
      <w:pPr>
        <w:pStyle w:val="28"/>
        <w:bidi w:val="0"/>
        <w:rPr>
          <w:rStyle w:val="38"/>
          <w:rFonts w:hint="default" w:eastAsia="宋体"/>
          <w:lang w:val="en-US" w:eastAsia="zh-CN"/>
        </w:rPr>
      </w:pPr>
      <w:bookmarkStart w:id="20" w:name="bookmark3"/>
      <w:bookmarkEnd w:id="20"/>
      <w:bookmarkStart w:id="21" w:name="_Toc17424"/>
      <w:bookmarkStart w:id="22" w:name="_Toc28161"/>
      <w:r>
        <w:rPr>
          <w:rStyle w:val="38"/>
          <w:rFonts w:hint="eastAsia" w:eastAsia="宋体"/>
          <w:lang w:val="en-US" w:eastAsia="zh-CN"/>
        </w:rPr>
        <w:t>附则</w:t>
      </w:r>
      <w:bookmarkEnd w:id="21"/>
      <w:bookmarkEnd w:id="22"/>
    </w:p>
    <w:p w14:paraId="17535BAC">
      <w:pPr>
        <w:keepNext w:val="0"/>
        <w:keepLines w:val="0"/>
        <w:pageBreakBefore w:val="0"/>
        <w:widowControl/>
        <w:numPr>
          <w:ilvl w:val="0"/>
          <w:numId w:val="1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4B5A00">
      <w:pPr>
        <w:keepNext w:val="0"/>
        <w:keepLines w:val="0"/>
        <w:pageBreakBefore w:val="0"/>
        <w:widowControl/>
        <w:numPr>
          <w:ilvl w:val="0"/>
          <w:numId w:val="1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72E3990">
      <w:pPr>
        <w:pStyle w:val="28"/>
        <w:bidi w:val="0"/>
        <w:rPr>
          <w:rFonts w:hint="default"/>
          <w:lang w:val="en-US" w:eastAsia="zh-CN"/>
        </w:rPr>
      </w:pPr>
      <w:bookmarkStart w:id="23" w:name="bookmark14"/>
      <w:bookmarkEnd w:id="23"/>
      <w:bookmarkStart w:id="24" w:name="_Toc962"/>
      <w:r>
        <w:rPr>
          <w:rFonts w:hint="eastAsia"/>
          <w:lang w:val="en-US" w:eastAsia="zh-CN"/>
        </w:rPr>
        <w:t>附件</w:t>
      </w:r>
      <w:bookmarkEnd w:id="24"/>
    </w:p>
    <w:p w14:paraId="03BDD3B4">
      <w:pPr>
        <w:pStyle w:val="39"/>
        <w:bidi w:val="0"/>
      </w:pPr>
      <w:r>
        <w:t>《供应商管理</w:t>
      </w:r>
      <w:r>
        <w:rPr>
          <w:rFonts w:hint="eastAsia"/>
          <w:lang w:val="en-US" w:eastAsia="zh-CN"/>
        </w:rPr>
        <w:t>制度</w:t>
      </w:r>
      <w:r>
        <w:t>》</w:t>
      </w:r>
    </w:p>
    <w:p w14:paraId="3B578C70">
      <w:pPr>
        <w:pStyle w:val="28"/>
        <w:bidi w:val="0"/>
        <w:rPr>
          <w:rFonts w:hint="eastAsia"/>
          <w:lang w:val="en-US" w:eastAsia="zh-CN"/>
        </w:rPr>
      </w:pPr>
      <w:bookmarkStart w:id="25" w:name="_Toc9552"/>
      <w:r>
        <w:rPr>
          <w:rFonts w:hint="eastAsia"/>
          <w:lang w:val="en-US" w:eastAsia="zh-CN"/>
        </w:rPr>
        <w:t>记录</w:t>
      </w:r>
      <w:bookmarkEnd w:id="25"/>
    </w:p>
    <w:p w14:paraId="671AFC76">
      <w:pPr>
        <w:pStyle w:val="39"/>
        <w:bidi w:val="0"/>
      </w:pPr>
      <w:r>
        <w:t>《</w:t>
      </w:r>
      <w:r>
        <w:rPr>
          <w:rFonts w:hint="eastAsia"/>
        </w:rPr>
        <w:t>运维服务目录管理制度</w:t>
      </w:r>
      <w:r>
        <w:t>》</w:t>
      </w:r>
    </w:p>
    <w:p w14:paraId="215672F3">
      <w:pPr>
        <w:pStyle w:val="39"/>
        <w:bidi w:val="0"/>
      </w:pPr>
      <w:r>
        <w:t>《</w:t>
      </w:r>
      <w:r>
        <w:rPr>
          <w:rFonts w:hint="eastAsia"/>
          <w:lang w:val="en-US" w:eastAsia="zh-CN"/>
        </w:rPr>
        <w:t>组织级运维服务目录</w:t>
      </w:r>
      <w:r>
        <w:t>》</w:t>
      </w:r>
    </w:p>
    <w:p w14:paraId="40B4A0B5">
      <w:pPr>
        <w:pStyle w:val="39"/>
        <w:bidi w:val="0"/>
      </w:pPr>
      <w:r>
        <w:t>《服务改进记录》</w:t>
      </w:r>
    </w:p>
    <w:p w14:paraId="2DEF07A9">
      <w:pPr>
        <w:pStyle w:val="39"/>
        <w:bidi w:val="0"/>
      </w:pPr>
      <w:r>
        <w:rPr>
          <w:rFonts w:hint="default"/>
          <w:lang w:val="en-US" w:eastAsia="zh-CN"/>
        </w:rPr>
        <w:t>《</w:t>
      </w:r>
      <w:r>
        <w:rPr>
          <w:rFonts w:hint="eastAsia"/>
          <w:lang w:val="en-US" w:eastAsia="zh-CN"/>
        </w:rPr>
        <w:t>运维</w:t>
      </w:r>
      <w:r>
        <w:rPr>
          <w:rFonts w:hint="default"/>
          <w:lang w:val="en-US" w:eastAsia="zh-CN"/>
        </w:rPr>
        <w:t>服务</w:t>
      </w:r>
      <w:r>
        <w:rPr>
          <w:rFonts w:hint="eastAsia"/>
          <w:lang w:val="en-US" w:eastAsia="zh-CN"/>
        </w:rPr>
        <w:t>能力改进</w:t>
      </w:r>
      <w:r>
        <w:rPr>
          <w:rFonts w:hint="default"/>
          <w:lang w:val="en-US" w:eastAsia="zh-CN"/>
        </w:rPr>
        <w:t>管理</w:t>
      </w:r>
      <w:r>
        <w:rPr>
          <w:rFonts w:hint="eastAsia"/>
          <w:lang w:val="en-US" w:eastAsia="zh-CN"/>
        </w:rPr>
        <w:t>制度</w:t>
      </w:r>
      <w:r>
        <w:rPr>
          <w:rFonts w:hint="default"/>
          <w:lang w:val="en-US" w:eastAsia="zh-CN"/>
        </w:rPr>
        <w:t>》</w:t>
      </w:r>
    </w:p>
    <w:p w14:paraId="60E27BB2">
      <w:pPr>
        <w:pStyle w:val="29"/>
        <w:rPr>
          <w:rFonts w:hint="eastAsia"/>
          <w:lang w:val="en-US" w:eastAsia="zh-CN"/>
        </w:rPr>
      </w:pP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3CD3E1"/>
    <w:multiLevelType w:val="singleLevel"/>
    <w:tmpl w:val="863CD3E1"/>
    <w:lvl w:ilvl="0" w:tentative="0">
      <w:start w:val="1"/>
      <w:numFmt w:val="decimal"/>
      <w:lvlText w:val="(%1)"/>
      <w:lvlJc w:val="left"/>
      <w:pPr>
        <w:tabs>
          <w:tab w:val="left" w:pos="420"/>
        </w:tabs>
        <w:ind w:left="845" w:hanging="425"/>
      </w:pPr>
      <w:rPr>
        <w:rFonts w:hint="default"/>
      </w:rPr>
    </w:lvl>
  </w:abstractNum>
  <w:abstractNum w:abstractNumId="1">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A10DD649"/>
    <w:multiLevelType w:val="singleLevel"/>
    <w:tmpl w:val="A10DD649"/>
    <w:lvl w:ilvl="0" w:tentative="0">
      <w:start w:val="1"/>
      <w:numFmt w:val="decimal"/>
      <w:lvlText w:val="(%1)"/>
      <w:lvlJc w:val="left"/>
      <w:pPr>
        <w:tabs>
          <w:tab w:val="left" w:pos="420"/>
        </w:tabs>
        <w:ind w:left="845" w:hanging="425"/>
      </w:pPr>
      <w:rPr>
        <w:rFonts w:hint="default"/>
      </w:rPr>
    </w:lvl>
  </w:abstractNum>
  <w:abstractNum w:abstractNumId="3">
    <w:nsid w:val="B0766F08"/>
    <w:multiLevelType w:val="singleLevel"/>
    <w:tmpl w:val="B0766F08"/>
    <w:lvl w:ilvl="0" w:tentative="0">
      <w:start w:val="1"/>
      <w:numFmt w:val="decimal"/>
      <w:lvlText w:val="(%1)"/>
      <w:lvlJc w:val="left"/>
      <w:pPr>
        <w:tabs>
          <w:tab w:val="left" w:pos="420"/>
        </w:tabs>
        <w:ind w:left="845" w:hanging="425"/>
      </w:pPr>
      <w:rPr>
        <w:rFonts w:hint="default"/>
      </w:rPr>
    </w:lvl>
  </w:abstractNum>
  <w:abstractNum w:abstractNumId="4">
    <w:nsid w:val="C83E68AB"/>
    <w:multiLevelType w:val="singleLevel"/>
    <w:tmpl w:val="C83E68AB"/>
    <w:lvl w:ilvl="0" w:tentative="0">
      <w:start w:val="1"/>
      <w:numFmt w:val="decimal"/>
      <w:lvlText w:val="%1."/>
      <w:lvlJc w:val="left"/>
      <w:pPr>
        <w:ind w:left="425" w:hanging="425"/>
      </w:pPr>
      <w:rPr>
        <w:rFonts w:hint="default"/>
      </w:rPr>
    </w:lvl>
  </w:abstractNum>
  <w:abstractNum w:abstractNumId="5">
    <w:nsid w:val="D5D45681"/>
    <w:multiLevelType w:val="singleLevel"/>
    <w:tmpl w:val="D5D45681"/>
    <w:lvl w:ilvl="0" w:tentative="0">
      <w:start w:val="1"/>
      <w:numFmt w:val="decimal"/>
      <w:lvlText w:val="%1."/>
      <w:lvlJc w:val="left"/>
      <w:pPr>
        <w:ind w:left="425" w:hanging="425"/>
      </w:pPr>
      <w:rPr>
        <w:rFonts w:hint="default"/>
      </w:rPr>
    </w:lvl>
  </w:abstractNum>
  <w:abstractNum w:abstractNumId="6">
    <w:nsid w:val="E73A8041"/>
    <w:multiLevelType w:val="singleLevel"/>
    <w:tmpl w:val="E73A8041"/>
    <w:lvl w:ilvl="0" w:tentative="0">
      <w:start w:val="1"/>
      <w:numFmt w:val="decimal"/>
      <w:lvlText w:val="%1."/>
      <w:lvlJc w:val="left"/>
      <w:pPr>
        <w:ind w:left="425" w:hanging="425"/>
      </w:pPr>
      <w:rPr>
        <w:rFonts w:hint="default"/>
      </w:rPr>
    </w:lvl>
  </w:abstractNum>
  <w:abstractNum w:abstractNumId="7">
    <w:nsid w:val="E8BF01C3"/>
    <w:multiLevelType w:val="singleLevel"/>
    <w:tmpl w:val="E8BF01C3"/>
    <w:lvl w:ilvl="0" w:tentative="0">
      <w:start w:val="1"/>
      <w:numFmt w:val="decimal"/>
      <w:lvlText w:val="(%1)"/>
      <w:lvlJc w:val="left"/>
      <w:pPr>
        <w:tabs>
          <w:tab w:val="left" w:pos="420"/>
        </w:tabs>
        <w:ind w:left="845" w:hanging="425"/>
      </w:pPr>
      <w:rPr>
        <w:rFonts w:hint="default"/>
      </w:rPr>
    </w:lvl>
  </w:abstractNum>
  <w:abstractNum w:abstractNumId="8">
    <w:nsid w:val="F9539CF3"/>
    <w:multiLevelType w:val="singleLevel"/>
    <w:tmpl w:val="F9539CF3"/>
    <w:lvl w:ilvl="0" w:tentative="0">
      <w:start w:val="1"/>
      <w:numFmt w:val="decimal"/>
      <w:lvlText w:val="%1."/>
      <w:lvlJc w:val="left"/>
      <w:pPr>
        <w:ind w:left="425" w:hanging="425"/>
      </w:pPr>
      <w:rPr>
        <w:rFonts w:hint="default"/>
      </w:rPr>
    </w:lvl>
  </w:abstractNum>
  <w:abstractNum w:abstractNumId="9">
    <w:nsid w:val="002ED24C"/>
    <w:multiLevelType w:val="singleLevel"/>
    <w:tmpl w:val="002ED24C"/>
    <w:lvl w:ilvl="0" w:tentative="0">
      <w:start w:val="1"/>
      <w:numFmt w:val="decimal"/>
      <w:lvlText w:val="%1."/>
      <w:lvlJc w:val="left"/>
      <w:pPr>
        <w:ind w:left="425" w:hanging="425"/>
      </w:pPr>
      <w:rPr>
        <w:rFonts w:hint="default"/>
      </w:rPr>
    </w:lvl>
  </w:abstractNum>
  <w:abstractNum w:abstractNumId="10">
    <w:nsid w:val="02CB9B08"/>
    <w:multiLevelType w:val="singleLevel"/>
    <w:tmpl w:val="02CB9B08"/>
    <w:lvl w:ilvl="0" w:tentative="0">
      <w:start w:val="1"/>
      <w:numFmt w:val="decimal"/>
      <w:lvlText w:val="%1."/>
      <w:lvlJc w:val="left"/>
      <w:pPr>
        <w:ind w:left="425" w:hanging="425"/>
      </w:pPr>
      <w:rPr>
        <w:rFonts w:hint="default"/>
      </w:rPr>
    </w:lvl>
  </w:abstractNum>
  <w:abstractNum w:abstractNumId="11">
    <w:nsid w:val="0930E691"/>
    <w:multiLevelType w:val="singleLevel"/>
    <w:tmpl w:val="0930E691"/>
    <w:lvl w:ilvl="0" w:tentative="0">
      <w:start w:val="1"/>
      <w:numFmt w:val="decimal"/>
      <w:lvlText w:val="(%1)"/>
      <w:lvlJc w:val="left"/>
      <w:pPr>
        <w:tabs>
          <w:tab w:val="left" w:pos="420"/>
        </w:tabs>
        <w:ind w:left="845" w:hanging="425"/>
      </w:pPr>
      <w:rPr>
        <w:rFonts w:hint="default"/>
      </w:rPr>
    </w:lvl>
  </w:abstractNum>
  <w:abstractNum w:abstractNumId="12">
    <w:nsid w:val="13A488A5"/>
    <w:multiLevelType w:val="singleLevel"/>
    <w:tmpl w:val="13A488A5"/>
    <w:lvl w:ilvl="0" w:tentative="0">
      <w:start w:val="1"/>
      <w:numFmt w:val="decimal"/>
      <w:lvlText w:val="%1."/>
      <w:lvlJc w:val="left"/>
      <w:pPr>
        <w:ind w:left="425" w:hanging="425"/>
      </w:pPr>
      <w:rPr>
        <w:rFonts w:hint="default"/>
      </w:rPr>
    </w:lvl>
  </w:abstractNum>
  <w:abstractNum w:abstractNumId="13">
    <w:nsid w:val="1CE00D6C"/>
    <w:multiLevelType w:val="singleLevel"/>
    <w:tmpl w:val="1CE00D6C"/>
    <w:lvl w:ilvl="0" w:tentative="0">
      <w:start w:val="1"/>
      <w:numFmt w:val="decimal"/>
      <w:lvlText w:val="%1."/>
      <w:lvlJc w:val="left"/>
      <w:pPr>
        <w:ind w:left="425" w:hanging="425"/>
      </w:pPr>
      <w:rPr>
        <w:rFonts w:hint="default"/>
      </w:rPr>
    </w:lvl>
  </w:abstractNum>
  <w:abstractNum w:abstractNumId="14">
    <w:nsid w:val="253DE531"/>
    <w:multiLevelType w:val="singleLevel"/>
    <w:tmpl w:val="253DE531"/>
    <w:lvl w:ilvl="0" w:tentative="0">
      <w:start w:val="1"/>
      <w:numFmt w:val="decimal"/>
      <w:lvlText w:val="(%1)"/>
      <w:lvlJc w:val="left"/>
      <w:pPr>
        <w:tabs>
          <w:tab w:val="left" w:pos="420"/>
        </w:tabs>
        <w:ind w:left="845" w:hanging="425"/>
      </w:pPr>
      <w:rPr>
        <w:rFonts w:hint="default"/>
      </w:rPr>
    </w:lvl>
  </w:abstractNum>
  <w:abstractNum w:abstractNumId="15">
    <w:nsid w:val="2CA554D1"/>
    <w:multiLevelType w:val="singleLevel"/>
    <w:tmpl w:val="2CA554D1"/>
    <w:lvl w:ilvl="0" w:tentative="0">
      <w:start w:val="1"/>
      <w:numFmt w:val="decimal"/>
      <w:lvlText w:val="%1."/>
      <w:lvlJc w:val="left"/>
      <w:pPr>
        <w:ind w:left="425" w:hanging="425"/>
      </w:pPr>
      <w:rPr>
        <w:rFonts w:hint="default"/>
      </w:rPr>
    </w:lvl>
  </w:abstractNum>
  <w:abstractNum w:abstractNumId="16">
    <w:nsid w:val="59063A32"/>
    <w:multiLevelType w:val="singleLevel"/>
    <w:tmpl w:val="59063A32"/>
    <w:lvl w:ilvl="0" w:tentative="0">
      <w:start w:val="1"/>
      <w:numFmt w:val="decimal"/>
      <w:lvlText w:val="%1."/>
      <w:lvlJc w:val="left"/>
      <w:pPr>
        <w:ind w:left="425" w:hanging="425"/>
      </w:pPr>
      <w:rPr>
        <w:rFonts w:hint="default"/>
      </w:rPr>
    </w:lvl>
  </w:abstractNum>
  <w:abstractNum w:abstractNumId="17">
    <w:nsid w:val="6F777DAF"/>
    <w:multiLevelType w:val="singleLevel"/>
    <w:tmpl w:val="6F777DAF"/>
    <w:lvl w:ilvl="0" w:tentative="0">
      <w:start w:val="1"/>
      <w:numFmt w:val="decimal"/>
      <w:lvlText w:val="(%1)"/>
      <w:lvlJc w:val="left"/>
      <w:pPr>
        <w:tabs>
          <w:tab w:val="left" w:pos="420"/>
        </w:tabs>
        <w:ind w:left="845" w:hanging="425"/>
      </w:pPr>
      <w:rPr>
        <w:rFonts w:hint="default"/>
      </w:rPr>
    </w:lvl>
  </w:abstractNum>
  <w:abstractNum w:abstractNumId="18">
    <w:nsid w:val="71F07891"/>
    <w:multiLevelType w:val="singleLevel"/>
    <w:tmpl w:val="71F07891"/>
    <w:lvl w:ilvl="0" w:tentative="0">
      <w:start w:val="1"/>
      <w:numFmt w:val="decimal"/>
      <w:lvlText w:val="%1."/>
      <w:lvlJc w:val="left"/>
      <w:pPr>
        <w:ind w:left="425" w:hanging="425"/>
      </w:pPr>
      <w:rPr>
        <w:rFonts w:hint="default"/>
      </w:rPr>
    </w:lvl>
  </w:abstractNum>
  <w:num w:numId="1">
    <w:abstractNumId w:val="1"/>
  </w:num>
  <w:num w:numId="2">
    <w:abstractNumId w:val="16"/>
  </w:num>
  <w:num w:numId="3">
    <w:abstractNumId w:val="17"/>
  </w:num>
  <w:num w:numId="4">
    <w:abstractNumId w:val="7"/>
  </w:num>
  <w:num w:numId="5">
    <w:abstractNumId w:val="4"/>
  </w:num>
  <w:num w:numId="6">
    <w:abstractNumId w:val="18"/>
  </w:num>
  <w:num w:numId="7">
    <w:abstractNumId w:val="6"/>
  </w:num>
  <w:num w:numId="8">
    <w:abstractNumId w:val="15"/>
  </w:num>
  <w:num w:numId="9">
    <w:abstractNumId w:val="3"/>
  </w:num>
  <w:num w:numId="10">
    <w:abstractNumId w:val="14"/>
  </w:num>
  <w:num w:numId="11">
    <w:abstractNumId w:val="0"/>
  </w:num>
  <w:num w:numId="12">
    <w:abstractNumId w:val="9"/>
  </w:num>
  <w:num w:numId="13">
    <w:abstractNumId w:val="12"/>
  </w:num>
  <w:num w:numId="14">
    <w:abstractNumId w:val="5"/>
  </w:num>
  <w:num w:numId="15">
    <w:abstractNumId w:val="13"/>
  </w:num>
  <w:num w:numId="16">
    <w:abstractNumId w:val="11"/>
  </w:num>
  <w:num w:numId="17">
    <w:abstractNumId w:val="2"/>
  </w:num>
  <w:num w:numId="18">
    <w:abstractNumId w:val="1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09A5857"/>
    <w:rsid w:val="00FE41A2"/>
    <w:rsid w:val="02105DD0"/>
    <w:rsid w:val="027F790B"/>
    <w:rsid w:val="03E52A26"/>
    <w:rsid w:val="05573D16"/>
    <w:rsid w:val="05C8669A"/>
    <w:rsid w:val="075B5D40"/>
    <w:rsid w:val="08055CAB"/>
    <w:rsid w:val="093B548D"/>
    <w:rsid w:val="09615163"/>
    <w:rsid w:val="099C263F"/>
    <w:rsid w:val="09FD3CA4"/>
    <w:rsid w:val="0ADF27E4"/>
    <w:rsid w:val="0B13248D"/>
    <w:rsid w:val="0B930577"/>
    <w:rsid w:val="0CA84E57"/>
    <w:rsid w:val="0D26294C"/>
    <w:rsid w:val="0D8A5D41"/>
    <w:rsid w:val="0DC14423"/>
    <w:rsid w:val="0E4869E6"/>
    <w:rsid w:val="0EB85EFA"/>
    <w:rsid w:val="0F314E47"/>
    <w:rsid w:val="100912AD"/>
    <w:rsid w:val="104D4694"/>
    <w:rsid w:val="112A43FB"/>
    <w:rsid w:val="114034E2"/>
    <w:rsid w:val="119775A7"/>
    <w:rsid w:val="12D93FBD"/>
    <w:rsid w:val="153F19E1"/>
    <w:rsid w:val="160F7CF5"/>
    <w:rsid w:val="161D2575"/>
    <w:rsid w:val="167A1613"/>
    <w:rsid w:val="16C265E3"/>
    <w:rsid w:val="16EF50A8"/>
    <w:rsid w:val="170C7BDF"/>
    <w:rsid w:val="17C85749"/>
    <w:rsid w:val="197C38F4"/>
    <w:rsid w:val="1A264519"/>
    <w:rsid w:val="1A8A2886"/>
    <w:rsid w:val="1AA40168"/>
    <w:rsid w:val="1AC27A2C"/>
    <w:rsid w:val="1AEB6F83"/>
    <w:rsid w:val="1B8D153C"/>
    <w:rsid w:val="1BAD5FE6"/>
    <w:rsid w:val="1CEC0D90"/>
    <w:rsid w:val="1CFA72C7"/>
    <w:rsid w:val="1D4B17ED"/>
    <w:rsid w:val="1D7B4B8F"/>
    <w:rsid w:val="1DE0740A"/>
    <w:rsid w:val="1E360515"/>
    <w:rsid w:val="1F3A4035"/>
    <w:rsid w:val="209179EB"/>
    <w:rsid w:val="21617F9F"/>
    <w:rsid w:val="22A75E85"/>
    <w:rsid w:val="24255BC8"/>
    <w:rsid w:val="255821DB"/>
    <w:rsid w:val="25626B9F"/>
    <w:rsid w:val="262C093B"/>
    <w:rsid w:val="26747E2C"/>
    <w:rsid w:val="2685203A"/>
    <w:rsid w:val="27363334"/>
    <w:rsid w:val="279B1602"/>
    <w:rsid w:val="28862099"/>
    <w:rsid w:val="294A756A"/>
    <w:rsid w:val="296511D8"/>
    <w:rsid w:val="29D51E44"/>
    <w:rsid w:val="2A0635A2"/>
    <w:rsid w:val="2B0D4EC9"/>
    <w:rsid w:val="2B141C1D"/>
    <w:rsid w:val="2B9C4A12"/>
    <w:rsid w:val="2BC0763F"/>
    <w:rsid w:val="2BFC2B9D"/>
    <w:rsid w:val="2CB9597D"/>
    <w:rsid w:val="2D381E44"/>
    <w:rsid w:val="2E166977"/>
    <w:rsid w:val="2E516CA5"/>
    <w:rsid w:val="2E9D013C"/>
    <w:rsid w:val="2F135073"/>
    <w:rsid w:val="2F4A02C4"/>
    <w:rsid w:val="2FF80E15"/>
    <w:rsid w:val="301D1535"/>
    <w:rsid w:val="32821504"/>
    <w:rsid w:val="32C13470"/>
    <w:rsid w:val="32E60304"/>
    <w:rsid w:val="33896EE1"/>
    <w:rsid w:val="34034EE6"/>
    <w:rsid w:val="35386E11"/>
    <w:rsid w:val="35E60A55"/>
    <w:rsid w:val="366559E4"/>
    <w:rsid w:val="36785717"/>
    <w:rsid w:val="369B7657"/>
    <w:rsid w:val="36F25E64"/>
    <w:rsid w:val="36FA4FFE"/>
    <w:rsid w:val="37BF1626"/>
    <w:rsid w:val="384A559C"/>
    <w:rsid w:val="38BD1B07"/>
    <w:rsid w:val="39431617"/>
    <w:rsid w:val="3A3D6832"/>
    <w:rsid w:val="3B6E533A"/>
    <w:rsid w:val="3C28373B"/>
    <w:rsid w:val="3C634773"/>
    <w:rsid w:val="3D156FFD"/>
    <w:rsid w:val="3D695DB9"/>
    <w:rsid w:val="3E7C0C45"/>
    <w:rsid w:val="3E9D0EC0"/>
    <w:rsid w:val="3EAB0654"/>
    <w:rsid w:val="3EF9316D"/>
    <w:rsid w:val="3F5A203E"/>
    <w:rsid w:val="403A3A3D"/>
    <w:rsid w:val="406376CF"/>
    <w:rsid w:val="40BC4452"/>
    <w:rsid w:val="40F0234E"/>
    <w:rsid w:val="410A1661"/>
    <w:rsid w:val="41566655"/>
    <w:rsid w:val="426B25D4"/>
    <w:rsid w:val="429D0A4E"/>
    <w:rsid w:val="434849E4"/>
    <w:rsid w:val="43A318F9"/>
    <w:rsid w:val="442D371B"/>
    <w:rsid w:val="45A35BE1"/>
    <w:rsid w:val="4613720A"/>
    <w:rsid w:val="461865CE"/>
    <w:rsid w:val="4642189D"/>
    <w:rsid w:val="4649446B"/>
    <w:rsid w:val="46E37EC5"/>
    <w:rsid w:val="471A69C9"/>
    <w:rsid w:val="47432D89"/>
    <w:rsid w:val="47E81FD1"/>
    <w:rsid w:val="4893018E"/>
    <w:rsid w:val="4AA3483E"/>
    <w:rsid w:val="4AC42881"/>
    <w:rsid w:val="4AD45C84"/>
    <w:rsid w:val="4AD909E8"/>
    <w:rsid w:val="4AEE5B50"/>
    <w:rsid w:val="4B644252"/>
    <w:rsid w:val="4C013661"/>
    <w:rsid w:val="4D343593"/>
    <w:rsid w:val="4D3B6DD0"/>
    <w:rsid w:val="4DBF6904"/>
    <w:rsid w:val="4DCA62DD"/>
    <w:rsid w:val="4E21448E"/>
    <w:rsid w:val="4E30022D"/>
    <w:rsid w:val="4ECA2430"/>
    <w:rsid w:val="4F540134"/>
    <w:rsid w:val="50844312"/>
    <w:rsid w:val="53650BBA"/>
    <w:rsid w:val="54B725CE"/>
    <w:rsid w:val="54CD67D6"/>
    <w:rsid w:val="56B714EC"/>
    <w:rsid w:val="570A5ABF"/>
    <w:rsid w:val="57AC16EE"/>
    <w:rsid w:val="57C175EF"/>
    <w:rsid w:val="5859544B"/>
    <w:rsid w:val="58956A46"/>
    <w:rsid w:val="58A40196"/>
    <w:rsid w:val="58C8202C"/>
    <w:rsid w:val="59616226"/>
    <w:rsid w:val="5A086442"/>
    <w:rsid w:val="5A502FE6"/>
    <w:rsid w:val="5AC95C92"/>
    <w:rsid w:val="5ADC59C5"/>
    <w:rsid w:val="5BBB7799"/>
    <w:rsid w:val="5BC619FD"/>
    <w:rsid w:val="5C717B35"/>
    <w:rsid w:val="5D2107A8"/>
    <w:rsid w:val="5DEC7CBE"/>
    <w:rsid w:val="5E133B7E"/>
    <w:rsid w:val="5E2D6537"/>
    <w:rsid w:val="5E3B2A02"/>
    <w:rsid w:val="5E8425FB"/>
    <w:rsid w:val="5EBD318B"/>
    <w:rsid w:val="608C7E04"/>
    <w:rsid w:val="60FF797D"/>
    <w:rsid w:val="6151078F"/>
    <w:rsid w:val="62364D94"/>
    <w:rsid w:val="62442C94"/>
    <w:rsid w:val="62853344"/>
    <w:rsid w:val="628A7A7B"/>
    <w:rsid w:val="63353365"/>
    <w:rsid w:val="637B1AF3"/>
    <w:rsid w:val="6457120A"/>
    <w:rsid w:val="647850A8"/>
    <w:rsid w:val="64F8789F"/>
    <w:rsid w:val="654523B9"/>
    <w:rsid w:val="65585383"/>
    <w:rsid w:val="656211BC"/>
    <w:rsid w:val="657A4758"/>
    <w:rsid w:val="65F22540"/>
    <w:rsid w:val="67931B01"/>
    <w:rsid w:val="67DF1779"/>
    <w:rsid w:val="689A2A1B"/>
    <w:rsid w:val="69250F05"/>
    <w:rsid w:val="69862A24"/>
    <w:rsid w:val="69B61AD7"/>
    <w:rsid w:val="69D9062E"/>
    <w:rsid w:val="6ADC556D"/>
    <w:rsid w:val="6B421874"/>
    <w:rsid w:val="6B6317EA"/>
    <w:rsid w:val="6B6421C7"/>
    <w:rsid w:val="6B947BF6"/>
    <w:rsid w:val="6BCE07B8"/>
    <w:rsid w:val="6BEE7EA8"/>
    <w:rsid w:val="6C7C0DB6"/>
    <w:rsid w:val="6DA615B2"/>
    <w:rsid w:val="6E70494A"/>
    <w:rsid w:val="6F2F65B3"/>
    <w:rsid w:val="711710AD"/>
    <w:rsid w:val="7148395C"/>
    <w:rsid w:val="71D074AE"/>
    <w:rsid w:val="7241463C"/>
    <w:rsid w:val="72895FDA"/>
    <w:rsid w:val="72DC0914"/>
    <w:rsid w:val="73124222"/>
    <w:rsid w:val="7415700F"/>
    <w:rsid w:val="747E1443"/>
    <w:rsid w:val="766B7857"/>
    <w:rsid w:val="7695113D"/>
    <w:rsid w:val="77020109"/>
    <w:rsid w:val="783E7867"/>
    <w:rsid w:val="78CC6D3B"/>
    <w:rsid w:val="78DC469B"/>
    <w:rsid w:val="7A147095"/>
    <w:rsid w:val="7AF366E7"/>
    <w:rsid w:val="7B734B9C"/>
    <w:rsid w:val="7BD84FE7"/>
    <w:rsid w:val="7D1E37CD"/>
    <w:rsid w:val="7DD86C30"/>
    <w:rsid w:val="7E993157"/>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2735</Words>
  <Characters>2946</Characters>
  <Lines>0</Lines>
  <Paragraphs>0</Paragraphs>
  <TotalTime>0</TotalTime>
  <ScaleCrop>false</ScaleCrop>
  <LinksUpToDate>false</LinksUpToDate>
  <CharactersWithSpaces>3038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2025-09-12T03:58:12Z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