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-03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1751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8868"/>
      <w:r>
        <w:rPr>
          <w:rFonts w:hint="eastAsia"/>
          <w:lang w:val="en-US" w:eastAsia="zh-CN"/>
        </w:rPr>
        <w:t>服务报告管理制度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64962E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_Toc17516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3E5EC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_Toc28868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服务报告管理制度</w:t>
          </w:r>
          <w:r>
            <w:tab/>
          </w:r>
          <w:r>
            <w:fldChar w:fldCharType="begin"/>
          </w:r>
          <w:r>
            <w:instrText xml:space="preserve"> PAGEREF _Toc28868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4458E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_Toc28258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E9E2F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_Toc26823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_Toc26823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8634C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_Toc28231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DDF2B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_Toc21615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_Toc21615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137E6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_Toc32750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_Toc32750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EB8FC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_Toc23992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_Toc23992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4A213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_Toc29947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服务报告管理流程</w:t>
          </w:r>
          <w:r>
            <w:tab/>
          </w:r>
          <w:r>
            <w:fldChar w:fldCharType="begin"/>
          </w:r>
          <w:r>
            <w:instrText xml:space="preserve"> PAGEREF _Toc29947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1137A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_Toc26884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过程描述</w:t>
          </w:r>
          <w:r>
            <w:tab/>
          </w:r>
          <w:r>
            <w:fldChar w:fldCharType="begin"/>
          </w:r>
          <w:r>
            <w:instrText xml:space="preserve"> PAGEREF _Toc26884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5F9AEA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_Toc15456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5.1.1. 识别报告要素</w:t>
          </w:r>
          <w:r>
            <w:tab/>
          </w:r>
          <w:r>
            <w:fldChar w:fldCharType="begin"/>
          </w:r>
          <w:r>
            <w:instrText xml:space="preserve"> PAGEREF _Toc15456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615D4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5.1.2. 收集与分析报告数据</w:t>
          </w:r>
          <w:r>
            <w:tab/>
          </w:r>
          <w:r>
            <w:fldChar w:fldCharType="begin"/>
          </w:r>
          <w:r>
            <w:instrText xml:space="preserve"> PAGEREF _Toc23827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66F37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_Toc28440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5.1.3. 编写服务报告</w:t>
          </w:r>
          <w:r>
            <w:tab/>
          </w:r>
          <w:r>
            <w:fldChar w:fldCharType="begin"/>
          </w:r>
          <w:r>
            <w:instrText xml:space="preserve"> PAGEREF _Toc28440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71DC9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5.1.4. 服务报告评审</w:t>
          </w:r>
          <w:r>
            <w:tab/>
          </w:r>
          <w:r>
            <w:fldChar w:fldCharType="begin"/>
          </w:r>
          <w:r>
            <w:instrText xml:space="preserve"> PAGEREF _Toc20322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B34F6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_Toc21351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5.1.5. 提交服务报告</w:t>
          </w:r>
          <w:r>
            <w:tab/>
          </w:r>
          <w:r>
            <w:fldChar w:fldCharType="begin"/>
          </w:r>
          <w:r>
            <w:instrText xml:space="preserve"> PAGEREF _Toc21351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DCF46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_Toc24795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5.1.6. 服务报告归档</w:t>
          </w:r>
          <w:r>
            <w:tab/>
          </w:r>
          <w:r>
            <w:fldChar w:fldCharType="begin"/>
          </w:r>
          <w:r>
            <w:instrText xml:space="preserve"> PAGEREF _Toc24795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3AE5A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_Toc4965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_Toc4965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872140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_Toc13508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_Toc13508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F6CC6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_Toc2211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28258"/>
      <w:r>
        <w:t>目的</w:t>
      </w:r>
      <w:bookmarkEnd w:id="2"/>
    </w:p>
    <w:p w14:paraId="61571914">
      <w:pPr>
        <w:pStyle w:val="29"/>
        <w:bidi w:val="0"/>
        <w:rPr>
          <w:rFonts w:hint="default"/>
          <w:lang w:val="en-US" w:eastAsia="zh-CN"/>
        </w:rPr>
      </w:pPr>
      <w:r>
        <w:t>为了规范运维部在 ITSS 运维服务能力管理体系运转</w:t>
      </w:r>
      <w:r>
        <w:rPr>
          <w:rFonts w:hint="eastAsia"/>
          <w:lang w:eastAsia="zh-CN"/>
        </w:rPr>
        <w:t>制度</w:t>
      </w:r>
      <w:r>
        <w:t>中所产生的相关服务报告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特制定此制度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26823"/>
      <w:r>
        <w:rPr>
          <w:rFonts w:hint="eastAsia"/>
          <w:lang w:val="en-US" w:eastAsia="zh-CN"/>
        </w:rPr>
        <w:t>原则</w:t>
      </w:r>
      <w:bookmarkEnd w:id="3"/>
    </w:p>
    <w:p w14:paraId="7C5F4FC5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真实性原则</w:t>
      </w:r>
    </w:p>
    <w:p w14:paraId="36D377F7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报告数据必须真实、准确、完整，客观反映运维服务的实际情况。</w:t>
      </w:r>
    </w:p>
    <w:p w14:paraId="5B1E8CDF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规范性原则</w:t>
      </w:r>
    </w:p>
    <w:p w14:paraId="57603C05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报告的编制、审核、发布与归档需遵循统一的格式、周期和流程，确保标准化与一致性。</w:t>
      </w:r>
    </w:p>
    <w:p w14:paraId="24B130B4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及时性原则</w:t>
      </w:r>
    </w:p>
    <w:p w14:paraId="5B158A98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报告应按时生成与分发，确保信息的时效性，为管理决策提供有效支撑。</w:t>
      </w:r>
    </w:p>
    <w:p w14:paraId="66B9C396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价值导向原则</w:t>
      </w:r>
    </w:p>
    <w:p w14:paraId="11564456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报告内容应聚焦关键服务指标（KPI）与核心价值，突出重点，便于理解和应用</w:t>
      </w:r>
    </w:p>
    <w:p w14:paraId="70244393">
      <w:pPr>
        <w:pStyle w:val="30"/>
        <w:bidi w:val="0"/>
        <w:rPr>
          <w:rFonts w:hint="default"/>
          <w:lang w:val="en-US" w:eastAsia="zh-CN"/>
        </w:rPr>
      </w:pPr>
      <w:bookmarkStart w:id="4" w:name="_Toc28231"/>
      <w:r>
        <w:rPr>
          <w:rFonts w:hint="eastAsia"/>
          <w:lang w:val="en-US" w:eastAsia="zh-CN"/>
        </w:rPr>
        <w:t>术语定义</w:t>
      </w:r>
      <w:bookmarkEnd w:id="4"/>
    </w:p>
    <w:p w14:paraId="1C42A42F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服务报告</w:t>
      </w:r>
    </w:p>
    <w:p w14:paraId="19D7BB49">
      <w:pPr>
        <w:pStyle w:val="39"/>
        <w:bidi w:val="0"/>
      </w:pPr>
      <w:r>
        <w:t>服务报告有以下几种类型，至少应编写一种报告，涵盖所有报告为优：</w:t>
      </w:r>
    </w:p>
    <w:p w14:paraId="7266BA67">
      <w:pPr>
        <w:pStyle w:val="39"/>
        <w:numPr>
          <w:ilvl w:val="0"/>
          <w:numId w:val="4"/>
        </w:numPr>
        <w:bidi w:val="0"/>
        <w:ind w:left="845" w:leftChars="0" w:hanging="425" w:firstLineChars="0"/>
      </w:pPr>
      <w:r>
        <w:t>反应性报告，即报告已经发生了的客服现状；</w:t>
      </w:r>
    </w:p>
    <w:p w14:paraId="0E90A0A1">
      <w:pPr>
        <w:pStyle w:val="39"/>
        <w:numPr>
          <w:ilvl w:val="0"/>
          <w:numId w:val="4"/>
        </w:numPr>
        <w:bidi w:val="0"/>
        <w:ind w:left="845" w:leftChars="0" w:hanging="425" w:firstLineChars="0"/>
      </w:pPr>
      <w:r>
        <w:t>前置性报告，即对重要事故进行预警， 由此保障可以提前采取预防性措施（如即将发生的违反SLA的行为）；</w:t>
      </w:r>
    </w:p>
    <w:p w14:paraId="3008D79C">
      <w:pPr>
        <w:pStyle w:val="39"/>
        <w:numPr>
          <w:ilvl w:val="0"/>
          <w:numId w:val="4"/>
        </w:numPr>
        <w:bidi w:val="0"/>
        <w:ind w:left="845" w:leftChars="0" w:hanging="425" w:firstLineChars="0"/>
      </w:pPr>
      <w:r>
        <w:t>预先计划报告，即报告计划的活动</w:t>
      </w:r>
    </w:p>
    <w:p w14:paraId="42D027E1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反应性报告</w:t>
      </w:r>
    </w:p>
    <w:p w14:paraId="2216A9A3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与服务等级目标相比较的业绩，如：消耗量报告和成绩；</w:t>
      </w:r>
    </w:p>
    <w:p w14:paraId="420D6573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与标准的不符合及发生的问题，如违反服务级别协议及安全违规；</w:t>
      </w:r>
    </w:p>
    <w:p w14:paraId="03898208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工作量特性和能力信息，如：事故、 问题、变更和任务、分类、地点、顾客、趋势、优先级和服务请求的数量；</w:t>
      </w:r>
    </w:p>
    <w:p w14:paraId="2A338AC6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重大事件后的报告，如：变更和发布；</w:t>
      </w:r>
    </w:p>
    <w:p w14:paraId="6DAA539E">
      <w:pPr>
        <w:pStyle w:val="39"/>
        <w:numPr>
          <w:ilvl w:val="1"/>
          <w:numId w:val="5"/>
        </w:numPr>
        <w:bidi w:val="0"/>
        <w:ind w:left="1260" w:leftChars="0" w:hanging="420" w:firstLineChars="0"/>
      </w:pPr>
      <w:r>
        <w:t>包括每一</w:t>
      </w:r>
      <w:r>
        <w:rPr>
          <w:rFonts w:hint="eastAsia"/>
          <w:lang w:eastAsia="zh-CN"/>
        </w:rPr>
        <w:t>制度</w:t>
      </w:r>
      <w:r>
        <w:t>信息的变更，如：事件的数量、最常问及的问题、资源/成本集中的任务。</w:t>
      </w:r>
    </w:p>
    <w:p w14:paraId="3426921B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前置性报告</w:t>
      </w:r>
    </w:p>
    <w:p w14:paraId="562A991D">
      <w:pPr>
        <w:pStyle w:val="39"/>
        <w:numPr>
          <w:ilvl w:val="0"/>
          <w:numId w:val="6"/>
        </w:numPr>
        <w:bidi w:val="0"/>
        <w:ind w:left="845" w:leftChars="0" w:hanging="425" w:firstLineChars="0"/>
      </w:pPr>
      <w:r>
        <w:t>阶段性的趋势信息（如：天、周、月、阶段）；</w:t>
      </w:r>
    </w:p>
    <w:p w14:paraId="70CF15A9">
      <w:pPr>
        <w:pStyle w:val="39"/>
        <w:numPr>
          <w:ilvl w:val="0"/>
          <w:numId w:val="6"/>
        </w:numPr>
        <w:bidi w:val="0"/>
        <w:ind w:left="845" w:leftChars="0" w:hanging="425" w:firstLineChars="0"/>
      </w:pPr>
      <w:r>
        <w:t>不可靠的基础设施组件。</w:t>
      </w:r>
    </w:p>
    <w:p w14:paraId="31F63B40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预先计划报告</w:t>
      </w:r>
    </w:p>
    <w:p w14:paraId="6EC58FAF">
      <w:pPr>
        <w:pStyle w:val="39"/>
        <w:bidi w:val="0"/>
        <w:rPr>
          <w:rFonts w:hint="default" w:ascii="宋体" w:hAnsi="宋体" w:eastAsia="宋体" w:cs="宋体"/>
          <w:spacing w:val="7"/>
          <w:szCs w:val="20"/>
          <w:lang w:val="en-US" w:eastAsia="zh-CN"/>
        </w:rPr>
      </w:pPr>
      <w:r>
        <w:t>强调未来的计划，包括工作量，变更计划，未来可能发生的事件等。</w:t>
      </w:r>
    </w:p>
    <w:p w14:paraId="6BD52D84">
      <w:pPr>
        <w:pStyle w:val="28"/>
        <w:bidi w:val="0"/>
      </w:pPr>
      <w:bookmarkStart w:id="5" w:name="_Toc21615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48C80455">
      <w:pPr>
        <w:pStyle w:val="29"/>
        <w:bidi w:val="0"/>
      </w:pPr>
      <w:r>
        <w:rPr>
          <w:rFonts w:hint="eastAsia"/>
          <w:lang w:val="en-US" w:eastAsia="zh-CN"/>
        </w:rPr>
        <w:t>适用于</w:t>
      </w:r>
      <w:r>
        <w:t>运维部对ITSS 运维服务能力管理体系各流程所产生的服务报告的管理。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6" w:name="_Toc32750"/>
      <w:r>
        <w:rPr>
          <w:rFonts w:hint="eastAsia"/>
          <w:lang w:val="en-US" w:eastAsia="zh-CN"/>
        </w:rPr>
        <w:t>岗位职责</w:t>
      </w:r>
      <w:bookmarkEnd w:id="6"/>
    </w:p>
    <w:p w14:paraId="20B2B2FA">
      <w:pPr>
        <w:pStyle w:val="30"/>
        <w:bidi w:val="0"/>
        <w:rPr>
          <w:rFonts w:hint="default"/>
          <w:lang w:val="en-US" w:eastAsia="zh-CN"/>
        </w:rPr>
      </w:pPr>
      <w:bookmarkStart w:id="7" w:name="_Toc23992"/>
      <w:r>
        <w:rPr>
          <w:rFonts w:hint="eastAsia"/>
          <w:lang w:val="en-US" w:eastAsia="zh-CN"/>
        </w:rPr>
        <w:t>运维部</w:t>
      </w:r>
      <w:bookmarkEnd w:id="7"/>
    </w:p>
    <w:p w14:paraId="7A129005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负责提供</w:t>
      </w:r>
      <w:r>
        <w:t>运维服务能力体系的所有报告，为服务级别管理流程提供参考</w:t>
      </w:r>
    </w:p>
    <w:p w14:paraId="3D4AC5FD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负责提供</w:t>
      </w:r>
      <w:r>
        <w:t>管理运维服务能力体系的所有报告，为内部审核、管理评审提供参考</w:t>
      </w:r>
    </w:p>
    <w:p w14:paraId="29091953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确保各报告的撰写、审批、发布,按照《服务报告管理</w:t>
      </w:r>
      <w:r>
        <w:rPr>
          <w:rFonts w:hint="eastAsia"/>
          <w:lang w:val="en-US" w:eastAsia="zh-CN"/>
        </w:rPr>
        <w:t>制度</w:t>
      </w:r>
      <w:r>
        <w:t>》的要求去执行</w:t>
      </w:r>
    </w:p>
    <w:p w14:paraId="0E54D581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t>审批报告中出现的重大异常情况</w:t>
      </w:r>
    </w:p>
    <w:p w14:paraId="366DCB96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指导和监督 SLA 的履行情况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8" w:name="_Toc29947"/>
      <w:r>
        <w:rPr>
          <w:rFonts w:hint="eastAsia"/>
          <w:lang w:val="en-US" w:eastAsia="zh-CN"/>
        </w:rPr>
        <w:t>服务报告管理流程</w:t>
      </w:r>
      <w:bookmarkEnd w:id="8"/>
    </w:p>
    <w:p w14:paraId="7918B349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服务报告流程如图5-1所示</w:t>
      </w:r>
    </w:p>
    <w:p w14:paraId="099E2F74">
      <w:pPr>
        <w:pStyle w:val="2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 SEQ 图表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服务报告流程</w:t>
      </w:r>
    </w:p>
    <w:p w14:paraId="621D5622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13.45pt;width:403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66E179E0">
      <w:pPr>
        <w:pStyle w:val="30"/>
        <w:bidi w:val="0"/>
        <w:rPr>
          <w:rFonts w:hint="default"/>
          <w:lang w:val="en-US" w:eastAsia="zh-CN"/>
        </w:rPr>
      </w:pPr>
      <w:bookmarkStart w:id="9" w:name="_Toc26884"/>
      <w:r>
        <w:rPr>
          <w:rFonts w:hint="eastAsia"/>
          <w:lang w:val="en-US" w:eastAsia="zh-CN"/>
        </w:rPr>
        <w:t>过程描述</w:t>
      </w:r>
      <w:bookmarkEnd w:id="9"/>
    </w:p>
    <w:p w14:paraId="3F0CFFAB">
      <w:pPr>
        <w:pStyle w:val="31"/>
        <w:bidi w:val="0"/>
        <w:rPr>
          <w:rFonts w:hint="default"/>
          <w:lang w:val="en-US" w:eastAsia="zh-CN"/>
        </w:rPr>
      </w:pPr>
      <w:bookmarkStart w:id="10" w:name="_Toc15456"/>
      <w:r>
        <w:rPr>
          <w:rFonts w:hint="default"/>
          <w:lang w:val="en-US" w:eastAsia="zh-CN"/>
        </w:rPr>
        <w:t>识别报告要素</w:t>
      </w:r>
      <w:bookmarkEnd w:id="10"/>
    </w:p>
    <w:p w14:paraId="0CE91D8C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运维服务人员</w:t>
      </w:r>
      <w:r>
        <w:rPr>
          <w:rFonts w:hint="default"/>
          <w:lang w:val="en-US" w:eastAsia="zh-CN"/>
        </w:rPr>
        <w:t>应依据服务级别协议（SLA）的要求，明确服务报告中需呈现的关键数据与度量指标。</w:t>
      </w:r>
    </w:p>
    <w:p w14:paraId="3F24C754">
      <w:pPr>
        <w:pStyle w:val="31"/>
        <w:bidi w:val="0"/>
        <w:rPr>
          <w:rFonts w:hint="default"/>
          <w:lang w:val="en-US" w:eastAsia="zh-CN"/>
        </w:rPr>
      </w:pPr>
      <w:bookmarkStart w:id="11" w:name="_Toc23827"/>
      <w:r>
        <w:rPr>
          <w:rFonts w:hint="default"/>
          <w:lang w:val="en-US" w:eastAsia="zh-CN"/>
        </w:rPr>
        <w:t>收集与分析报告数据</w:t>
      </w:r>
      <w:bookmarkEnd w:id="11"/>
    </w:p>
    <w:p w14:paraId="2EDE684B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运维服务人员</w:t>
      </w:r>
      <w:r>
        <w:rPr>
          <w:rFonts w:hint="default"/>
          <w:lang w:val="en-US" w:eastAsia="zh-CN"/>
        </w:rPr>
        <w:t>应及时从各相关服务流程中收集数据与指标，并针对其进行趋势、可用性及持续性等方面的综合分析。</w:t>
      </w:r>
    </w:p>
    <w:p w14:paraId="12B9C6E5">
      <w:pPr>
        <w:pStyle w:val="31"/>
        <w:bidi w:val="0"/>
        <w:rPr>
          <w:rFonts w:hint="default"/>
          <w:lang w:val="en-US" w:eastAsia="zh-CN"/>
        </w:rPr>
      </w:pPr>
      <w:bookmarkStart w:id="12" w:name="_Toc28440"/>
      <w:r>
        <w:rPr>
          <w:rFonts w:hint="default"/>
          <w:lang w:val="en-US" w:eastAsia="zh-CN"/>
        </w:rPr>
        <w:t>编写服务报告</w:t>
      </w:r>
      <w:bookmarkEnd w:id="12"/>
    </w:p>
    <w:p w14:paraId="59E1DDAE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运维服务人员</w:t>
      </w:r>
      <w:r>
        <w:rPr>
          <w:rFonts w:hint="default"/>
          <w:lang w:val="en-US" w:eastAsia="zh-CN"/>
        </w:rPr>
        <w:t>应将分析后的数据，按既定格式与规范编制成《</w:t>
      </w:r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服务报告》。</w:t>
      </w:r>
    </w:p>
    <w:p w14:paraId="27E7B936">
      <w:pPr>
        <w:pStyle w:val="31"/>
        <w:bidi w:val="0"/>
        <w:rPr>
          <w:rFonts w:hint="default"/>
          <w:lang w:val="en-US" w:eastAsia="zh-CN"/>
        </w:rPr>
      </w:pPr>
      <w:bookmarkStart w:id="13" w:name="_Toc20322"/>
      <w:r>
        <w:rPr>
          <w:rFonts w:hint="default"/>
          <w:lang w:val="en-US" w:eastAsia="zh-CN"/>
        </w:rPr>
        <w:t>服务报告评审</w:t>
      </w:r>
      <w:bookmarkEnd w:id="13"/>
    </w:p>
    <w:p w14:paraId="3E4F6F4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</w:t>
      </w:r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服务报告》编制完成后，由</w:t>
      </w:r>
      <w:r>
        <w:rPr>
          <w:rFonts w:hint="eastAsia"/>
          <w:lang w:val="en-US" w:eastAsia="zh-CN"/>
        </w:rPr>
        <w:t>运维服务人员</w:t>
      </w:r>
      <w:r>
        <w:rPr>
          <w:rFonts w:hint="default"/>
          <w:lang w:val="en-US" w:eastAsia="zh-CN"/>
        </w:rPr>
        <w:t>提交至部门经理进行评审；如遇特殊情况，须报请公司主管领导审核。</w:t>
      </w:r>
    </w:p>
    <w:p w14:paraId="54E9F559">
      <w:pPr>
        <w:pStyle w:val="31"/>
        <w:bidi w:val="0"/>
        <w:rPr>
          <w:rFonts w:hint="default"/>
          <w:lang w:val="en-US" w:eastAsia="zh-CN"/>
        </w:rPr>
      </w:pPr>
      <w:bookmarkStart w:id="14" w:name="_Toc21351"/>
      <w:r>
        <w:rPr>
          <w:rFonts w:hint="default"/>
          <w:lang w:val="en-US" w:eastAsia="zh-CN"/>
        </w:rPr>
        <w:t>提交服务报告</w:t>
      </w:r>
      <w:bookmarkEnd w:id="14"/>
    </w:p>
    <w:p w14:paraId="6A834A49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报告经运维部与管理代表批准后，由服务报告负责人提交至主管领导。</w:t>
      </w:r>
    </w:p>
    <w:p w14:paraId="6CFBE2BF">
      <w:pPr>
        <w:pStyle w:val="31"/>
        <w:bidi w:val="0"/>
        <w:rPr>
          <w:rFonts w:hint="default"/>
          <w:lang w:val="en-US" w:eastAsia="zh-CN"/>
        </w:rPr>
      </w:pPr>
      <w:bookmarkStart w:id="15" w:name="_Toc24795"/>
      <w:r>
        <w:rPr>
          <w:rFonts w:hint="default"/>
          <w:lang w:val="en-US" w:eastAsia="zh-CN"/>
        </w:rPr>
        <w:t>服务报告归档</w:t>
      </w:r>
      <w:bookmarkEnd w:id="15"/>
    </w:p>
    <w:p w14:paraId="09EDDB13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</w:t>
      </w:r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服务报告》批准后，应及时归档，以便查阅与审计</w:t>
      </w:r>
    </w:p>
    <w:p w14:paraId="1C19CE4F">
      <w:pPr>
        <w:pStyle w:val="30"/>
        <w:bidi w:val="0"/>
        <w:rPr>
          <w:rFonts w:hint="default"/>
          <w:lang w:val="en-US" w:eastAsia="zh-CN"/>
        </w:rPr>
      </w:pPr>
      <w:bookmarkStart w:id="16" w:name="_Toc27344"/>
      <w:r>
        <w:rPr>
          <w:rFonts w:hint="eastAsia"/>
          <w:lang w:val="en-US" w:eastAsia="zh-CN"/>
        </w:rPr>
        <w:t>考核指标</w:t>
      </w:r>
      <w:bookmarkEnd w:id="16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4076"/>
        <w:gridCol w:w="1254"/>
        <w:gridCol w:w="1459"/>
      </w:tblGrid>
      <w:tr w14:paraId="64614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3" w:type="dxa"/>
          </w:tcPr>
          <w:p w14:paraId="570E8829"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指标度量项</w:t>
            </w:r>
          </w:p>
        </w:tc>
        <w:tc>
          <w:tcPr>
            <w:tcW w:w="4076" w:type="dxa"/>
          </w:tcPr>
          <w:p w14:paraId="36DC3899"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计算公司</w:t>
            </w:r>
          </w:p>
        </w:tc>
        <w:tc>
          <w:tcPr>
            <w:tcW w:w="1254" w:type="dxa"/>
          </w:tcPr>
          <w:p w14:paraId="3B6D449C"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频次</w:t>
            </w:r>
          </w:p>
        </w:tc>
        <w:tc>
          <w:tcPr>
            <w:tcW w:w="1459" w:type="dxa"/>
          </w:tcPr>
          <w:p w14:paraId="7BE0BA8E"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目标值</w:t>
            </w:r>
          </w:p>
        </w:tc>
      </w:tr>
      <w:tr w14:paraId="68C4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733" w:type="dxa"/>
            <w:shd w:val="clear" w:color="auto" w:fill="auto"/>
            <w:vAlign w:val="top"/>
          </w:tcPr>
          <w:p w14:paraId="395C77A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服务报告按时交付率</w:t>
            </w:r>
          </w:p>
        </w:tc>
        <w:tc>
          <w:tcPr>
            <w:tcW w:w="4076" w:type="dxa"/>
            <w:shd w:val="clear" w:color="auto" w:fill="auto"/>
            <w:vAlign w:val="top"/>
          </w:tcPr>
          <w:p w14:paraId="27347DB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服务报告按时交付数/服务报告总数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rFonts w:hint="eastAsia"/>
              </w:rPr>
              <w:t>100%</w:t>
            </w:r>
          </w:p>
        </w:tc>
        <w:tc>
          <w:tcPr>
            <w:tcW w:w="1254" w:type="dxa"/>
            <w:shd w:val="clear" w:color="auto" w:fill="auto"/>
            <w:vAlign w:val="top"/>
          </w:tcPr>
          <w:p w14:paraId="2E961F6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每季度</w:t>
            </w:r>
          </w:p>
        </w:tc>
        <w:tc>
          <w:tcPr>
            <w:tcW w:w="1459" w:type="dxa"/>
            <w:shd w:val="clear" w:color="auto" w:fill="auto"/>
            <w:vAlign w:val="top"/>
          </w:tcPr>
          <w:p w14:paraId="6A5D655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100%</w:t>
            </w:r>
          </w:p>
        </w:tc>
      </w:tr>
      <w:tr w14:paraId="41CF5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0" w:type="auto"/>
            <w:shd w:val="clear" w:color="auto" w:fill="auto"/>
            <w:vAlign w:val="top"/>
          </w:tcPr>
          <w:p w14:paraId="3329D6D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服务报告审核率</w:t>
            </w:r>
          </w:p>
        </w:tc>
        <w:tc>
          <w:tcPr>
            <w:tcW w:w="4076" w:type="dxa"/>
            <w:shd w:val="clear" w:color="auto" w:fill="auto"/>
            <w:vAlign w:val="top"/>
          </w:tcPr>
          <w:p w14:paraId="670FB52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服务发布前按程序审核数/服务报告总数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rFonts w:hint="eastAsia"/>
              </w:rPr>
              <w:t>100%</w:t>
            </w:r>
          </w:p>
        </w:tc>
        <w:tc>
          <w:tcPr>
            <w:tcW w:w="1254" w:type="dxa"/>
            <w:shd w:val="clear" w:color="auto" w:fill="auto"/>
            <w:vAlign w:val="top"/>
          </w:tcPr>
          <w:p w14:paraId="5FAE193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每季度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2AC9B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100%</w:t>
            </w:r>
          </w:p>
        </w:tc>
      </w:tr>
    </w:tbl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7" w:name="bookmark3"/>
      <w:bookmarkEnd w:id="17"/>
      <w:bookmarkStart w:id="18" w:name="_Toc17424"/>
      <w:bookmarkStart w:id="19" w:name="_Toc4965"/>
      <w:bookmarkStart w:id="23" w:name="_GoBack"/>
      <w:bookmarkEnd w:id="23"/>
      <w:r>
        <w:rPr>
          <w:rStyle w:val="38"/>
          <w:rFonts w:hint="eastAsia" w:eastAsia="宋体"/>
          <w:lang w:val="en-US" w:eastAsia="zh-CN"/>
        </w:rPr>
        <w:t>附则</w:t>
      </w:r>
      <w:bookmarkEnd w:id="18"/>
      <w:bookmarkEnd w:id="19"/>
    </w:p>
    <w:p w14:paraId="17535BAC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20" w:name="bookmark14"/>
      <w:bookmarkEnd w:id="20"/>
      <w:bookmarkStart w:id="21" w:name="_Toc13508"/>
      <w:r>
        <w:rPr>
          <w:rFonts w:hint="eastAsia"/>
          <w:lang w:val="en-US" w:eastAsia="zh-CN"/>
        </w:rPr>
        <w:t>附件</w:t>
      </w:r>
      <w:bookmarkEnd w:id="21"/>
    </w:p>
    <w:p w14:paraId="4D924EA1">
      <w:pPr>
        <w:pStyle w:val="39"/>
        <w:bidi w:val="0"/>
      </w:pPr>
      <w:r>
        <w:t>《事件管理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2EAB3755">
      <w:pPr>
        <w:pStyle w:val="39"/>
        <w:bidi w:val="0"/>
      </w:pPr>
      <w:r>
        <w:t>《问题管理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65A82216">
      <w:pPr>
        <w:pStyle w:val="39"/>
        <w:bidi w:val="0"/>
      </w:pPr>
      <w:r>
        <w:t>《变更管理</w:t>
      </w:r>
      <w:r>
        <w:rPr>
          <w:rFonts w:hint="eastAsia"/>
          <w:lang w:eastAsia="zh-CN"/>
        </w:rPr>
        <w:t>制度</w:t>
      </w:r>
      <w:r>
        <w:t>》</w:t>
      </w:r>
    </w:p>
    <w:p w14:paraId="228C7A23">
      <w:pPr>
        <w:pStyle w:val="39"/>
        <w:bidi w:val="0"/>
      </w:pPr>
      <w:r>
        <w:t>《发布管理</w:t>
      </w:r>
      <w:r>
        <w:rPr>
          <w:rFonts w:hint="eastAsia"/>
          <w:lang w:eastAsia="zh-CN"/>
        </w:rPr>
        <w:t>制度</w:t>
      </w:r>
      <w:r>
        <w:t>》</w:t>
      </w:r>
    </w:p>
    <w:p w14:paraId="3EB4ED78">
      <w:pPr>
        <w:pStyle w:val="39"/>
        <w:bidi w:val="0"/>
      </w:pPr>
      <w:r>
        <w:t>《配置管理</w:t>
      </w:r>
      <w:r>
        <w:rPr>
          <w:rFonts w:hint="eastAsia"/>
          <w:lang w:eastAsia="zh-CN"/>
        </w:rPr>
        <w:t>制度</w:t>
      </w:r>
      <w:r>
        <w:t>》</w:t>
      </w:r>
    </w:p>
    <w:p w14:paraId="021E636A">
      <w:pPr>
        <w:pStyle w:val="39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服务可用性和连续性管理制度</w:t>
      </w:r>
      <w:r>
        <w:rPr>
          <w:rFonts w:hint="eastAsia"/>
          <w:lang w:eastAsia="zh-CN"/>
        </w:rPr>
        <w:t>》</w:t>
      </w:r>
    </w:p>
    <w:p w14:paraId="60C0105E">
      <w:pPr>
        <w:pStyle w:val="39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容量管理制度</w:t>
      </w:r>
      <w:r>
        <w:rPr>
          <w:rFonts w:hint="eastAsia"/>
          <w:lang w:eastAsia="zh-CN"/>
        </w:rPr>
        <w:t>》</w:t>
      </w:r>
    </w:p>
    <w:p w14:paraId="09A941C5">
      <w:pPr>
        <w:pStyle w:val="39"/>
        <w:bidi w:val="0"/>
      </w:pPr>
      <w:r>
        <w:t>《信息安全管理</w:t>
      </w:r>
      <w:r>
        <w:rPr>
          <w:rFonts w:hint="eastAsia"/>
          <w:lang w:eastAsia="zh-CN"/>
        </w:rPr>
        <w:t>制度</w:t>
      </w:r>
      <w:r>
        <w:t>》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22" w:name="_Toc2211"/>
      <w:r>
        <w:rPr>
          <w:rFonts w:hint="eastAsia"/>
          <w:lang w:val="en-US" w:eastAsia="zh-CN"/>
        </w:rPr>
        <w:t>记录</w:t>
      </w:r>
      <w:bookmarkEnd w:id="22"/>
    </w:p>
    <w:p w14:paraId="64A6D740">
      <w:pPr>
        <w:pStyle w:val="39"/>
        <w:bidi w:val="0"/>
      </w:pPr>
      <w:r>
        <w:t>《服务级别</w:t>
      </w:r>
      <w:r>
        <w:rPr>
          <w:rFonts w:hint="eastAsia"/>
          <w:lang w:val="en-US" w:eastAsia="zh-CN"/>
        </w:rPr>
        <w:t>管理制度</w:t>
      </w:r>
      <w:r>
        <w:t>》</w:t>
      </w:r>
    </w:p>
    <w:p w14:paraId="5E2EC085">
      <w:pPr>
        <w:pStyle w:val="39"/>
        <w:bidi w:val="0"/>
        <w:rPr>
          <w:rFonts w:hint="eastAsia"/>
          <w:lang w:val="en-US" w:eastAsia="zh-CN"/>
        </w:rPr>
      </w:pPr>
      <w:r>
        <w:t>《服务报告》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9E3D769"/>
    <w:multiLevelType w:val="singleLevel"/>
    <w:tmpl w:val="A9E3D769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7BEB97D"/>
    <w:multiLevelType w:val="singleLevel"/>
    <w:tmpl w:val="17BEB97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2F91922A"/>
    <w:multiLevelType w:val="singleLevel"/>
    <w:tmpl w:val="2F9192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3039D79"/>
    <w:multiLevelType w:val="singleLevel"/>
    <w:tmpl w:val="43039D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BC57681"/>
    <w:multiLevelType w:val="multilevel"/>
    <w:tmpl w:val="5BC5768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7">
    <w:nsid w:val="6B8D972C"/>
    <w:multiLevelType w:val="singleLevel"/>
    <w:tmpl w:val="6B8D97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2771AC5"/>
    <w:rsid w:val="05573D16"/>
    <w:rsid w:val="05C8669A"/>
    <w:rsid w:val="08055CAB"/>
    <w:rsid w:val="085409E1"/>
    <w:rsid w:val="09615163"/>
    <w:rsid w:val="09E47DB1"/>
    <w:rsid w:val="0A80786B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2011292"/>
    <w:rsid w:val="12512EB9"/>
    <w:rsid w:val="150B4838"/>
    <w:rsid w:val="160F7CF5"/>
    <w:rsid w:val="167A1613"/>
    <w:rsid w:val="16C265E3"/>
    <w:rsid w:val="170C7BDF"/>
    <w:rsid w:val="17CE174A"/>
    <w:rsid w:val="1A264519"/>
    <w:rsid w:val="1AC27A2C"/>
    <w:rsid w:val="1B8D153C"/>
    <w:rsid w:val="1CFA72C7"/>
    <w:rsid w:val="1D7B4B8F"/>
    <w:rsid w:val="1E360515"/>
    <w:rsid w:val="1F7C0E98"/>
    <w:rsid w:val="1F9E024E"/>
    <w:rsid w:val="1FEB532F"/>
    <w:rsid w:val="209179EB"/>
    <w:rsid w:val="21617F9F"/>
    <w:rsid w:val="25626B9F"/>
    <w:rsid w:val="262C093B"/>
    <w:rsid w:val="26747E2C"/>
    <w:rsid w:val="27363334"/>
    <w:rsid w:val="279B1602"/>
    <w:rsid w:val="27AB4887"/>
    <w:rsid w:val="28862099"/>
    <w:rsid w:val="296511D8"/>
    <w:rsid w:val="2A0635A2"/>
    <w:rsid w:val="2AA16A48"/>
    <w:rsid w:val="2B141C1D"/>
    <w:rsid w:val="2B9C4A12"/>
    <w:rsid w:val="2BC0763F"/>
    <w:rsid w:val="2C204780"/>
    <w:rsid w:val="2C8114F5"/>
    <w:rsid w:val="2D381E44"/>
    <w:rsid w:val="2E516CA5"/>
    <w:rsid w:val="2E9D013C"/>
    <w:rsid w:val="2F135073"/>
    <w:rsid w:val="2F4A02C4"/>
    <w:rsid w:val="2FF80E15"/>
    <w:rsid w:val="30045885"/>
    <w:rsid w:val="301D1535"/>
    <w:rsid w:val="30B20B79"/>
    <w:rsid w:val="3106021B"/>
    <w:rsid w:val="32C13470"/>
    <w:rsid w:val="33896EE1"/>
    <w:rsid w:val="34034EE6"/>
    <w:rsid w:val="34AF0843"/>
    <w:rsid w:val="366559E4"/>
    <w:rsid w:val="36785717"/>
    <w:rsid w:val="36F25E64"/>
    <w:rsid w:val="36FA4FFE"/>
    <w:rsid w:val="37826121"/>
    <w:rsid w:val="37BF1626"/>
    <w:rsid w:val="384A559C"/>
    <w:rsid w:val="39431617"/>
    <w:rsid w:val="397B72AE"/>
    <w:rsid w:val="3A3D6832"/>
    <w:rsid w:val="3B6E533A"/>
    <w:rsid w:val="3C28373B"/>
    <w:rsid w:val="3C634773"/>
    <w:rsid w:val="3D156FFD"/>
    <w:rsid w:val="3D695DB9"/>
    <w:rsid w:val="3E522CF1"/>
    <w:rsid w:val="3E7C0C45"/>
    <w:rsid w:val="3EAB0654"/>
    <w:rsid w:val="3F5A203E"/>
    <w:rsid w:val="40CA1CDF"/>
    <w:rsid w:val="410A1661"/>
    <w:rsid w:val="41566655"/>
    <w:rsid w:val="426B25D4"/>
    <w:rsid w:val="429D0A4E"/>
    <w:rsid w:val="43A318F9"/>
    <w:rsid w:val="43CA7F23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B6F6DF7"/>
    <w:rsid w:val="4C013661"/>
    <w:rsid w:val="4D343593"/>
    <w:rsid w:val="4D362A4A"/>
    <w:rsid w:val="4ECA2430"/>
    <w:rsid w:val="4F540134"/>
    <w:rsid w:val="509E5922"/>
    <w:rsid w:val="54B725CE"/>
    <w:rsid w:val="54CD67D6"/>
    <w:rsid w:val="57AC16EE"/>
    <w:rsid w:val="57B40121"/>
    <w:rsid w:val="5859544B"/>
    <w:rsid w:val="58956A46"/>
    <w:rsid w:val="58C8202C"/>
    <w:rsid w:val="5ADC59C5"/>
    <w:rsid w:val="5B816102"/>
    <w:rsid w:val="5BA00737"/>
    <w:rsid w:val="5BBB7799"/>
    <w:rsid w:val="5BBE2B44"/>
    <w:rsid w:val="5BC619FD"/>
    <w:rsid w:val="5C717B35"/>
    <w:rsid w:val="5E133B7E"/>
    <w:rsid w:val="5E3B2A02"/>
    <w:rsid w:val="5E8425FB"/>
    <w:rsid w:val="60815573"/>
    <w:rsid w:val="608C7E04"/>
    <w:rsid w:val="60FF797D"/>
    <w:rsid w:val="62364D94"/>
    <w:rsid w:val="62853344"/>
    <w:rsid w:val="6318361B"/>
    <w:rsid w:val="636E10D4"/>
    <w:rsid w:val="637B1AF3"/>
    <w:rsid w:val="6457120A"/>
    <w:rsid w:val="65AB4911"/>
    <w:rsid w:val="65F22540"/>
    <w:rsid w:val="663366B5"/>
    <w:rsid w:val="67931B01"/>
    <w:rsid w:val="689A2A1B"/>
    <w:rsid w:val="69862A24"/>
    <w:rsid w:val="69B61AD7"/>
    <w:rsid w:val="69D9062E"/>
    <w:rsid w:val="6A161774"/>
    <w:rsid w:val="6A184540"/>
    <w:rsid w:val="6ADC556D"/>
    <w:rsid w:val="6B6421C7"/>
    <w:rsid w:val="6B947BF6"/>
    <w:rsid w:val="6BCE07B8"/>
    <w:rsid w:val="6C7C0DB6"/>
    <w:rsid w:val="6D156B14"/>
    <w:rsid w:val="6D284C26"/>
    <w:rsid w:val="6DA615B2"/>
    <w:rsid w:val="6F7C731F"/>
    <w:rsid w:val="6F871F4B"/>
    <w:rsid w:val="711710AD"/>
    <w:rsid w:val="7148395C"/>
    <w:rsid w:val="71D074AE"/>
    <w:rsid w:val="72895FDA"/>
    <w:rsid w:val="72DC0914"/>
    <w:rsid w:val="747E1443"/>
    <w:rsid w:val="7695113D"/>
    <w:rsid w:val="77020109"/>
    <w:rsid w:val="78CC6D3B"/>
    <w:rsid w:val="78DC469B"/>
    <w:rsid w:val="792E3438"/>
    <w:rsid w:val="7A147095"/>
    <w:rsid w:val="7AF366E7"/>
    <w:rsid w:val="7B734B9C"/>
    <w:rsid w:val="7C9277F1"/>
    <w:rsid w:val="7D1E37CD"/>
    <w:rsid w:val="7D2669FF"/>
    <w:rsid w:val="7DD86C30"/>
    <w:rsid w:val="7E067265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1392</Words>
  <Characters>1514</Characters>
  <Lines>0</Lines>
  <Paragraphs>0</Paragraphs>
  <TotalTime>1</TotalTime>
  <ScaleCrop>false</ScaleCrop>
  <LinksUpToDate>false</LinksUpToDate>
  <CharactersWithSpaces>1596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2025-09-12T04:05:59Z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