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185CB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7FECF2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7D60C2E">
      <w:pPr>
        <w:pStyle w:val="24"/>
        <w:bidi w:val="0"/>
      </w:pPr>
      <w:bookmarkStart w:id="0" w:name="_Toc2610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B02289A">
      <w:pPr>
        <w:pStyle w:val="25"/>
        <w:bidi w:val="0"/>
        <w:rPr>
          <w:rFonts w:hint="default"/>
          <w:lang w:val="en-US"/>
        </w:rPr>
      </w:pPr>
      <w:bookmarkStart w:id="1" w:name="_Toc5543"/>
      <w:r>
        <w:rPr>
          <w:rFonts w:hint="eastAsia"/>
          <w:lang w:val="en-US" w:eastAsia="zh-CN"/>
        </w:rPr>
        <w:t>服务报告管理制度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AF31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7C6643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043CF392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6015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704881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5BA8B6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1AB8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E7F405B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69FA2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6C2033C">
      <w:r>
        <w:br w:type="page"/>
      </w:r>
    </w:p>
    <w:p w14:paraId="58359967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AC1C0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C0C971C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3E5FF0B3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7FA510E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27249DC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02DBC9D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5775A43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6919C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AACDD08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20901F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4914362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1573BA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06B7125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ED021F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3C8D5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2FDB23">
            <w:pPr>
              <w:pStyle w:val="27"/>
            </w:pPr>
          </w:p>
        </w:tc>
        <w:tc>
          <w:tcPr>
            <w:tcW w:w="919" w:type="dxa"/>
          </w:tcPr>
          <w:p w14:paraId="5AB05C9E">
            <w:pPr>
              <w:pStyle w:val="27"/>
            </w:pPr>
          </w:p>
        </w:tc>
        <w:tc>
          <w:tcPr>
            <w:tcW w:w="2289" w:type="dxa"/>
          </w:tcPr>
          <w:p w14:paraId="1BBE017C">
            <w:pPr>
              <w:pStyle w:val="27"/>
            </w:pPr>
          </w:p>
        </w:tc>
        <w:tc>
          <w:tcPr>
            <w:tcW w:w="1148" w:type="dxa"/>
          </w:tcPr>
          <w:p w14:paraId="385ADE8A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B1FC1EF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1FB2FC9C">
            <w:pPr>
              <w:pStyle w:val="27"/>
            </w:pPr>
          </w:p>
        </w:tc>
      </w:tr>
      <w:tr w14:paraId="00DD66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F6A2F0">
            <w:pPr>
              <w:pStyle w:val="27"/>
            </w:pPr>
          </w:p>
        </w:tc>
        <w:tc>
          <w:tcPr>
            <w:tcW w:w="919" w:type="dxa"/>
          </w:tcPr>
          <w:p w14:paraId="456D3340">
            <w:pPr>
              <w:pStyle w:val="27"/>
            </w:pPr>
          </w:p>
        </w:tc>
        <w:tc>
          <w:tcPr>
            <w:tcW w:w="2289" w:type="dxa"/>
          </w:tcPr>
          <w:p w14:paraId="470DF57A">
            <w:pPr>
              <w:pStyle w:val="27"/>
            </w:pPr>
          </w:p>
        </w:tc>
        <w:tc>
          <w:tcPr>
            <w:tcW w:w="1148" w:type="dxa"/>
          </w:tcPr>
          <w:p w14:paraId="0ECF39AE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E260FB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2498D20">
            <w:pPr>
              <w:pStyle w:val="27"/>
            </w:pPr>
          </w:p>
        </w:tc>
      </w:tr>
      <w:tr w14:paraId="28E639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0AFE82B">
            <w:pPr>
              <w:pStyle w:val="27"/>
            </w:pPr>
          </w:p>
        </w:tc>
        <w:tc>
          <w:tcPr>
            <w:tcW w:w="919" w:type="dxa"/>
          </w:tcPr>
          <w:p w14:paraId="57903E58">
            <w:pPr>
              <w:pStyle w:val="27"/>
            </w:pPr>
          </w:p>
        </w:tc>
        <w:tc>
          <w:tcPr>
            <w:tcW w:w="2289" w:type="dxa"/>
          </w:tcPr>
          <w:p w14:paraId="4EB6E2A4">
            <w:pPr>
              <w:pStyle w:val="27"/>
            </w:pPr>
          </w:p>
        </w:tc>
        <w:tc>
          <w:tcPr>
            <w:tcW w:w="1148" w:type="dxa"/>
          </w:tcPr>
          <w:p w14:paraId="22252A90">
            <w:pPr>
              <w:pStyle w:val="27"/>
            </w:pPr>
          </w:p>
        </w:tc>
        <w:tc>
          <w:tcPr>
            <w:tcW w:w="1150" w:type="dxa"/>
          </w:tcPr>
          <w:p w14:paraId="43A2E7EC">
            <w:pPr>
              <w:pStyle w:val="27"/>
            </w:pPr>
          </w:p>
        </w:tc>
        <w:tc>
          <w:tcPr>
            <w:tcW w:w="1240" w:type="dxa"/>
          </w:tcPr>
          <w:p w14:paraId="77414670">
            <w:pPr>
              <w:pStyle w:val="27"/>
            </w:pPr>
          </w:p>
        </w:tc>
      </w:tr>
      <w:tr w14:paraId="1B2C67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B3CA630">
            <w:pPr>
              <w:pStyle w:val="27"/>
            </w:pPr>
          </w:p>
        </w:tc>
        <w:tc>
          <w:tcPr>
            <w:tcW w:w="919" w:type="dxa"/>
          </w:tcPr>
          <w:p w14:paraId="5325BA62">
            <w:pPr>
              <w:pStyle w:val="27"/>
            </w:pPr>
          </w:p>
        </w:tc>
        <w:tc>
          <w:tcPr>
            <w:tcW w:w="2289" w:type="dxa"/>
          </w:tcPr>
          <w:p w14:paraId="010CB4D0">
            <w:pPr>
              <w:pStyle w:val="27"/>
            </w:pPr>
          </w:p>
        </w:tc>
        <w:tc>
          <w:tcPr>
            <w:tcW w:w="1148" w:type="dxa"/>
          </w:tcPr>
          <w:p w14:paraId="66F55E89">
            <w:pPr>
              <w:pStyle w:val="27"/>
            </w:pPr>
          </w:p>
        </w:tc>
        <w:tc>
          <w:tcPr>
            <w:tcW w:w="1150" w:type="dxa"/>
          </w:tcPr>
          <w:p w14:paraId="4AA739CA">
            <w:pPr>
              <w:pStyle w:val="27"/>
            </w:pPr>
          </w:p>
        </w:tc>
        <w:tc>
          <w:tcPr>
            <w:tcW w:w="1240" w:type="dxa"/>
          </w:tcPr>
          <w:p w14:paraId="66C5FC50">
            <w:pPr>
              <w:pStyle w:val="27"/>
            </w:pPr>
          </w:p>
        </w:tc>
      </w:tr>
      <w:tr w14:paraId="7D2622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FD3EB51">
            <w:pPr>
              <w:pStyle w:val="27"/>
            </w:pPr>
          </w:p>
        </w:tc>
        <w:tc>
          <w:tcPr>
            <w:tcW w:w="919" w:type="dxa"/>
          </w:tcPr>
          <w:p w14:paraId="36D65B81">
            <w:pPr>
              <w:pStyle w:val="27"/>
            </w:pPr>
          </w:p>
        </w:tc>
        <w:tc>
          <w:tcPr>
            <w:tcW w:w="2289" w:type="dxa"/>
          </w:tcPr>
          <w:p w14:paraId="5D78B271">
            <w:pPr>
              <w:pStyle w:val="27"/>
            </w:pPr>
          </w:p>
        </w:tc>
        <w:tc>
          <w:tcPr>
            <w:tcW w:w="1148" w:type="dxa"/>
          </w:tcPr>
          <w:p w14:paraId="48ADFC31">
            <w:pPr>
              <w:pStyle w:val="27"/>
            </w:pPr>
          </w:p>
        </w:tc>
        <w:tc>
          <w:tcPr>
            <w:tcW w:w="1150" w:type="dxa"/>
          </w:tcPr>
          <w:p w14:paraId="427AC501">
            <w:pPr>
              <w:pStyle w:val="27"/>
            </w:pPr>
          </w:p>
        </w:tc>
        <w:tc>
          <w:tcPr>
            <w:tcW w:w="1240" w:type="dxa"/>
          </w:tcPr>
          <w:p w14:paraId="08C657C7">
            <w:pPr>
              <w:pStyle w:val="27"/>
            </w:pPr>
          </w:p>
        </w:tc>
      </w:tr>
    </w:tbl>
    <w:p w14:paraId="18B120C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6F98D4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D856A0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_Toc26100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7D948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服务报告管理制度</w:t>
          </w:r>
          <w:r>
            <w:tab/>
          </w:r>
          <w:r>
            <w:fldChar w:fldCharType="begin"/>
          </w:r>
          <w:r>
            <w:instrText xml:space="preserve"> PAGEREF _Toc5543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4C49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_Toc27305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E1F20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_Toc7423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53E1E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_Toc6359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2A378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_Toc14326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_Toc14326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35539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AF3A1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_Toc22232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35D31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_Toc5130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服务报告管理流程</w:t>
          </w:r>
          <w:r>
            <w:tab/>
          </w:r>
          <w:r>
            <w:fldChar w:fldCharType="begin"/>
          </w:r>
          <w:r>
            <w:instrText xml:space="preserve"> PAGEREF _Toc5130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60A0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过程描述</w:t>
          </w:r>
          <w:r>
            <w:tab/>
          </w:r>
          <w:r>
            <w:fldChar w:fldCharType="begin"/>
          </w:r>
          <w:r>
            <w:instrText xml:space="preserve"> PAGEREF _Toc27486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E146C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识别报告要素</w:t>
          </w:r>
          <w:r>
            <w:tab/>
          </w:r>
          <w:r>
            <w:fldChar w:fldCharType="begin"/>
          </w:r>
          <w:r>
            <w:instrText xml:space="preserve"> PAGEREF _Toc6679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8FD0D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收集与分析报告数据</w:t>
          </w:r>
          <w:r>
            <w:tab/>
          </w:r>
          <w:r>
            <w:fldChar w:fldCharType="begin"/>
          </w:r>
          <w:r>
            <w:instrText xml:space="preserve"> PAGEREF _Toc2946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CB167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编写服务报告</w:t>
          </w:r>
          <w:r>
            <w:tab/>
          </w:r>
          <w:r>
            <w:fldChar w:fldCharType="begin"/>
          </w:r>
          <w:r>
            <w:instrText xml:space="preserve"> PAGEREF _Toc11117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DA64D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服务报告评审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AEE84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_Toc12300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提交服务报告</w:t>
          </w:r>
          <w:r>
            <w:tab/>
          </w:r>
          <w:r>
            <w:fldChar w:fldCharType="begin"/>
          </w:r>
          <w:r>
            <w:instrText xml:space="preserve"> PAGEREF _Toc12300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E0324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_Toc8265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服务报告归档</w:t>
          </w:r>
          <w:r>
            <w:tab/>
          </w:r>
          <w:r>
            <w:fldChar w:fldCharType="begin"/>
          </w:r>
          <w:r>
            <w:instrText xml:space="preserve"> PAGEREF _Toc8265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70ABF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_Toc29034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60E76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_Toc28846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3D78B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_Toc21084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80086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_Toc10387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2048F6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5BEFE971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1C19DA5">
      <w:pPr>
        <w:pStyle w:val="28"/>
        <w:bidi w:val="0"/>
      </w:pPr>
      <w:bookmarkStart w:id="2" w:name="_Toc27305"/>
      <w:r>
        <w:t>目的</w:t>
      </w:r>
      <w:bookmarkEnd w:id="2"/>
    </w:p>
    <w:p w14:paraId="2A25E8DB">
      <w:pPr>
        <w:pStyle w:val="29"/>
        <w:bidi w:val="0"/>
        <w:rPr>
          <w:rFonts w:hint="default"/>
          <w:lang w:val="en-US" w:eastAsia="zh-CN"/>
        </w:rPr>
      </w:pPr>
      <w:r>
        <w:t>为了规范运维部在ITSS运维服务能力管理体系运转</w:t>
      </w:r>
      <w:r>
        <w:rPr>
          <w:rFonts w:hint="eastAsia"/>
          <w:lang w:eastAsia="zh-CN"/>
        </w:rPr>
        <w:t>制度</w:t>
      </w:r>
      <w:r>
        <w:t>中所产生的相关服务报告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</w:p>
    <w:p w14:paraId="4B7ACD45">
      <w:pPr>
        <w:pStyle w:val="28"/>
        <w:bidi w:val="0"/>
        <w:rPr>
          <w:rFonts w:hint="eastAsia"/>
          <w:lang w:val="en-US" w:eastAsia="zh-CN"/>
        </w:rPr>
      </w:pPr>
      <w:bookmarkStart w:id="3" w:name="_Toc7423"/>
      <w:r>
        <w:rPr>
          <w:rFonts w:hint="eastAsia"/>
          <w:lang w:val="en-US" w:eastAsia="zh-CN"/>
        </w:rPr>
        <w:t>原则</w:t>
      </w:r>
      <w:bookmarkEnd w:id="3"/>
    </w:p>
    <w:p w14:paraId="67B6C797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真实性原则</w:t>
      </w:r>
    </w:p>
    <w:p w14:paraId="79528216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报告数据必须真实、准确、完整，客观反映运维服务的实际情况。</w:t>
      </w:r>
    </w:p>
    <w:p w14:paraId="610C388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规范性原则</w:t>
      </w:r>
    </w:p>
    <w:p w14:paraId="1375D3D3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报告的编制、审核、发布与归档需遵循统一的格式、周期和流程，确保标准化与一致性。</w:t>
      </w:r>
    </w:p>
    <w:p w14:paraId="33821D91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及时性原则</w:t>
      </w:r>
    </w:p>
    <w:p w14:paraId="6E0F1845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报告应按时生成与分发，确保信息的时效性，为管理决策提供有效支撑。</w:t>
      </w:r>
    </w:p>
    <w:p w14:paraId="0F4A1460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价值导向原则</w:t>
      </w:r>
    </w:p>
    <w:p w14:paraId="30DDDA6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报告内容应聚焦关键服务指标（KPI）与核心价值，突出重点，便于理解和应用</w:t>
      </w:r>
    </w:p>
    <w:p w14:paraId="798D9F58">
      <w:pPr>
        <w:pStyle w:val="30"/>
        <w:bidi w:val="0"/>
        <w:rPr>
          <w:rFonts w:hint="default"/>
          <w:lang w:val="en-US" w:eastAsia="zh-CN"/>
        </w:rPr>
      </w:pPr>
      <w:bookmarkStart w:id="4" w:name="_Toc6359"/>
      <w:r>
        <w:rPr>
          <w:rFonts w:hint="eastAsia"/>
          <w:lang w:val="en-US" w:eastAsia="zh-CN"/>
        </w:rPr>
        <w:t>术语定义</w:t>
      </w:r>
      <w:bookmarkEnd w:id="4"/>
    </w:p>
    <w:p w14:paraId="2B8B50D5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服务报告</w:t>
      </w:r>
    </w:p>
    <w:p w14:paraId="69910C31">
      <w:pPr>
        <w:pStyle w:val="39"/>
        <w:bidi w:val="0"/>
      </w:pPr>
      <w:r>
        <w:t>服务报告有以下几种类型，至少应编写一种报告，涵盖所有报告为优：</w:t>
      </w:r>
    </w:p>
    <w:p w14:paraId="4A7F1B29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反应性报告，即报告已经发生了的客服现状；</w:t>
      </w:r>
    </w:p>
    <w:p w14:paraId="0CCE4984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前置性报告，即对重要事故进行预警， 由此保障可以提前采取预防性措施（如即将发生的违反SLA的行为）；</w:t>
      </w:r>
    </w:p>
    <w:p w14:paraId="680E27B4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预先计划报告，即报告计划的活动</w:t>
      </w:r>
    </w:p>
    <w:p w14:paraId="7CD8CB46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反应性报告</w:t>
      </w:r>
    </w:p>
    <w:p w14:paraId="670C87AB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与服务等级目标相比较的业绩，如：消耗量报告和成绩；</w:t>
      </w:r>
    </w:p>
    <w:p w14:paraId="151699C5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与标准的不符合及发生的问题，如违反服务级别协议及安全违规；</w:t>
      </w:r>
    </w:p>
    <w:p w14:paraId="16EBE55B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工作量特性和能力信息，如：事故、 问题、变更和任务、分类、地点、顾客、趋势、优先级和服务请求的数量；</w:t>
      </w:r>
    </w:p>
    <w:p w14:paraId="22C00AE1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重大事件后的报告，如：变更和发布；</w:t>
      </w:r>
    </w:p>
    <w:p w14:paraId="6B3A2A60">
      <w:pPr>
        <w:pStyle w:val="39"/>
        <w:numPr>
          <w:ilvl w:val="1"/>
          <w:numId w:val="5"/>
        </w:numPr>
        <w:bidi w:val="0"/>
        <w:ind w:left="1260" w:leftChars="0" w:hanging="420" w:firstLineChars="0"/>
      </w:pPr>
      <w:r>
        <w:t>包括每一</w:t>
      </w:r>
      <w:r>
        <w:rPr>
          <w:rFonts w:hint="eastAsia"/>
          <w:lang w:eastAsia="zh-CN"/>
        </w:rPr>
        <w:t>制度</w:t>
      </w:r>
      <w:r>
        <w:t>信息的变更，如：事件的数量、最常问及的问题、资源/成本集中的任务。</w:t>
      </w:r>
    </w:p>
    <w:p w14:paraId="3C86733A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前置性报告</w:t>
      </w:r>
    </w:p>
    <w:p w14:paraId="13D19E71">
      <w:pPr>
        <w:pStyle w:val="39"/>
        <w:numPr>
          <w:ilvl w:val="0"/>
          <w:numId w:val="6"/>
        </w:numPr>
        <w:bidi w:val="0"/>
        <w:ind w:left="845" w:leftChars="0" w:hanging="425" w:firstLineChars="0"/>
      </w:pPr>
      <w:r>
        <w:t>阶段性的趋势信息（如：天、周、月、阶段）；</w:t>
      </w:r>
    </w:p>
    <w:p w14:paraId="5BB6AE1D">
      <w:pPr>
        <w:pStyle w:val="39"/>
        <w:numPr>
          <w:ilvl w:val="0"/>
          <w:numId w:val="6"/>
        </w:numPr>
        <w:bidi w:val="0"/>
        <w:ind w:left="845" w:leftChars="0" w:hanging="425" w:firstLineChars="0"/>
      </w:pPr>
      <w:r>
        <w:t>不可靠的基础设施组件。</w:t>
      </w:r>
    </w:p>
    <w:p w14:paraId="0A8A74C3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预先计划报告</w:t>
      </w:r>
    </w:p>
    <w:p w14:paraId="3BD8309A">
      <w:pPr>
        <w:pStyle w:val="39"/>
        <w:bidi w:val="0"/>
        <w:rPr>
          <w:rFonts w:hint="default" w:ascii="宋体" w:hAnsi="宋体" w:eastAsia="宋体" w:cs="宋体"/>
          <w:spacing w:val="7"/>
          <w:szCs w:val="20"/>
          <w:lang w:val="en-US" w:eastAsia="zh-CN"/>
        </w:rPr>
      </w:pPr>
      <w:r>
        <w:t>强调未来的计划，包括工作量，变更计划，未来可能发生的事件等。</w:t>
      </w:r>
    </w:p>
    <w:p w14:paraId="2142D462">
      <w:pPr>
        <w:pStyle w:val="28"/>
        <w:bidi w:val="0"/>
      </w:pPr>
      <w:bookmarkStart w:id="5" w:name="_Toc14326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4BBE187B">
      <w:pPr>
        <w:pStyle w:val="29"/>
        <w:bidi w:val="0"/>
      </w:pPr>
      <w:r>
        <w:rPr>
          <w:rFonts w:hint="eastAsia"/>
          <w:lang w:val="en-US" w:eastAsia="zh-CN"/>
        </w:rPr>
        <w:t>适用于</w:t>
      </w:r>
      <w:r>
        <w:t>运维部对ITSS运维服务能力管理体系各流程所产生的服务报告的管理。</w:t>
      </w:r>
    </w:p>
    <w:p w14:paraId="6F8F55F1">
      <w:pPr>
        <w:pStyle w:val="28"/>
        <w:bidi w:val="0"/>
        <w:rPr>
          <w:rFonts w:hint="eastAsia"/>
          <w:lang w:val="en-US" w:eastAsia="zh-CN"/>
        </w:rPr>
      </w:pPr>
      <w:bookmarkStart w:id="6" w:name="_Toc282"/>
      <w:r>
        <w:rPr>
          <w:rFonts w:hint="eastAsia"/>
          <w:lang w:val="en-US" w:eastAsia="zh-CN"/>
        </w:rPr>
        <w:t>岗位职责</w:t>
      </w:r>
      <w:bookmarkEnd w:id="6"/>
    </w:p>
    <w:p w14:paraId="61329E6E">
      <w:pPr>
        <w:pStyle w:val="30"/>
        <w:bidi w:val="0"/>
        <w:rPr>
          <w:rFonts w:hint="default"/>
          <w:lang w:val="en-US" w:eastAsia="zh-CN"/>
        </w:rPr>
      </w:pPr>
      <w:bookmarkStart w:id="7" w:name="_Toc22232"/>
      <w:r>
        <w:rPr>
          <w:rFonts w:hint="eastAsia"/>
          <w:lang w:val="en-US" w:eastAsia="zh-CN"/>
        </w:rPr>
        <w:t>运维部</w:t>
      </w:r>
      <w:bookmarkEnd w:id="7"/>
    </w:p>
    <w:p w14:paraId="2F114F1D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运维服务能力体系的所有报告，为服务级别管理流程提供参考</w:t>
      </w:r>
      <w:r>
        <w:rPr>
          <w:rFonts w:hint="eastAsia"/>
          <w:lang w:eastAsia="zh-CN"/>
        </w:rPr>
        <w:t>。</w:t>
      </w:r>
    </w:p>
    <w:p w14:paraId="0FE690DE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管理运维服务能力体系的所有报告，为内部审核、管理评审提供参考</w:t>
      </w:r>
      <w:r>
        <w:rPr>
          <w:rFonts w:hint="eastAsia"/>
          <w:lang w:eastAsia="zh-CN"/>
        </w:rPr>
        <w:t>。</w:t>
      </w:r>
    </w:p>
    <w:p w14:paraId="3F58AB64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确保各报告的撰写、审批、发布,按照《服务报告管理</w:t>
      </w:r>
      <w:r>
        <w:rPr>
          <w:rFonts w:hint="eastAsia"/>
          <w:lang w:val="en-US" w:eastAsia="zh-CN"/>
        </w:rPr>
        <w:t>制度</w:t>
      </w:r>
      <w:r>
        <w:t>》的要求去执行</w:t>
      </w:r>
      <w:r>
        <w:rPr>
          <w:rFonts w:hint="eastAsia"/>
          <w:lang w:eastAsia="zh-CN"/>
        </w:rPr>
        <w:t>。</w:t>
      </w:r>
    </w:p>
    <w:p w14:paraId="666144BA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t>审批报告中出现的重大异常情况</w:t>
      </w:r>
      <w:r>
        <w:rPr>
          <w:rFonts w:hint="eastAsia"/>
          <w:lang w:eastAsia="zh-CN"/>
        </w:rPr>
        <w:t>。</w:t>
      </w:r>
    </w:p>
    <w:p w14:paraId="30242C23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指导和监督SLA的履行情况</w:t>
      </w:r>
      <w:r>
        <w:rPr>
          <w:rFonts w:hint="eastAsia"/>
          <w:lang w:eastAsia="zh-CN"/>
        </w:rPr>
        <w:t>。</w:t>
      </w:r>
    </w:p>
    <w:p w14:paraId="004087BC">
      <w:pPr>
        <w:pStyle w:val="28"/>
        <w:bidi w:val="0"/>
        <w:rPr>
          <w:rFonts w:hint="default"/>
          <w:lang w:val="en-US" w:eastAsia="zh-CN"/>
        </w:rPr>
      </w:pPr>
      <w:bookmarkStart w:id="8" w:name="_Toc5130"/>
      <w:r>
        <w:rPr>
          <w:rFonts w:hint="eastAsia"/>
          <w:lang w:val="en-US" w:eastAsia="zh-CN"/>
        </w:rPr>
        <w:t>服务报告管理流程</w:t>
      </w:r>
      <w:bookmarkEnd w:id="8"/>
    </w:p>
    <w:p w14:paraId="49CFBE65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服务报告流程如图5-1所示。</w:t>
      </w:r>
    </w:p>
    <w:p w14:paraId="0CAEB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D701CB5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服务报告流程</w:t>
      </w:r>
    </w:p>
    <w:p w14:paraId="326AD16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413.45pt;width:403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6D8D6CAF">
      <w:pPr>
        <w:pStyle w:val="30"/>
        <w:bidi w:val="0"/>
        <w:rPr>
          <w:rFonts w:hint="default"/>
          <w:lang w:val="en-US" w:eastAsia="zh-CN"/>
        </w:rPr>
      </w:pPr>
      <w:bookmarkStart w:id="9" w:name="_Toc27486"/>
      <w:r>
        <w:rPr>
          <w:rFonts w:hint="eastAsia"/>
          <w:lang w:val="en-US" w:eastAsia="zh-CN"/>
        </w:rPr>
        <w:t>过程描述</w:t>
      </w:r>
      <w:bookmarkEnd w:id="9"/>
    </w:p>
    <w:p w14:paraId="5D416065">
      <w:pPr>
        <w:pStyle w:val="31"/>
        <w:bidi w:val="0"/>
        <w:rPr>
          <w:rFonts w:hint="default"/>
          <w:lang w:val="en-US" w:eastAsia="zh-CN"/>
        </w:rPr>
      </w:pPr>
      <w:bookmarkStart w:id="10" w:name="_Toc6679"/>
      <w:r>
        <w:rPr>
          <w:rFonts w:hint="default"/>
          <w:lang w:val="en-US" w:eastAsia="zh-CN"/>
        </w:rPr>
        <w:t>识别报告要素</w:t>
      </w:r>
      <w:bookmarkEnd w:id="10"/>
    </w:p>
    <w:p w14:paraId="3528399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应依据服务级别协议（SLA）的要求，明确服务报告中需呈现的关键数据与度量指标。</w:t>
      </w:r>
    </w:p>
    <w:p w14:paraId="6E937D84">
      <w:pPr>
        <w:pStyle w:val="31"/>
        <w:bidi w:val="0"/>
        <w:rPr>
          <w:rFonts w:hint="default"/>
          <w:lang w:val="en-US" w:eastAsia="zh-CN"/>
        </w:rPr>
      </w:pPr>
      <w:bookmarkStart w:id="11" w:name="_Toc2946"/>
      <w:r>
        <w:rPr>
          <w:rFonts w:hint="default"/>
          <w:lang w:val="en-US" w:eastAsia="zh-CN"/>
        </w:rPr>
        <w:t>收集与分析报告数据</w:t>
      </w:r>
      <w:bookmarkEnd w:id="11"/>
    </w:p>
    <w:p w14:paraId="5EB47963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应及时从各相关服务流程中收集数据与指标，并针对其进行趋势、可用性及持续性等方面的综合分析。</w:t>
      </w:r>
    </w:p>
    <w:p w14:paraId="06F68C4B">
      <w:pPr>
        <w:pStyle w:val="31"/>
        <w:bidi w:val="0"/>
        <w:rPr>
          <w:rFonts w:hint="default"/>
          <w:lang w:val="en-US" w:eastAsia="zh-CN"/>
        </w:rPr>
      </w:pPr>
      <w:bookmarkStart w:id="12" w:name="_Toc11117"/>
      <w:r>
        <w:rPr>
          <w:rFonts w:hint="default"/>
          <w:lang w:val="en-US" w:eastAsia="zh-CN"/>
        </w:rPr>
        <w:t>编写服务报告</w:t>
      </w:r>
      <w:bookmarkEnd w:id="12"/>
    </w:p>
    <w:p w14:paraId="17AB9DCF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应将分析后的数据，按既定格式与规范编制成《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服务报告》。</w:t>
      </w:r>
    </w:p>
    <w:p w14:paraId="2C11C98E">
      <w:pPr>
        <w:pStyle w:val="31"/>
        <w:bidi w:val="0"/>
        <w:rPr>
          <w:rFonts w:hint="default"/>
          <w:lang w:val="en-US" w:eastAsia="zh-CN"/>
        </w:rPr>
      </w:pPr>
      <w:bookmarkStart w:id="13" w:name="_Toc26710"/>
      <w:r>
        <w:rPr>
          <w:rFonts w:hint="default"/>
          <w:lang w:val="en-US" w:eastAsia="zh-CN"/>
        </w:rPr>
        <w:t>服务报告评审</w:t>
      </w:r>
      <w:bookmarkEnd w:id="13"/>
    </w:p>
    <w:p w14:paraId="5A385B9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服务报告》编制完成后，由</w:t>
      </w: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提交至部门</w:t>
      </w:r>
      <w:bookmarkStart w:id="24" w:name="_GoBack"/>
      <w:bookmarkEnd w:id="24"/>
      <w:r>
        <w:rPr>
          <w:rFonts w:hint="default"/>
          <w:lang w:val="en-US" w:eastAsia="zh-CN"/>
        </w:rPr>
        <w:t>经理进行评审；如遇特殊情况，须报请公司主管领导审核。</w:t>
      </w:r>
    </w:p>
    <w:p w14:paraId="5151C0E5">
      <w:pPr>
        <w:pStyle w:val="31"/>
        <w:bidi w:val="0"/>
        <w:rPr>
          <w:rFonts w:hint="default"/>
          <w:lang w:val="en-US" w:eastAsia="zh-CN"/>
        </w:rPr>
      </w:pPr>
      <w:bookmarkStart w:id="14" w:name="_Toc12300"/>
      <w:r>
        <w:rPr>
          <w:rFonts w:hint="default"/>
          <w:lang w:val="en-US" w:eastAsia="zh-CN"/>
        </w:rPr>
        <w:t>提交服务报告</w:t>
      </w:r>
      <w:bookmarkEnd w:id="14"/>
    </w:p>
    <w:p w14:paraId="1E56F6C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报告经运维部与管理代表批准后，提交至主管领导。</w:t>
      </w:r>
    </w:p>
    <w:p w14:paraId="167593D7">
      <w:pPr>
        <w:pStyle w:val="31"/>
        <w:bidi w:val="0"/>
        <w:rPr>
          <w:rFonts w:hint="default"/>
          <w:lang w:val="en-US" w:eastAsia="zh-CN"/>
        </w:rPr>
      </w:pPr>
      <w:bookmarkStart w:id="15" w:name="_Toc8265"/>
      <w:r>
        <w:rPr>
          <w:rFonts w:hint="default"/>
          <w:lang w:val="en-US" w:eastAsia="zh-CN"/>
        </w:rPr>
        <w:t>服务报告归档</w:t>
      </w:r>
      <w:bookmarkEnd w:id="15"/>
    </w:p>
    <w:p w14:paraId="7DD1570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服务报告》批准后，应及时归档，以便查阅与审计</w:t>
      </w:r>
    </w:p>
    <w:p w14:paraId="7AB412D2">
      <w:pPr>
        <w:pStyle w:val="30"/>
        <w:bidi w:val="0"/>
        <w:rPr>
          <w:rFonts w:hint="default"/>
          <w:lang w:val="en-US" w:eastAsia="zh-CN"/>
        </w:rPr>
      </w:pPr>
      <w:bookmarkStart w:id="16" w:name="_Toc27344"/>
      <w:bookmarkStart w:id="17" w:name="_Toc29034"/>
      <w:r>
        <w:rPr>
          <w:rFonts w:hint="eastAsia"/>
          <w:lang w:val="en-US" w:eastAsia="zh-CN"/>
        </w:rPr>
        <w:t>考核指标</w:t>
      </w:r>
      <w:bookmarkEnd w:id="16"/>
      <w:bookmarkEnd w:id="17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4076"/>
        <w:gridCol w:w="1254"/>
        <w:gridCol w:w="1459"/>
      </w:tblGrid>
      <w:tr w14:paraId="37CEC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 w14:paraId="5C2CB656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指标度量项</w:t>
            </w:r>
          </w:p>
        </w:tc>
        <w:tc>
          <w:tcPr>
            <w:tcW w:w="4076" w:type="dxa"/>
          </w:tcPr>
          <w:p w14:paraId="33D3D23D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计算公司</w:t>
            </w:r>
          </w:p>
        </w:tc>
        <w:tc>
          <w:tcPr>
            <w:tcW w:w="1254" w:type="dxa"/>
          </w:tcPr>
          <w:p w14:paraId="41A8607E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频次</w:t>
            </w:r>
          </w:p>
        </w:tc>
        <w:tc>
          <w:tcPr>
            <w:tcW w:w="1459" w:type="dxa"/>
          </w:tcPr>
          <w:p w14:paraId="25BEEE15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目标值</w:t>
            </w:r>
          </w:p>
        </w:tc>
      </w:tr>
      <w:tr w14:paraId="491BE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733" w:type="dxa"/>
            <w:shd w:val="clear" w:color="auto" w:fill="auto"/>
          </w:tcPr>
          <w:p w14:paraId="6A0512D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服务报告按时交付率</w:t>
            </w:r>
          </w:p>
        </w:tc>
        <w:tc>
          <w:tcPr>
            <w:tcW w:w="4076" w:type="dxa"/>
            <w:shd w:val="clear" w:color="auto" w:fill="auto"/>
          </w:tcPr>
          <w:p w14:paraId="42186675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服务报告按时交付数/服务报告总数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</w:rPr>
              <w:t>100%</w:t>
            </w:r>
          </w:p>
        </w:tc>
        <w:tc>
          <w:tcPr>
            <w:tcW w:w="1254" w:type="dxa"/>
            <w:shd w:val="clear" w:color="auto" w:fill="auto"/>
          </w:tcPr>
          <w:p w14:paraId="516CF6E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每季度</w:t>
            </w:r>
          </w:p>
        </w:tc>
        <w:tc>
          <w:tcPr>
            <w:tcW w:w="1459" w:type="dxa"/>
            <w:shd w:val="clear" w:color="auto" w:fill="auto"/>
          </w:tcPr>
          <w:p w14:paraId="020BEAF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100%</w:t>
            </w:r>
          </w:p>
        </w:tc>
      </w:tr>
      <w:tr w14:paraId="389A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auto"/>
          </w:tcPr>
          <w:p w14:paraId="0DD27AAF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服务报告审核率</w:t>
            </w:r>
          </w:p>
        </w:tc>
        <w:tc>
          <w:tcPr>
            <w:tcW w:w="4076" w:type="dxa"/>
            <w:shd w:val="clear" w:color="auto" w:fill="auto"/>
          </w:tcPr>
          <w:p w14:paraId="39B7CF9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服务发布前按程序审核数/服务报告总数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</w:rPr>
              <w:t>100%</w:t>
            </w:r>
          </w:p>
        </w:tc>
        <w:tc>
          <w:tcPr>
            <w:tcW w:w="1254" w:type="dxa"/>
            <w:shd w:val="clear" w:color="auto" w:fill="auto"/>
          </w:tcPr>
          <w:p w14:paraId="72E9424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1632F530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219BAB1C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8" w:name="bookmark3"/>
      <w:bookmarkEnd w:id="18"/>
      <w:bookmarkStart w:id="19" w:name="_Toc17424"/>
      <w:bookmarkStart w:id="20" w:name="_Toc28846"/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15E32DA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4C29B61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6334D41B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21084"/>
      <w:r>
        <w:rPr>
          <w:rFonts w:hint="eastAsia"/>
          <w:lang w:val="en-US" w:eastAsia="zh-CN"/>
        </w:rPr>
        <w:t>附件</w:t>
      </w:r>
      <w:bookmarkEnd w:id="22"/>
    </w:p>
    <w:p w14:paraId="11B763C3">
      <w:pPr>
        <w:pStyle w:val="39"/>
        <w:bidi w:val="0"/>
      </w:pPr>
      <w:r>
        <w:t>《事件管理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1927E5B4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044DEC27">
      <w:pPr>
        <w:pStyle w:val="39"/>
        <w:bidi w:val="0"/>
      </w:pPr>
      <w:r>
        <w:t>《变更管理</w:t>
      </w:r>
      <w:r>
        <w:rPr>
          <w:rFonts w:hint="eastAsia"/>
          <w:lang w:eastAsia="zh-CN"/>
        </w:rPr>
        <w:t>制度</w:t>
      </w:r>
      <w:r>
        <w:t>》</w:t>
      </w:r>
    </w:p>
    <w:p w14:paraId="7F1984FB">
      <w:pPr>
        <w:pStyle w:val="39"/>
        <w:bidi w:val="0"/>
      </w:pPr>
      <w:r>
        <w:t>《发布管理</w:t>
      </w:r>
      <w:r>
        <w:rPr>
          <w:rFonts w:hint="eastAsia"/>
          <w:lang w:eastAsia="zh-CN"/>
        </w:rPr>
        <w:t>制度</w:t>
      </w:r>
      <w:r>
        <w:t>》</w:t>
      </w:r>
    </w:p>
    <w:p w14:paraId="7B0BD07A">
      <w:pPr>
        <w:pStyle w:val="39"/>
        <w:bidi w:val="0"/>
      </w:pPr>
      <w:r>
        <w:t>《配置管理</w:t>
      </w:r>
      <w:r>
        <w:rPr>
          <w:rFonts w:hint="eastAsia"/>
          <w:lang w:eastAsia="zh-CN"/>
        </w:rPr>
        <w:t>制度</w:t>
      </w:r>
      <w:r>
        <w:t>》</w:t>
      </w:r>
    </w:p>
    <w:p w14:paraId="6790675F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服务可用性和连续性管理制度</w:t>
      </w:r>
      <w:r>
        <w:rPr>
          <w:rFonts w:hint="eastAsia"/>
          <w:lang w:eastAsia="zh-CN"/>
        </w:rPr>
        <w:t>》</w:t>
      </w:r>
    </w:p>
    <w:p w14:paraId="104B3095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容量管理制度</w:t>
      </w:r>
      <w:r>
        <w:rPr>
          <w:rFonts w:hint="eastAsia"/>
          <w:lang w:eastAsia="zh-CN"/>
        </w:rPr>
        <w:t>》</w:t>
      </w:r>
    </w:p>
    <w:p w14:paraId="0EACB0FD">
      <w:pPr>
        <w:pStyle w:val="39"/>
        <w:bidi w:val="0"/>
      </w:pPr>
      <w:r>
        <w:t>《信息安全管理</w:t>
      </w:r>
      <w:r>
        <w:rPr>
          <w:rFonts w:hint="eastAsia"/>
          <w:lang w:eastAsia="zh-CN"/>
        </w:rPr>
        <w:t>制度</w:t>
      </w:r>
      <w:r>
        <w:t>》</w:t>
      </w:r>
    </w:p>
    <w:p w14:paraId="4B8D05BF">
      <w:pPr>
        <w:pStyle w:val="28"/>
        <w:bidi w:val="0"/>
        <w:rPr>
          <w:rFonts w:hint="eastAsia"/>
          <w:lang w:val="en-US" w:eastAsia="zh-CN"/>
        </w:rPr>
      </w:pPr>
      <w:bookmarkStart w:id="23" w:name="_Toc10387"/>
      <w:r>
        <w:rPr>
          <w:rFonts w:hint="eastAsia"/>
          <w:lang w:val="en-US" w:eastAsia="zh-CN"/>
        </w:rPr>
        <w:t>记录</w:t>
      </w:r>
      <w:bookmarkEnd w:id="23"/>
    </w:p>
    <w:p w14:paraId="12D9C0FE">
      <w:pPr>
        <w:pStyle w:val="39"/>
        <w:bidi w:val="0"/>
      </w:pPr>
      <w:r>
        <w:t>《服务级别</w:t>
      </w:r>
      <w:r>
        <w:rPr>
          <w:rFonts w:hint="eastAsia"/>
          <w:lang w:val="en-US" w:eastAsia="zh-CN"/>
        </w:rPr>
        <w:t>管理制度</w:t>
      </w:r>
      <w:r>
        <w:t>》</w:t>
      </w:r>
    </w:p>
    <w:p w14:paraId="5BCFB5E5">
      <w:pPr>
        <w:pStyle w:val="39"/>
        <w:bidi w:val="0"/>
        <w:rPr>
          <w:rFonts w:hint="eastAsia"/>
          <w:lang w:val="en-US" w:eastAsia="zh-CN"/>
        </w:rPr>
      </w:pPr>
      <w:r>
        <w:t>《服务报告》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654973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9E3D769"/>
    <w:multiLevelType w:val="singleLevel"/>
    <w:tmpl w:val="A9E3D76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7BEB97D"/>
    <w:multiLevelType w:val="singleLevel"/>
    <w:tmpl w:val="17BEB9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2F91922A"/>
    <w:multiLevelType w:val="singleLevel"/>
    <w:tmpl w:val="2F9192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3039D79"/>
    <w:multiLevelType w:val="singleLevel"/>
    <w:tmpl w:val="43039D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C57681"/>
    <w:multiLevelType w:val="multilevel"/>
    <w:tmpl w:val="5BC5768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6B8D972C"/>
    <w:multiLevelType w:val="singleLevel"/>
    <w:tmpl w:val="6B8D97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A90E4E"/>
    <w:rsid w:val="25311443"/>
    <w:rsid w:val="2F756FED"/>
    <w:rsid w:val="37B3277F"/>
    <w:rsid w:val="7386251A"/>
    <w:rsid w:val="7CFA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1480</Words>
  <Characters>1619</Characters>
  <Lines>0</Lines>
  <Paragraphs>0</Paragraphs>
  <TotalTime>2</TotalTime>
  <ScaleCrop>false</ScaleCrop>
  <LinksUpToDate>false</LinksUpToDate>
  <CharactersWithSpaces>1702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