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E4A6A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-04</w:t>
      </w:r>
    </w:p>
    <w:p w14:paraId="35D8F63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3DBCFF2A">
      <w:pPr>
        <w:pStyle w:val="24"/>
        <w:bidi w:val="0"/>
      </w:pPr>
      <w:bookmarkStart w:id="0" w:name="_Toc3228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5C04BF64">
      <w:pPr>
        <w:pStyle w:val="25"/>
        <w:bidi w:val="0"/>
        <w:rPr>
          <w:rFonts w:hint="default"/>
          <w:lang w:val="en-US"/>
        </w:rPr>
      </w:pPr>
      <w:bookmarkStart w:id="1" w:name="_Toc32288"/>
      <w:r>
        <w:rPr>
          <w:rFonts w:hint="eastAsia"/>
          <w:lang w:val="en-US" w:eastAsia="zh-CN"/>
        </w:rPr>
        <w:t>事件管理制度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4487AE1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499F42D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1DCCBA4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A46C38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AA0E3D9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3E2A244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9BD2F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CBD32F5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045BF7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6DF13033">
      <w:r>
        <w:br w:type="page"/>
      </w:r>
    </w:p>
    <w:p w14:paraId="75F11E3C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312250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7BE185A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53CE5DF9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6906448C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4FF717F6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701A0446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7CC062FD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92C63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6479C4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45E6FF33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2C3F334C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63467730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3D1673D2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23536B33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17EDF3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3FF5701A">
            <w:pPr>
              <w:pStyle w:val="27"/>
            </w:pPr>
          </w:p>
        </w:tc>
        <w:tc>
          <w:tcPr>
            <w:tcW w:w="919" w:type="dxa"/>
          </w:tcPr>
          <w:p w14:paraId="25EDD144">
            <w:pPr>
              <w:pStyle w:val="27"/>
            </w:pPr>
          </w:p>
        </w:tc>
        <w:tc>
          <w:tcPr>
            <w:tcW w:w="2289" w:type="dxa"/>
          </w:tcPr>
          <w:p w14:paraId="462A2080">
            <w:pPr>
              <w:pStyle w:val="27"/>
            </w:pPr>
          </w:p>
        </w:tc>
        <w:tc>
          <w:tcPr>
            <w:tcW w:w="1148" w:type="dxa"/>
          </w:tcPr>
          <w:p w14:paraId="453340AD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E19FE88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2B2009FF">
            <w:pPr>
              <w:pStyle w:val="27"/>
            </w:pPr>
          </w:p>
        </w:tc>
      </w:tr>
      <w:tr w14:paraId="138064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DD569CF">
            <w:pPr>
              <w:pStyle w:val="27"/>
            </w:pPr>
          </w:p>
        </w:tc>
        <w:tc>
          <w:tcPr>
            <w:tcW w:w="919" w:type="dxa"/>
          </w:tcPr>
          <w:p w14:paraId="2B4C92C5">
            <w:pPr>
              <w:pStyle w:val="27"/>
            </w:pPr>
          </w:p>
        </w:tc>
        <w:tc>
          <w:tcPr>
            <w:tcW w:w="2289" w:type="dxa"/>
          </w:tcPr>
          <w:p w14:paraId="193BDBE1">
            <w:pPr>
              <w:pStyle w:val="27"/>
            </w:pPr>
          </w:p>
        </w:tc>
        <w:tc>
          <w:tcPr>
            <w:tcW w:w="1148" w:type="dxa"/>
          </w:tcPr>
          <w:p w14:paraId="2627D95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6EDCFDC6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6EE703C2">
            <w:pPr>
              <w:pStyle w:val="27"/>
            </w:pPr>
          </w:p>
        </w:tc>
      </w:tr>
      <w:tr w14:paraId="0307196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3C85168D">
            <w:pPr>
              <w:pStyle w:val="27"/>
            </w:pPr>
          </w:p>
        </w:tc>
        <w:tc>
          <w:tcPr>
            <w:tcW w:w="919" w:type="dxa"/>
          </w:tcPr>
          <w:p w14:paraId="0CD87237">
            <w:pPr>
              <w:pStyle w:val="27"/>
            </w:pPr>
          </w:p>
        </w:tc>
        <w:tc>
          <w:tcPr>
            <w:tcW w:w="2289" w:type="dxa"/>
          </w:tcPr>
          <w:p w14:paraId="775B91CA">
            <w:pPr>
              <w:pStyle w:val="27"/>
            </w:pPr>
          </w:p>
        </w:tc>
        <w:tc>
          <w:tcPr>
            <w:tcW w:w="1148" w:type="dxa"/>
          </w:tcPr>
          <w:p w14:paraId="43F46C47">
            <w:pPr>
              <w:pStyle w:val="27"/>
            </w:pPr>
          </w:p>
        </w:tc>
        <w:tc>
          <w:tcPr>
            <w:tcW w:w="1150" w:type="dxa"/>
          </w:tcPr>
          <w:p w14:paraId="20F43842">
            <w:pPr>
              <w:pStyle w:val="27"/>
            </w:pPr>
          </w:p>
        </w:tc>
        <w:tc>
          <w:tcPr>
            <w:tcW w:w="1240" w:type="dxa"/>
          </w:tcPr>
          <w:p w14:paraId="38FE6568">
            <w:pPr>
              <w:pStyle w:val="27"/>
            </w:pPr>
          </w:p>
        </w:tc>
      </w:tr>
      <w:tr w14:paraId="4BCDA9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FBA320A">
            <w:pPr>
              <w:pStyle w:val="27"/>
            </w:pPr>
          </w:p>
        </w:tc>
        <w:tc>
          <w:tcPr>
            <w:tcW w:w="919" w:type="dxa"/>
          </w:tcPr>
          <w:p w14:paraId="584FC969">
            <w:pPr>
              <w:pStyle w:val="27"/>
            </w:pPr>
          </w:p>
        </w:tc>
        <w:tc>
          <w:tcPr>
            <w:tcW w:w="2289" w:type="dxa"/>
          </w:tcPr>
          <w:p w14:paraId="1A3487EC">
            <w:pPr>
              <w:pStyle w:val="27"/>
            </w:pPr>
          </w:p>
        </w:tc>
        <w:tc>
          <w:tcPr>
            <w:tcW w:w="1148" w:type="dxa"/>
          </w:tcPr>
          <w:p w14:paraId="229A24BC">
            <w:pPr>
              <w:pStyle w:val="27"/>
            </w:pPr>
          </w:p>
        </w:tc>
        <w:tc>
          <w:tcPr>
            <w:tcW w:w="1150" w:type="dxa"/>
          </w:tcPr>
          <w:p w14:paraId="7C770668">
            <w:pPr>
              <w:pStyle w:val="27"/>
            </w:pPr>
          </w:p>
        </w:tc>
        <w:tc>
          <w:tcPr>
            <w:tcW w:w="1240" w:type="dxa"/>
          </w:tcPr>
          <w:p w14:paraId="420E4EBD">
            <w:pPr>
              <w:pStyle w:val="27"/>
            </w:pPr>
          </w:p>
        </w:tc>
      </w:tr>
      <w:tr w14:paraId="4748CB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258EE09A">
            <w:pPr>
              <w:pStyle w:val="27"/>
            </w:pPr>
          </w:p>
        </w:tc>
        <w:tc>
          <w:tcPr>
            <w:tcW w:w="919" w:type="dxa"/>
          </w:tcPr>
          <w:p w14:paraId="364C59ED">
            <w:pPr>
              <w:pStyle w:val="27"/>
            </w:pPr>
          </w:p>
        </w:tc>
        <w:tc>
          <w:tcPr>
            <w:tcW w:w="2289" w:type="dxa"/>
          </w:tcPr>
          <w:p w14:paraId="598E2CBB">
            <w:pPr>
              <w:pStyle w:val="27"/>
            </w:pPr>
          </w:p>
        </w:tc>
        <w:tc>
          <w:tcPr>
            <w:tcW w:w="1148" w:type="dxa"/>
          </w:tcPr>
          <w:p w14:paraId="0BA85AAD">
            <w:pPr>
              <w:pStyle w:val="27"/>
            </w:pPr>
          </w:p>
        </w:tc>
        <w:tc>
          <w:tcPr>
            <w:tcW w:w="1150" w:type="dxa"/>
          </w:tcPr>
          <w:p w14:paraId="0FA874B1">
            <w:pPr>
              <w:pStyle w:val="27"/>
            </w:pPr>
          </w:p>
        </w:tc>
        <w:tc>
          <w:tcPr>
            <w:tcW w:w="1240" w:type="dxa"/>
          </w:tcPr>
          <w:p w14:paraId="29A7D6D3">
            <w:pPr>
              <w:pStyle w:val="27"/>
            </w:pPr>
          </w:p>
        </w:tc>
      </w:tr>
    </w:tbl>
    <w:p w14:paraId="7C167500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63ACE41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C3E75A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_Toc32284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AFE2AA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_Toc32288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事件管理制度</w:t>
          </w:r>
          <w:r>
            <w:tab/>
          </w:r>
          <w:r>
            <w:fldChar w:fldCharType="begin"/>
          </w:r>
          <w:r>
            <w:instrText xml:space="preserve"> PAGEREF _Toc32288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B05B67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_Toc12800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_Toc12800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99882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_Toc18953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_Toc18953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485BC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_Toc14498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FB3D4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_Toc5031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_Toc5031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04C0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_Toc27998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_Toc27998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AF5C3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运维服务部</w:t>
          </w:r>
          <w:r>
            <w:tab/>
          </w:r>
          <w:r>
            <w:fldChar w:fldCharType="begin"/>
          </w:r>
          <w:r>
            <w:instrText xml:space="preserve"> PAGEREF _Toc16983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B799C9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_Toc30145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事件管理流程</w:t>
          </w:r>
          <w:r>
            <w:tab/>
          </w:r>
          <w:r>
            <w:fldChar w:fldCharType="begin"/>
          </w:r>
          <w:r>
            <w:instrText xml:space="preserve"> PAGEREF _Toc30145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41CD2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_Toc31347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流程说明</w:t>
          </w:r>
          <w:r>
            <w:tab/>
          </w:r>
          <w:r>
            <w:fldChar w:fldCharType="begin"/>
          </w:r>
          <w:r>
            <w:instrText xml:space="preserve"> PAGEREF _Toc31347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B70B1C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_Toc11704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5.1.1. 热线受理</w:t>
          </w:r>
          <w:r>
            <w:tab/>
          </w:r>
          <w:r>
            <w:fldChar w:fldCharType="begin"/>
          </w:r>
          <w:r>
            <w:instrText xml:space="preserve"> PAGEREF _Toc11704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3C416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_Toc13642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5.1.2. 请求记录和分类</w:t>
          </w:r>
          <w:r>
            <w:tab/>
          </w:r>
          <w:r>
            <w:fldChar w:fldCharType="begin"/>
          </w:r>
          <w:r>
            <w:instrText xml:space="preserve"> PAGEREF _Toc13642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8C22847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_Toc18979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5.1.3. 热线电话尝试解决</w:t>
          </w:r>
          <w:r>
            <w:tab/>
          </w:r>
          <w:r>
            <w:fldChar w:fldCharType="begin"/>
          </w:r>
          <w:r>
            <w:instrText xml:space="preserve"> PAGEREF _Toc18979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A3068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_Toc6618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5.1.4. 远程解决</w:t>
          </w:r>
          <w:r>
            <w:tab/>
          </w:r>
          <w:r>
            <w:fldChar w:fldCharType="begin"/>
          </w:r>
          <w:r>
            <w:instrText xml:space="preserve"> PAGEREF _Toc6618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AAF0D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_Toc3359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5.1.5. 二线支持</w:t>
          </w:r>
          <w:r>
            <w:tab/>
          </w:r>
          <w:r>
            <w:fldChar w:fldCharType="begin"/>
          </w:r>
          <w:r>
            <w:instrText xml:space="preserve"> PAGEREF _Toc3359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92EA95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5.1.6. 现场服务响应</w:t>
          </w:r>
          <w:r>
            <w:tab/>
          </w:r>
          <w:r>
            <w:fldChar w:fldCharType="begin"/>
          </w:r>
          <w:r>
            <w:instrText xml:space="preserve"> PAGEREF _Toc9343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32FA4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5.1.7. 调查诊断</w:t>
          </w:r>
          <w:r>
            <w:tab/>
          </w:r>
          <w:r>
            <w:fldChar w:fldCharType="begin"/>
          </w:r>
          <w:r>
            <w:instrText xml:space="preserve"> PAGEREF _Toc390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7F38AE0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_Toc23790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5.1.8. 确定解决方案</w:t>
          </w:r>
          <w:r>
            <w:tab/>
          </w:r>
          <w:r>
            <w:fldChar w:fldCharType="begin"/>
          </w:r>
          <w:r>
            <w:instrText xml:space="preserve"> PAGEREF _Toc23790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3F29903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5.1.9. 客户确认</w:t>
          </w:r>
          <w:r>
            <w:tab/>
          </w:r>
          <w:r>
            <w:fldChar w:fldCharType="begin"/>
          </w:r>
          <w:r>
            <w:instrText xml:space="preserve"> PAGEREF _Toc8046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5E7719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5.1.10. 资料归档</w:t>
          </w:r>
          <w:r>
            <w:tab/>
          </w:r>
          <w:r>
            <w:fldChar w:fldCharType="begin"/>
          </w:r>
          <w:r>
            <w:instrText xml:space="preserve"> PAGEREF _Toc5431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FEEAD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>5.1.11. 事件报告</w:t>
          </w:r>
          <w:r>
            <w:tab/>
          </w:r>
          <w:r>
            <w:fldChar w:fldCharType="begin"/>
          </w:r>
          <w:r>
            <w:instrText xml:space="preserve"> PAGEREF _Toc2484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D4BAF3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_Toc16802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_Toc16802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3C333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_Toc21721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_Toc21721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01F2B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_Toc14496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_Toc14496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42BE7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_Toc2485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4C30D2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6BD95F24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640467D5">
      <w:pPr>
        <w:pStyle w:val="28"/>
        <w:bidi w:val="0"/>
      </w:pPr>
      <w:bookmarkStart w:id="2" w:name="_Toc12800"/>
      <w:r>
        <w:t>目的</w:t>
      </w:r>
      <w:bookmarkEnd w:id="2"/>
    </w:p>
    <w:p w14:paraId="7AC6A0AC">
      <w:pPr>
        <w:pStyle w:val="29"/>
        <w:bidi w:val="0"/>
        <w:rPr>
          <w:rFonts w:hint="eastAsia"/>
          <w:lang w:val="en-US" w:eastAsia="zh-CN"/>
        </w:rPr>
      </w:pPr>
      <w:r>
        <w:t>为了减少或消除存在或可能存在于IT服务中的干扰因素给IT服务带来的影响，以确保用户可以尽快恢复自己的正常工作</w:t>
      </w:r>
      <w:r>
        <w:rPr>
          <w:rFonts w:hint="eastAsia"/>
          <w:lang w:val="en-US" w:eastAsia="zh-CN"/>
        </w:rPr>
        <w:t>,特制定此制度。</w:t>
      </w:r>
    </w:p>
    <w:p w14:paraId="111274AF">
      <w:pPr>
        <w:pStyle w:val="28"/>
        <w:bidi w:val="0"/>
        <w:rPr>
          <w:rFonts w:hint="eastAsia"/>
          <w:lang w:val="en-US" w:eastAsia="zh-CN"/>
        </w:rPr>
      </w:pPr>
      <w:bookmarkStart w:id="3" w:name="_Toc18953"/>
      <w:r>
        <w:rPr>
          <w:rFonts w:hint="eastAsia"/>
          <w:lang w:val="en-US" w:eastAsia="zh-CN"/>
        </w:rPr>
        <w:t>原则</w:t>
      </w:r>
      <w:bookmarkEnd w:id="3"/>
    </w:p>
    <w:p w14:paraId="338ED5D2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快速响应与恢复优先</w:t>
      </w:r>
    </w:p>
    <w:p w14:paraId="770086C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以确保服务可用性为核心目标，优先快速恢复正常的业务运营，最大限度减少事件对业务的影响。</w:t>
      </w:r>
    </w:p>
    <w:p w14:paraId="12CFFE8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分类分级与优先级管理</w:t>
      </w:r>
    </w:p>
    <w:p w14:paraId="659DFA9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根据事件的影响范围和紧急程度，对其进行分类、分级，并明确优先级，确保资源得到合理、高效的分配。</w:t>
      </w:r>
    </w:p>
    <w:p w14:paraId="1E18514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标准化流程处理</w:t>
      </w:r>
    </w:p>
    <w:p w14:paraId="0DCDAE44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严格执行事件识别、记录、调查、诊断、解决与关闭的全流程标准化管理，确保处理过程的可追溯性和一致性。</w:t>
      </w:r>
    </w:p>
    <w:p w14:paraId="620A93CC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有效沟通与及时通报</w:t>
      </w:r>
    </w:p>
    <w:p w14:paraId="2CA050B2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在事件处理过程中，应及时向相关用户及利益相关方通报事件状态、处理进展及最终结果，保持信息透明。</w:t>
      </w:r>
    </w:p>
    <w:p w14:paraId="45D9C546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知识积累与持续改进</w:t>
      </w:r>
    </w:p>
    <w:p w14:paraId="1CB7E70B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将事件解决方案、处理经验沉淀为知识库内容，并定期分析事件根本原因，推动服务改进，预防同类事件重复发生。</w:t>
      </w:r>
    </w:p>
    <w:p w14:paraId="33D3762B">
      <w:pPr>
        <w:pStyle w:val="29"/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全员参与与协作共治</w:t>
      </w:r>
    </w:p>
    <w:p w14:paraId="34052AF1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明确各相关团队（如运维、研发、供应商）在事件管理中的角色与职责，强化跨团队协同，形成管理合力。</w:t>
      </w:r>
    </w:p>
    <w:p w14:paraId="1B9E26F7">
      <w:pPr>
        <w:pStyle w:val="30"/>
        <w:bidi w:val="0"/>
        <w:rPr>
          <w:rFonts w:hint="eastAsia"/>
          <w:lang w:val="en-US" w:eastAsia="zh-CN"/>
        </w:rPr>
      </w:pPr>
      <w:bookmarkStart w:id="4" w:name="_Toc14498"/>
      <w:r>
        <w:rPr>
          <w:rFonts w:hint="eastAsia"/>
          <w:lang w:val="en-US" w:eastAsia="zh-CN"/>
        </w:rPr>
        <w:t>术语定义</w:t>
      </w:r>
      <w:bookmarkEnd w:id="4"/>
    </w:p>
    <w:p w14:paraId="24D83CE0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一线支持</w:t>
      </w:r>
    </w:p>
    <w:p w14:paraId="230DE390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服务台专员</w:t>
      </w:r>
    </w:p>
    <w:p w14:paraId="48324CAB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二线支持</w:t>
      </w:r>
    </w:p>
    <w:p w14:paraId="7B9FEBA4">
      <w:pPr>
        <w:pStyle w:val="29"/>
        <w:bidi w:val="0"/>
        <w:rPr>
          <w:rFonts w:hint="default" w:eastAsia="宋体"/>
          <w:lang w:val="en-US" w:eastAsia="zh-CN"/>
        </w:rPr>
      </w:pPr>
      <w:r>
        <w:t>指运维部与研发部的研发人员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运维实施工程师</w:t>
      </w:r>
      <w:bookmarkStart w:id="27" w:name="_GoBack"/>
      <w:bookmarkEnd w:id="27"/>
    </w:p>
    <w:p w14:paraId="33C35BFB">
      <w:pPr>
        <w:pStyle w:val="28"/>
        <w:bidi w:val="0"/>
      </w:pPr>
      <w:bookmarkStart w:id="5" w:name="_Toc5031"/>
      <w:r>
        <w:rPr>
          <w:rFonts w:hint="eastAsia"/>
          <w:lang w:val="en-US" w:eastAsia="zh-CN"/>
        </w:rPr>
        <w:t>适用</w:t>
      </w:r>
      <w:r>
        <w:t>范围</w:t>
      </w:r>
      <w:bookmarkEnd w:id="5"/>
    </w:p>
    <w:p w14:paraId="3ABA999D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事件管理主要包括的内容如下:</w:t>
      </w:r>
    </w:p>
    <w:p w14:paraId="1301466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操作系统损坏，需要重新安排软件</w:t>
      </w:r>
    </w:p>
    <w:p w14:paraId="6236A07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软件服务到期</w:t>
      </w:r>
    </w:p>
    <w:p w14:paraId="6FAE1337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由于本机硬件问题导致系统无法正常工作</w:t>
      </w:r>
    </w:p>
    <w:p w14:paraId="51BCE53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需要把原来的数据库导入新系统中</w:t>
      </w:r>
    </w:p>
    <w:p w14:paraId="5C89421A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不会使用软件，需要上门指导学习使用</w:t>
      </w:r>
    </w:p>
    <w:p w14:paraId="543B9C1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操作使用软件不当，软件文件损坏导致软件系统无法正常工作</w:t>
      </w:r>
    </w:p>
    <w:p w14:paraId="3CB9B9D5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本身电脑因为中病毒、误操作、重新安装操作系统，软件无法启动</w:t>
      </w:r>
    </w:p>
    <w:p w14:paraId="688F99FC">
      <w:pPr>
        <w:pStyle w:val="28"/>
        <w:bidi w:val="0"/>
        <w:rPr>
          <w:rFonts w:hint="eastAsia"/>
          <w:lang w:val="en-US" w:eastAsia="zh-CN"/>
        </w:rPr>
      </w:pPr>
      <w:bookmarkStart w:id="6" w:name="_Toc27998"/>
      <w:r>
        <w:rPr>
          <w:rFonts w:hint="eastAsia"/>
          <w:lang w:val="en-US" w:eastAsia="zh-CN"/>
        </w:rPr>
        <w:t>岗位职责</w:t>
      </w:r>
      <w:bookmarkEnd w:id="6"/>
    </w:p>
    <w:p w14:paraId="547C124A">
      <w:pPr>
        <w:pStyle w:val="3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运维部</w:t>
      </w:r>
    </w:p>
    <w:p w14:paraId="6418EAF0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定义并维护事件管理流程文件及所需要的记录模板；</w:t>
      </w:r>
    </w:p>
    <w:p w14:paraId="0338A3E9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管理事件管理流程的实施，包括一线、二线的执行情况；</w:t>
      </w:r>
    </w:p>
    <w:p w14:paraId="26A482E5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确保事件管理流程目标的实现；</w:t>
      </w:r>
    </w:p>
    <w:p w14:paraId="532D2509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识别事件管理过程中存在的问题并及时向部门经理提出；</w:t>
      </w:r>
    </w:p>
    <w:p w14:paraId="6A2D5F96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t>定期向部门经理汇报实施过程中存在的问题；定义并维护发布管理流程文件及所需要的记录模板；</w:t>
      </w:r>
    </w:p>
    <w:p w14:paraId="1B8A7171">
      <w:pPr>
        <w:pStyle w:val="28"/>
        <w:bidi w:val="0"/>
        <w:rPr>
          <w:rFonts w:hint="default"/>
          <w:lang w:val="en-US" w:eastAsia="zh-CN"/>
        </w:rPr>
      </w:pPr>
      <w:bookmarkStart w:id="7" w:name="_Toc30145"/>
      <w:r>
        <w:rPr>
          <w:rFonts w:hint="eastAsia"/>
          <w:lang w:val="en-US" w:eastAsia="zh-CN"/>
        </w:rPr>
        <w:t>事件管理流程</w:t>
      </w:r>
      <w:bookmarkEnd w:id="7"/>
    </w:p>
    <w:p w14:paraId="3DB2CD8A"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事件管理流程，如图5-1所示</w:t>
      </w:r>
    </w:p>
    <w:p w14:paraId="729BDA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4EDCBD6A">
      <w:pPr>
        <w:pStyle w:val="29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  STYLEREF "柴_标题1" \n \* Charformat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-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SEQ 图 \* ARABIC  \s 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事件管理流程</w:t>
      </w:r>
    </w:p>
    <w:p w14:paraId="589F5031">
      <w:pPr>
        <w:pStyle w:val="29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alt="" type="#_x0000_t75" style="height:458.9pt;width:368.6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 w14:paraId="53394CFE">
      <w:pPr>
        <w:pStyle w:val="30"/>
        <w:bidi w:val="0"/>
        <w:rPr>
          <w:rFonts w:hint="default"/>
          <w:lang w:val="en-US" w:eastAsia="zh-CN"/>
        </w:rPr>
      </w:pPr>
      <w:bookmarkStart w:id="8" w:name="_Toc31347"/>
      <w:r>
        <w:rPr>
          <w:rFonts w:hint="eastAsia"/>
          <w:lang w:val="en-US" w:eastAsia="zh-CN"/>
        </w:rPr>
        <w:t>流程说明</w:t>
      </w:r>
      <w:bookmarkEnd w:id="8"/>
    </w:p>
    <w:p w14:paraId="5F244234">
      <w:pPr>
        <w:pStyle w:val="31"/>
        <w:bidi w:val="0"/>
        <w:rPr>
          <w:rFonts w:hint="default"/>
          <w:lang w:val="en-US" w:eastAsia="zh-CN"/>
        </w:rPr>
      </w:pPr>
      <w:bookmarkStart w:id="9" w:name="_Toc11704"/>
      <w:r>
        <w:rPr>
          <w:rFonts w:hint="default"/>
          <w:lang w:val="en-US" w:eastAsia="zh-CN"/>
        </w:rPr>
        <w:t>热线受理</w:t>
      </w:r>
      <w:bookmarkEnd w:id="9"/>
    </w:p>
    <w:p w14:paraId="6612DA55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客户可通过热线电话、邮件或即时通讯等方式报告事件。一线支持需完整收集事件相关信息，受理后录入事件处理流程。</w:t>
      </w:r>
    </w:p>
    <w:p w14:paraId="2859D8B9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一线支持应收集以下信息：</w:t>
      </w:r>
    </w:p>
    <w:p w14:paraId="053711E3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来电客户的单位名称、联系人、电话号码等基本信息；</w:t>
      </w:r>
    </w:p>
    <w:p w14:paraId="4E4D3FE1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影响业务的具体原因、故障现象及事件优先级；</w:t>
      </w:r>
    </w:p>
    <w:p w14:paraId="5DD20F46">
      <w:pPr>
        <w:pStyle w:val="2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客户期望的解决时间。</w:t>
      </w:r>
    </w:p>
    <w:p w14:paraId="7EF3FA79">
      <w:pPr>
        <w:pStyle w:val="31"/>
        <w:bidi w:val="0"/>
        <w:rPr>
          <w:rFonts w:hint="default"/>
          <w:lang w:val="en-US" w:eastAsia="zh-CN"/>
        </w:rPr>
      </w:pPr>
      <w:bookmarkStart w:id="10" w:name="_Toc13642"/>
      <w:r>
        <w:rPr>
          <w:rFonts w:hint="default"/>
          <w:lang w:val="en-US" w:eastAsia="zh-CN"/>
        </w:rPr>
        <w:t>请求记录和分类</w:t>
      </w:r>
      <w:bookmarkEnd w:id="10"/>
    </w:p>
    <w:p w14:paraId="013186DE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一线支持须将来自热线电话、邮件或即时通讯的事件信息记录于《日常维护工作记录表》。通过电话受理时，需详细了解事件情况，并依据事件性质与影响范围对其进行分类和优先级判定。</w:t>
      </w:r>
    </w:p>
    <w:p w14:paraId="02324F02">
      <w:pPr>
        <w:pStyle w:val="31"/>
        <w:bidi w:val="0"/>
        <w:rPr>
          <w:rFonts w:hint="default"/>
          <w:lang w:val="en-US" w:eastAsia="zh-CN"/>
        </w:rPr>
      </w:pPr>
      <w:bookmarkStart w:id="11" w:name="_Toc18979"/>
      <w:r>
        <w:rPr>
          <w:rFonts w:hint="default"/>
          <w:lang w:val="en-US" w:eastAsia="zh-CN"/>
        </w:rPr>
        <w:t>热线电话尝试解决</w:t>
      </w:r>
      <w:bookmarkEnd w:id="11"/>
    </w:p>
    <w:p w14:paraId="0F6F2AE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一线支持人员在受理事件后，首先根据用户描述，尝试通过电话指导用户自行解决故障。</w:t>
      </w:r>
    </w:p>
    <w:p w14:paraId="5B6A7F08">
      <w:pPr>
        <w:pStyle w:val="31"/>
        <w:bidi w:val="0"/>
        <w:rPr>
          <w:rFonts w:hint="default"/>
          <w:lang w:val="en-US" w:eastAsia="zh-CN"/>
        </w:rPr>
      </w:pPr>
      <w:bookmarkStart w:id="12" w:name="_Toc6618"/>
      <w:r>
        <w:rPr>
          <w:rFonts w:hint="default"/>
          <w:lang w:val="en-US" w:eastAsia="zh-CN"/>
        </w:rPr>
        <w:t>远程解决</w:t>
      </w:r>
      <w:bookmarkEnd w:id="12"/>
    </w:p>
    <w:p w14:paraId="131CF58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若无法通过电话指导解决，一线支持人员在获得客户授权后，可借助远程工具登录客户计算机进行了操作处理。</w:t>
      </w:r>
    </w:p>
    <w:p w14:paraId="6346BA29">
      <w:pPr>
        <w:pStyle w:val="31"/>
        <w:bidi w:val="0"/>
        <w:rPr>
          <w:rFonts w:hint="default"/>
          <w:lang w:val="en-US" w:eastAsia="zh-CN"/>
        </w:rPr>
      </w:pPr>
      <w:bookmarkStart w:id="13" w:name="_Toc3359"/>
      <w:r>
        <w:rPr>
          <w:rFonts w:hint="default"/>
          <w:lang w:val="en-US" w:eastAsia="zh-CN"/>
        </w:rPr>
        <w:t>二线支持</w:t>
      </w:r>
      <w:bookmarkEnd w:id="13"/>
    </w:p>
    <w:p w14:paraId="15BF50A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如一线支持无法独立解决事件，或判断事件超出其职责范围，应转交二线支持处理。</w:t>
      </w:r>
    </w:p>
    <w:p w14:paraId="2DB87710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二线支持主要负责解决技术疑难问题，分析根本原因，审批新增设备及配套服务，并牵头处理重大故障或服务纠纷。</w:t>
      </w:r>
    </w:p>
    <w:p w14:paraId="5D02DE3C">
      <w:pPr>
        <w:pStyle w:val="31"/>
        <w:bidi w:val="0"/>
        <w:rPr>
          <w:rFonts w:hint="default"/>
          <w:lang w:val="en-US" w:eastAsia="zh-CN"/>
        </w:rPr>
      </w:pPr>
      <w:bookmarkStart w:id="14" w:name="_Toc9343"/>
      <w:r>
        <w:rPr>
          <w:rFonts w:hint="default"/>
          <w:lang w:val="en-US" w:eastAsia="zh-CN"/>
        </w:rPr>
        <w:t>现场服务响应</w:t>
      </w:r>
      <w:bookmarkEnd w:id="14"/>
    </w:p>
    <w:p w14:paraId="111E397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技术人员（一线或二线）应与客户协商确定现场服务的具体时间、地点及需客户配合的事项。</w:t>
      </w:r>
    </w:p>
    <w:p w14:paraId="2ABCD6A4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技术人员需准备最新版本的安装程序、用户手册、升级补丁及现场服务记录单，必要时可申请二线支持协同前往。</w:t>
      </w:r>
    </w:p>
    <w:p w14:paraId="21C72F9C">
      <w:pPr>
        <w:pStyle w:val="31"/>
        <w:bidi w:val="0"/>
        <w:rPr>
          <w:rFonts w:hint="default"/>
          <w:lang w:val="en-US" w:eastAsia="zh-CN"/>
        </w:rPr>
      </w:pPr>
      <w:bookmarkStart w:id="15" w:name="_Toc390"/>
      <w:r>
        <w:rPr>
          <w:rFonts w:hint="default"/>
          <w:lang w:val="en-US" w:eastAsia="zh-CN"/>
        </w:rPr>
        <w:t>调查诊断</w:t>
      </w:r>
      <w:bookmarkEnd w:id="15"/>
    </w:p>
    <w:p w14:paraId="4DF088E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现场服务人员（一线或二线）应通过标准配置比对、日志分析等手段进行故障调查，定位根本原因。</w:t>
      </w:r>
    </w:p>
    <w:p w14:paraId="707BC466">
      <w:pPr>
        <w:pStyle w:val="31"/>
        <w:bidi w:val="0"/>
        <w:rPr>
          <w:rFonts w:hint="default"/>
          <w:lang w:val="en-US" w:eastAsia="zh-CN"/>
        </w:rPr>
      </w:pPr>
      <w:bookmarkStart w:id="16" w:name="_Toc23790"/>
      <w:r>
        <w:rPr>
          <w:rFonts w:hint="default"/>
          <w:lang w:val="en-US" w:eastAsia="zh-CN"/>
        </w:rPr>
        <w:t>确定解决方案</w:t>
      </w:r>
      <w:bookmarkEnd w:id="16"/>
    </w:p>
    <w:p w14:paraId="65262B02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技术人员根据故障分析结果制定解决方案，并与客户沟通方案实施预计时长及可行性。若事件无法立即解决，须与客户商定解决时间。对于重大故障（高或中级），须提前完成数据备份。</w:t>
      </w:r>
    </w:p>
    <w:p w14:paraId="079DA0E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若故障处理涉及一般、重大或紧急变更，应转入变更管理流程，依据《变更管理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》执行。</w:t>
      </w:r>
    </w:p>
    <w:p w14:paraId="2AA23401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事件解决后，故障现场负责人应进行评估，如属重大影响或频发问题，需转入问题管理流程进行根源分析，具体见《问题管理</w:t>
      </w:r>
      <w:r>
        <w:rPr>
          <w:rFonts w:hint="eastAsia"/>
          <w:lang w:val="en-US" w:eastAsia="zh-CN"/>
        </w:rPr>
        <w:t>制度</w:t>
      </w:r>
      <w:r>
        <w:rPr>
          <w:rFonts w:hint="default"/>
          <w:lang w:val="en-US" w:eastAsia="zh-CN"/>
        </w:rPr>
        <w:t>》。</w:t>
      </w:r>
    </w:p>
    <w:p w14:paraId="6BB2A48E">
      <w:pPr>
        <w:pStyle w:val="31"/>
        <w:bidi w:val="0"/>
        <w:rPr>
          <w:rFonts w:hint="default"/>
          <w:lang w:val="en-US" w:eastAsia="zh-CN"/>
        </w:rPr>
      </w:pPr>
      <w:bookmarkStart w:id="17" w:name="_Toc8046"/>
      <w:r>
        <w:rPr>
          <w:rFonts w:hint="default"/>
          <w:lang w:val="en-US" w:eastAsia="zh-CN"/>
        </w:rPr>
        <w:t>客户确认</w:t>
      </w:r>
      <w:bookmarkEnd w:id="17"/>
    </w:p>
    <w:p w14:paraId="2D6216A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事件处理完成后，由一线人员通过电话回访确认解决效果及客户满意度，并更新《日常维护工作记录表》。</w:t>
      </w:r>
    </w:p>
    <w:p w14:paraId="20EEA1F4">
      <w:pPr>
        <w:pStyle w:val="31"/>
        <w:bidi w:val="0"/>
        <w:rPr>
          <w:rFonts w:hint="default"/>
          <w:lang w:val="en-US" w:eastAsia="zh-CN"/>
        </w:rPr>
      </w:pPr>
      <w:bookmarkStart w:id="18" w:name="_Toc5431"/>
      <w:r>
        <w:rPr>
          <w:rFonts w:hint="default"/>
          <w:lang w:val="en-US" w:eastAsia="zh-CN"/>
        </w:rPr>
        <w:t>资料归档</w:t>
      </w:r>
      <w:bookmarkEnd w:id="18"/>
    </w:p>
    <w:p w14:paraId="277FCF83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技术支持人员负责将《日常维护工作记录表》进行归档。</w:t>
      </w:r>
    </w:p>
    <w:p w14:paraId="37C40B36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</w:t>
      </w:r>
      <w:r>
        <w:rPr>
          <w:rFonts w:hint="default"/>
          <w:lang w:val="en-US" w:eastAsia="zh-CN"/>
        </w:rPr>
        <w:t>项目经理负责审核事件记录内容的完整性与准确性。</w:t>
      </w:r>
    </w:p>
    <w:p w14:paraId="22CF435F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如事件处理导致配置项属性发生变化，由一线支持</w:t>
      </w:r>
      <w:r>
        <w:rPr>
          <w:rFonts w:hint="eastAsia"/>
          <w:lang w:val="en-US" w:eastAsia="zh-CN"/>
        </w:rPr>
        <w:t>人员</w:t>
      </w:r>
      <w:r>
        <w:rPr>
          <w:rFonts w:hint="default"/>
          <w:lang w:val="en-US" w:eastAsia="zh-CN"/>
        </w:rPr>
        <w:t>进行修改，流程见《配置管理</w:t>
      </w:r>
      <w:r>
        <w:rPr>
          <w:rFonts w:hint="eastAsia"/>
          <w:lang w:val="en-US" w:eastAsia="zh-CN"/>
        </w:rPr>
        <w:t>制度》</w:t>
      </w:r>
      <w:r>
        <w:rPr>
          <w:rFonts w:hint="default"/>
          <w:lang w:val="en-US" w:eastAsia="zh-CN"/>
        </w:rPr>
        <w:t>。</w:t>
      </w:r>
    </w:p>
    <w:p w14:paraId="7F81C4D4">
      <w:pPr>
        <w:pStyle w:val="31"/>
        <w:bidi w:val="0"/>
        <w:rPr>
          <w:rFonts w:hint="default"/>
          <w:lang w:val="en-US" w:eastAsia="zh-CN"/>
        </w:rPr>
      </w:pPr>
      <w:bookmarkStart w:id="19" w:name="_Toc2484"/>
      <w:r>
        <w:rPr>
          <w:rFonts w:hint="default"/>
          <w:lang w:val="en-US" w:eastAsia="zh-CN"/>
        </w:rPr>
        <w:t>事件报告</w:t>
      </w:r>
      <w:bookmarkEnd w:id="19"/>
    </w:p>
    <w:p w14:paraId="7689891B"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运维实施工程师</w:t>
      </w:r>
      <w:r>
        <w:rPr>
          <w:rFonts w:hint="default"/>
          <w:lang w:val="en-US" w:eastAsia="zh-CN"/>
        </w:rPr>
        <w:t>每月应对事件进行汇总与分类，编制事件报告并提交至运维部与研发部经理。报告内容包括但不限于：</w:t>
      </w:r>
    </w:p>
    <w:p w14:paraId="7615C5BC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本月事件总数；</w:t>
      </w:r>
    </w:p>
    <w:p w14:paraId="1C4C06D7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本月服务响应率；</w:t>
      </w:r>
    </w:p>
    <w:p w14:paraId="5F43E79A"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一线支持解决事件数量；</w:t>
      </w:r>
    </w:p>
    <w:p w14:paraId="579FFCFC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二线支持解决事件数量；</w:t>
      </w:r>
    </w:p>
    <w:p w14:paraId="26F8D048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事件数量趋势分析及预测；</w:t>
      </w:r>
    </w:p>
    <w:p w14:paraId="58054DD2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一线解决率；</w:t>
      </w:r>
    </w:p>
    <w:p w14:paraId="290D4796">
      <w:pPr>
        <w:pStyle w:val="29"/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一次现场解决率。</w:t>
      </w:r>
    </w:p>
    <w:p w14:paraId="1541CBFC">
      <w:pPr>
        <w:pStyle w:val="30"/>
        <w:bidi w:val="0"/>
        <w:rPr>
          <w:rFonts w:hint="default"/>
          <w:lang w:val="en-US" w:eastAsia="zh-CN"/>
        </w:rPr>
      </w:pPr>
      <w:bookmarkStart w:id="20" w:name="_Toc16802"/>
      <w:r>
        <w:rPr>
          <w:rFonts w:hint="eastAsia"/>
          <w:lang w:val="en-US" w:eastAsia="zh-CN"/>
        </w:rPr>
        <w:t>考核指标</w:t>
      </w:r>
      <w:bookmarkEnd w:id="2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350F08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79B42045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0E68FC74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681C5F0A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72E95672">
            <w:pPr>
              <w:pStyle w:val="39"/>
              <w:widowControl w:val="0"/>
              <w:bidi w:val="0"/>
              <w:jc w:val="center"/>
              <w:rPr>
                <w:rFonts w:hint="default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指标要求</w:t>
            </w:r>
          </w:p>
        </w:tc>
      </w:tr>
      <w:tr w14:paraId="4A81D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5D2E8D50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事件及时响应率</w:t>
            </w:r>
          </w:p>
        </w:tc>
        <w:tc>
          <w:tcPr>
            <w:tcW w:w="2583" w:type="dxa"/>
            <w:shd w:val="clear" w:color="auto" w:fill="auto"/>
          </w:tcPr>
          <w:p w14:paraId="3D83B9F7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月度及时响应的事件/月度总事件*100%</w:t>
            </w:r>
          </w:p>
        </w:tc>
        <w:tc>
          <w:tcPr>
            <w:tcW w:w="1353" w:type="dxa"/>
          </w:tcPr>
          <w:p w14:paraId="3934ABC9">
            <w:pPr>
              <w:pStyle w:val="39"/>
              <w:widowControl w:val="0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每月</w:t>
            </w:r>
          </w:p>
        </w:tc>
        <w:tc>
          <w:tcPr>
            <w:tcW w:w="1583" w:type="dxa"/>
          </w:tcPr>
          <w:p w14:paraId="498645F8">
            <w:pPr>
              <w:pStyle w:val="39"/>
              <w:widowControl w:val="0"/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≥95%</w:t>
            </w:r>
          </w:p>
        </w:tc>
      </w:tr>
    </w:tbl>
    <w:p w14:paraId="7B802C92">
      <w:pPr>
        <w:pStyle w:val="29"/>
        <w:numPr>
          <w:ilvl w:val="0"/>
          <w:numId w:val="0"/>
        </w:numPr>
        <w:kinsoku w:val="0"/>
        <w:autoSpaceDE w:val="0"/>
        <w:autoSpaceDN w:val="0"/>
        <w:bidi w:val="0"/>
        <w:adjustRightInd w:val="0"/>
        <w:snapToGrid w:val="0"/>
        <w:spacing w:line="360" w:lineRule="auto"/>
        <w:jc w:val="left"/>
        <w:textAlignment w:val="baseline"/>
        <w:rPr>
          <w:rFonts w:hint="default"/>
          <w:lang w:val="en-US" w:eastAsia="zh-CN"/>
        </w:rPr>
      </w:pPr>
    </w:p>
    <w:p w14:paraId="21AFFC5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1" w:name="bookmark3"/>
      <w:bookmarkEnd w:id="21"/>
      <w:bookmarkStart w:id="22" w:name="_Toc17424"/>
      <w:bookmarkStart w:id="23" w:name="_Toc21721"/>
      <w:r>
        <w:rPr>
          <w:rStyle w:val="38"/>
          <w:rFonts w:hint="eastAsia" w:eastAsia="宋体"/>
          <w:lang w:val="en-US" w:eastAsia="zh-CN"/>
        </w:rPr>
        <w:t>附则</w:t>
      </w:r>
      <w:bookmarkEnd w:id="22"/>
      <w:bookmarkEnd w:id="23"/>
    </w:p>
    <w:p w14:paraId="04807F7B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8A118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5B60A50">
      <w:pPr>
        <w:pStyle w:val="28"/>
        <w:bidi w:val="0"/>
        <w:rPr>
          <w:rFonts w:hint="default"/>
          <w:lang w:val="en-US" w:eastAsia="zh-CN"/>
        </w:rPr>
      </w:pPr>
      <w:bookmarkStart w:id="24" w:name="bookmark14"/>
      <w:bookmarkEnd w:id="24"/>
      <w:bookmarkStart w:id="25" w:name="_Toc14496"/>
      <w:r>
        <w:rPr>
          <w:rFonts w:hint="eastAsia"/>
          <w:lang w:val="en-US" w:eastAsia="zh-CN"/>
        </w:rPr>
        <w:t>附件</w:t>
      </w:r>
      <w:bookmarkEnd w:id="25"/>
    </w:p>
    <w:p w14:paraId="093F6F95">
      <w:pPr>
        <w:pStyle w:val="39"/>
        <w:bidi w:val="0"/>
      </w:pPr>
      <w:r>
        <w:t>《问题管理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5A2F01EB">
      <w:pPr>
        <w:pStyle w:val="39"/>
        <w:bidi w:val="0"/>
      </w:pPr>
      <w:r>
        <w:t>《变更管理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5A03EC13">
      <w:pPr>
        <w:pStyle w:val="39"/>
        <w:bidi w:val="0"/>
      </w:pPr>
      <w:r>
        <w:t>《配置管理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71702A28">
      <w:pPr>
        <w:pStyle w:val="39"/>
        <w:bidi w:val="0"/>
      </w:pPr>
      <w:r>
        <w:t>《服务报告管理</w:t>
      </w:r>
      <w:r>
        <w:rPr>
          <w:rFonts w:hint="eastAsia"/>
          <w:lang w:val="en-US" w:eastAsia="zh-CN"/>
        </w:rPr>
        <w:t>制度</w:t>
      </w:r>
      <w:r>
        <w:t>》</w:t>
      </w:r>
    </w:p>
    <w:p w14:paraId="77E77A0A">
      <w:pPr>
        <w:pStyle w:val="28"/>
        <w:bidi w:val="0"/>
        <w:rPr>
          <w:rFonts w:hint="eastAsia"/>
          <w:lang w:val="en-US" w:eastAsia="zh-CN"/>
        </w:rPr>
      </w:pPr>
      <w:bookmarkStart w:id="26" w:name="_Toc2485"/>
      <w:r>
        <w:rPr>
          <w:rFonts w:hint="eastAsia"/>
          <w:lang w:val="en-US" w:eastAsia="zh-CN"/>
        </w:rPr>
        <w:t>记录</w:t>
      </w:r>
      <w:bookmarkEnd w:id="26"/>
    </w:p>
    <w:p w14:paraId="4E32738A">
      <w:pPr>
        <w:pStyle w:val="39"/>
        <w:bidi w:val="0"/>
        <w:rPr>
          <w:rFonts w:hint="eastAsia"/>
          <w:lang w:val="en-US" w:eastAsia="zh-CN"/>
        </w:rPr>
      </w:pPr>
      <w:r>
        <w:t>《事件记录表》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F84311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A447A9A8"/>
    <w:multiLevelType w:val="singleLevel"/>
    <w:tmpl w:val="A447A9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ABE0E95B"/>
    <w:multiLevelType w:val="singleLevel"/>
    <w:tmpl w:val="ABE0E9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9EE2DF8"/>
    <w:multiLevelType w:val="singleLevel"/>
    <w:tmpl w:val="E9EE2DF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1ED4AD67"/>
    <w:multiLevelType w:val="singleLevel"/>
    <w:tmpl w:val="1ED4AD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1F3B6B3F"/>
    <w:multiLevelType w:val="singleLevel"/>
    <w:tmpl w:val="1F3B6B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634AFD62"/>
    <w:multiLevelType w:val="singleLevel"/>
    <w:tmpl w:val="634AFD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04F2670"/>
    <w:rsid w:val="13394518"/>
    <w:rsid w:val="13BE5E1E"/>
    <w:rsid w:val="19820606"/>
    <w:rsid w:val="2674607E"/>
    <w:rsid w:val="268F462C"/>
    <w:rsid w:val="28DE6011"/>
    <w:rsid w:val="4A5120AF"/>
    <w:rsid w:val="4D5B3250"/>
    <w:rsid w:val="52164A8A"/>
    <w:rsid w:val="7A94376E"/>
    <w:rsid w:val="7C66738C"/>
    <w:rsid w:val="7EEA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2156</Words>
  <Characters>2302</Characters>
  <Lines>0</Lines>
  <Paragraphs>0</Paragraphs>
  <TotalTime>1</TotalTime>
  <ScaleCrop>false</ScaleCrop>
  <LinksUpToDate>false</LinksUpToDate>
  <CharactersWithSpaces>2403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2025-09-15T04:10:03Z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