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4A6A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-04</w:t>
      </w:r>
    </w:p>
    <w:p w14:paraId="35D8F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DBCFF2A">
      <w:pPr>
        <w:pStyle w:val="24"/>
        <w:bidi w:val="0"/>
      </w:pPr>
      <w:bookmarkStart w:id="0" w:name="_Toc14791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C04BF64">
      <w:pPr>
        <w:pStyle w:val="25"/>
        <w:bidi w:val="0"/>
        <w:rPr>
          <w:rFonts w:hint="default"/>
          <w:lang w:val="en-US"/>
        </w:rPr>
      </w:pPr>
      <w:bookmarkStart w:id="1" w:name="_Toc2953"/>
      <w:r>
        <w:rPr>
          <w:rFonts w:hint="eastAsia"/>
          <w:lang w:val="en-US" w:eastAsia="zh-CN"/>
        </w:rPr>
        <w:t>事件管理制度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487A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99F42D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1DCCBA4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A46C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AA0E3D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E2A244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9BD2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CBD32F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045BF7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DF13033">
      <w:r>
        <w:br w:type="page"/>
      </w:r>
    </w:p>
    <w:p w14:paraId="75F11E3C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12250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BE185A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3CE5DF9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906448C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FF717F6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01A044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CC062FD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92C63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6479C4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5E6FF3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C3F334C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346773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3D1673D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3536B3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17EDF3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F5701A">
            <w:pPr>
              <w:pStyle w:val="27"/>
            </w:pPr>
          </w:p>
        </w:tc>
        <w:tc>
          <w:tcPr>
            <w:tcW w:w="919" w:type="dxa"/>
          </w:tcPr>
          <w:p w14:paraId="25EDD144">
            <w:pPr>
              <w:pStyle w:val="27"/>
            </w:pPr>
          </w:p>
        </w:tc>
        <w:tc>
          <w:tcPr>
            <w:tcW w:w="2289" w:type="dxa"/>
          </w:tcPr>
          <w:p w14:paraId="462A2080">
            <w:pPr>
              <w:pStyle w:val="27"/>
            </w:pPr>
          </w:p>
        </w:tc>
        <w:tc>
          <w:tcPr>
            <w:tcW w:w="1148" w:type="dxa"/>
          </w:tcPr>
          <w:p w14:paraId="453340A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E19FE8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2009FF">
            <w:pPr>
              <w:pStyle w:val="27"/>
            </w:pPr>
          </w:p>
        </w:tc>
      </w:tr>
      <w:tr w14:paraId="13806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DD569CF">
            <w:pPr>
              <w:pStyle w:val="27"/>
            </w:pPr>
          </w:p>
        </w:tc>
        <w:tc>
          <w:tcPr>
            <w:tcW w:w="919" w:type="dxa"/>
          </w:tcPr>
          <w:p w14:paraId="2B4C92C5">
            <w:pPr>
              <w:pStyle w:val="27"/>
            </w:pPr>
          </w:p>
        </w:tc>
        <w:tc>
          <w:tcPr>
            <w:tcW w:w="2289" w:type="dxa"/>
          </w:tcPr>
          <w:p w14:paraId="193BDBE1">
            <w:pPr>
              <w:pStyle w:val="27"/>
            </w:pPr>
          </w:p>
        </w:tc>
        <w:tc>
          <w:tcPr>
            <w:tcW w:w="1148" w:type="dxa"/>
          </w:tcPr>
          <w:p w14:paraId="2627D95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EDCFDC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EE703C2">
            <w:pPr>
              <w:pStyle w:val="27"/>
            </w:pPr>
          </w:p>
        </w:tc>
      </w:tr>
      <w:tr w14:paraId="030719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C85168D">
            <w:pPr>
              <w:pStyle w:val="27"/>
            </w:pPr>
          </w:p>
        </w:tc>
        <w:tc>
          <w:tcPr>
            <w:tcW w:w="919" w:type="dxa"/>
          </w:tcPr>
          <w:p w14:paraId="0CD87237">
            <w:pPr>
              <w:pStyle w:val="27"/>
            </w:pPr>
          </w:p>
        </w:tc>
        <w:tc>
          <w:tcPr>
            <w:tcW w:w="2289" w:type="dxa"/>
          </w:tcPr>
          <w:p w14:paraId="775B91CA">
            <w:pPr>
              <w:pStyle w:val="27"/>
            </w:pPr>
          </w:p>
        </w:tc>
        <w:tc>
          <w:tcPr>
            <w:tcW w:w="1148" w:type="dxa"/>
          </w:tcPr>
          <w:p w14:paraId="43F46C47">
            <w:pPr>
              <w:pStyle w:val="27"/>
            </w:pPr>
          </w:p>
        </w:tc>
        <w:tc>
          <w:tcPr>
            <w:tcW w:w="1150" w:type="dxa"/>
          </w:tcPr>
          <w:p w14:paraId="20F43842">
            <w:pPr>
              <w:pStyle w:val="27"/>
            </w:pPr>
          </w:p>
        </w:tc>
        <w:tc>
          <w:tcPr>
            <w:tcW w:w="1240" w:type="dxa"/>
          </w:tcPr>
          <w:p w14:paraId="38FE6568">
            <w:pPr>
              <w:pStyle w:val="27"/>
            </w:pPr>
          </w:p>
        </w:tc>
      </w:tr>
      <w:tr w14:paraId="4BCDA9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FBA320A">
            <w:pPr>
              <w:pStyle w:val="27"/>
            </w:pPr>
          </w:p>
        </w:tc>
        <w:tc>
          <w:tcPr>
            <w:tcW w:w="919" w:type="dxa"/>
          </w:tcPr>
          <w:p w14:paraId="584FC969">
            <w:pPr>
              <w:pStyle w:val="27"/>
            </w:pPr>
          </w:p>
        </w:tc>
        <w:tc>
          <w:tcPr>
            <w:tcW w:w="2289" w:type="dxa"/>
          </w:tcPr>
          <w:p w14:paraId="1A3487EC">
            <w:pPr>
              <w:pStyle w:val="27"/>
            </w:pPr>
          </w:p>
        </w:tc>
        <w:tc>
          <w:tcPr>
            <w:tcW w:w="1148" w:type="dxa"/>
          </w:tcPr>
          <w:p w14:paraId="229A24BC">
            <w:pPr>
              <w:pStyle w:val="27"/>
            </w:pPr>
          </w:p>
        </w:tc>
        <w:tc>
          <w:tcPr>
            <w:tcW w:w="1150" w:type="dxa"/>
          </w:tcPr>
          <w:p w14:paraId="7C770668">
            <w:pPr>
              <w:pStyle w:val="27"/>
            </w:pPr>
          </w:p>
        </w:tc>
        <w:tc>
          <w:tcPr>
            <w:tcW w:w="1240" w:type="dxa"/>
          </w:tcPr>
          <w:p w14:paraId="420E4EBD">
            <w:pPr>
              <w:pStyle w:val="27"/>
            </w:pPr>
          </w:p>
        </w:tc>
      </w:tr>
      <w:tr w14:paraId="4748CB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58EE09A">
            <w:pPr>
              <w:pStyle w:val="27"/>
            </w:pPr>
          </w:p>
        </w:tc>
        <w:tc>
          <w:tcPr>
            <w:tcW w:w="919" w:type="dxa"/>
          </w:tcPr>
          <w:p w14:paraId="364C59ED">
            <w:pPr>
              <w:pStyle w:val="27"/>
            </w:pPr>
          </w:p>
        </w:tc>
        <w:tc>
          <w:tcPr>
            <w:tcW w:w="2289" w:type="dxa"/>
          </w:tcPr>
          <w:p w14:paraId="598E2CBB">
            <w:pPr>
              <w:pStyle w:val="27"/>
            </w:pPr>
          </w:p>
        </w:tc>
        <w:tc>
          <w:tcPr>
            <w:tcW w:w="1148" w:type="dxa"/>
          </w:tcPr>
          <w:p w14:paraId="0BA85AAD">
            <w:pPr>
              <w:pStyle w:val="27"/>
            </w:pPr>
          </w:p>
        </w:tc>
        <w:tc>
          <w:tcPr>
            <w:tcW w:w="1150" w:type="dxa"/>
          </w:tcPr>
          <w:p w14:paraId="0FA874B1">
            <w:pPr>
              <w:pStyle w:val="27"/>
            </w:pPr>
          </w:p>
        </w:tc>
        <w:tc>
          <w:tcPr>
            <w:tcW w:w="1240" w:type="dxa"/>
          </w:tcPr>
          <w:p w14:paraId="29A7D6D3">
            <w:pPr>
              <w:pStyle w:val="27"/>
            </w:pPr>
          </w:p>
        </w:tc>
      </w:tr>
    </w:tbl>
    <w:p w14:paraId="7C167500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3ACE41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29CFC3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_Toc14791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_Toc14791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8C1D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事件管理制度</w:t>
          </w:r>
          <w:r>
            <w:tab/>
          </w:r>
          <w:r>
            <w:fldChar w:fldCharType="begin"/>
          </w:r>
          <w:r>
            <w:instrText xml:space="preserve"> PAGEREF _Toc2953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076E9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_Toc28847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_Toc28847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081678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_Toc8361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3F225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_Toc26215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_Toc26215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2D921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_Toc30813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DB786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_Toc11360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_Toc11360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E0F3E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_Toc22612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_Toc22612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DB63E9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_Toc11115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事件管理流程</w:t>
          </w:r>
          <w:r>
            <w:tab/>
          </w:r>
          <w:r>
            <w:fldChar w:fldCharType="begin"/>
          </w:r>
          <w:r>
            <w:instrText xml:space="preserve"> PAGEREF _Toc11115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D8E62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_Toc24702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_Toc24702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1084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热线受理</w:t>
          </w:r>
          <w:r>
            <w:tab/>
          </w:r>
          <w:r>
            <w:fldChar w:fldCharType="begin"/>
          </w:r>
          <w:r>
            <w:instrText xml:space="preserve"> PAGEREF _Toc23728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AA96EC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请求记录和分类</w:t>
          </w:r>
          <w:r>
            <w:tab/>
          </w:r>
          <w:r>
            <w:fldChar w:fldCharType="begin"/>
          </w:r>
          <w:r>
            <w:instrText xml:space="preserve"> PAGEREF _Toc25224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A9148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_Toc15271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热线电话尝试解决</w:t>
          </w:r>
          <w:r>
            <w:tab/>
          </w:r>
          <w:r>
            <w:fldChar w:fldCharType="begin"/>
          </w:r>
          <w:r>
            <w:instrText xml:space="preserve"> PAGEREF _Toc15271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09B4F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远程解决</w:t>
          </w:r>
          <w:r>
            <w:tab/>
          </w:r>
          <w:r>
            <w:fldChar w:fldCharType="begin"/>
          </w:r>
          <w:r>
            <w:instrText xml:space="preserve"> PAGEREF _Toc8838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4DD5A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_Toc16549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二线支持</w:t>
          </w:r>
          <w:r>
            <w:tab/>
          </w:r>
          <w:r>
            <w:fldChar w:fldCharType="begin"/>
          </w:r>
          <w:r>
            <w:instrText xml:space="preserve"> PAGEREF _Toc16549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269A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现场服务响应</w:t>
          </w:r>
          <w:r>
            <w:tab/>
          </w:r>
          <w:r>
            <w:fldChar w:fldCharType="begin"/>
          </w:r>
          <w:r>
            <w:instrText xml:space="preserve"> PAGEREF _Toc12736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99AA7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_Toc28918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5.1.7. 调查诊断</w:t>
          </w:r>
          <w:r>
            <w:tab/>
          </w:r>
          <w:r>
            <w:fldChar w:fldCharType="begin"/>
          </w:r>
          <w:r>
            <w:instrText xml:space="preserve"> PAGEREF _Toc28918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A6014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5.1.8. 确定解决方案</w:t>
          </w:r>
          <w:r>
            <w:tab/>
          </w:r>
          <w:r>
            <w:fldChar w:fldCharType="begin"/>
          </w:r>
          <w:r>
            <w:instrText xml:space="preserve"> PAGEREF _Toc23793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2667B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5.1.9. 客户确认</w:t>
          </w:r>
          <w:r>
            <w:tab/>
          </w:r>
          <w:r>
            <w:fldChar w:fldCharType="begin"/>
          </w:r>
          <w:r>
            <w:instrText xml:space="preserve"> PAGEREF _Toc14490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FDCB4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_Toc12671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5.1.10. 资料归档</w:t>
          </w:r>
          <w:r>
            <w:tab/>
          </w:r>
          <w:r>
            <w:fldChar w:fldCharType="begin"/>
          </w:r>
          <w:r>
            <w:instrText xml:space="preserve"> PAGEREF _Toc12671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68F67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_Toc8993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5.1.11. 事件报告</w:t>
          </w:r>
          <w:r>
            <w:tab/>
          </w:r>
          <w:r>
            <w:fldChar w:fldCharType="begin"/>
          </w:r>
          <w:r>
            <w:instrText xml:space="preserve"> PAGEREF _Toc8993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B6FC1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_Toc31093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_Toc31093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D5511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_Toc29759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_Toc29759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5EEAB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_Toc19522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_Toc19522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50CDE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_Toc26115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_Toc26115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4C30D2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BD95F2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40467D5">
      <w:pPr>
        <w:pStyle w:val="28"/>
        <w:bidi w:val="0"/>
      </w:pPr>
      <w:bookmarkStart w:id="2" w:name="_Toc28847"/>
      <w:r>
        <w:t>目的</w:t>
      </w:r>
      <w:bookmarkEnd w:id="2"/>
    </w:p>
    <w:p w14:paraId="7AC6A0AC">
      <w:pPr>
        <w:pStyle w:val="29"/>
        <w:bidi w:val="0"/>
        <w:rPr>
          <w:rFonts w:hint="eastAsia"/>
          <w:lang w:val="en-US" w:eastAsia="zh-CN"/>
        </w:rPr>
      </w:pPr>
      <w:r>
        <w:t>为了减少或消除存在或可能存在于IT服务中的干扰因素给IT服务带来的影响，以确保用户可以尽快恢复自己的正常工作</w:t>
      </w:r>
      <w:r>
        <w:rPr>
          <w:rFonts w:hint="eastAsia"/>
          <w:lang w:val="en-US" w:eastAsia="zh-CN"/>
        </w:rPr>
        <w:t>,特制定此制度。</w:t>
      </w:r>
    </w:p>
    <w:p w14:paraId="111274AF">
      <w:pPr>
        <w:pStyle w:val="28"/>
        <w:bidi w:val="0"/>
        <w:rPr>
          <w:rFonts w:hint="eastAsia"/>
          <w:lang w:val="en-US" w:eastAsia="zh-CN"/>
        </w:rPr>
      </w:pPr>
      <w:bookmarkStart w:id="3" w:name="_Toc8361"/>
      <w:r>
        <w:rPr>
          <w:rFonts w:hint="eastAsia"/>
          <w:lang w:val="en-US" w:eastAsia="zh-CN"/>
        </w:rPr>
        <w:t>原则</w:t>
      </w:r>
      <w:bookmarkEnd w:id="3"/>
    </w:p>
    <w:p w14:paraId="338ED5D2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快速响应与恢复优先</w:t>
      </w:r>
    </w:p>
    <w:p w14:paraId="770086C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以确保服务可用性为核心目标，优先快速恢复正常的业务运营，最大限度减少事件对业务的影响。</w:t>
      </w:r>
    </w:p>
    <w:p w14:paraId="12CFFE8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分类分级与优先级管理</w:t>
      </w:r>
    </w:p>
    <w:p w14:paraId="659DFA9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根据事件的影响范围和紧急程度，对其进行分类、分级，并明确优先级，确保资源得到合理、高效的分配。</w:t>
      </w:r>
    </w:p>
    <w:p w14:paraId="1E18514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标准化流程处理</w:t>
      </w:r>
    </w:p>
    <w:p w14:paraId="0DCDAE4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严格执行事件识别、记录、调查、诊断、解决与关闭的全流程标准化管理，确保处理过程的可追溯性和一致性。</w:t>
      </w:r>
    </w:p>
    <w:p w14:paraId="620A93C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有效沟通与及时通报</w:t>
      </w:r>
    </w:p>
    <w:p w14:paraId="2CA050B2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在事件处理过程中，应及时向相关用户及利益相关方通报事件状态、处理进展及最终结果，保持信息透明。</w:t>
      </w:r>
    </w:p>
    <w:p w14:paraId="45D9C54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知识积累与持续改进</w:t>
      </w:r>
    </w:p>
    <w:p w14:paraId="1CB7E70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将事件解决方案、处理经验沉淀为知识库内容，并定期分析事件根本原因，推动服务改进，预防同类事件重复发生。</w:t>
      </w:r>
    </w:p>
    <w:p w14:paraId="33D3762B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全员参与与协作共治</w:t>
      </w:r>
    </w:p>
    <w:p w14:paraId="34052AF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明确各相关团队（如运维、研发、供应商）在事件管理中的角色与职责，强化跨团队协同，形成管理合力。</w:t>
      </w:r>
    </w:p>
    <w:p w14:paraId="1B9E26F7">
      <w:pPr>
        <w:pStyle w:val="30"/>
        <w:bidi w:val="0"/>
        <w:rPr>
          <w:rFonts w:hint="eastAsia"/>
          <w:lang w:val="en-US" w:eastAsia="zh-CN"/>
        </w:rPr>
      </w:pPr>
      <w:bookmarkStart w:id="4" w:name="_Toc26215"/>
      <w:r>
        <w:rPr>
          <w:rFonts w:hint="eastAsia"/>
          <w:lang w:val="en-US" w:eastAsia="zh-CN"/>
        </w:rPr>
        <w:t>术语定义</w:t>
      </w:r>
      <w:bookmarkEnd w:id="4"/>
    </w:p>
    <w:p w14:paraId="24D83CE0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一线支持</w:t>
      </w:r>
    </w:p>
    <w:p w14:paraId="230DE390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</w:t>
      </w:r>
    </w:p>
    <w:p w14:paraId="48324CAB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二线支持</w:t>
      </w:r>
    </w:p>
    <w:p w14:paraId="7B9FEBA4">
      <w:pPr>
        <w:pStyle w:val="29"/>
        <w:bidi w:val="0"/>
        <w:rPr>
          <w:rFonts w:hint="default" w:eastAsia="宋体"/>
          <w:lang w:val="en-US" w:eastAsia="zh-CN"/>
        </w:rPr>
      </w:pPr>
      <w:r>
        <w:t>指运维部与研发部的研发人员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运维实施工程师</w:t>
      </w:r>
    </w:p>
    <w:p w14:paraId="33C35BFB">
      <w:pPr>
        <w:pStyle w:val="28"/>
        <w:bidi w:val="0"/>
      </w:pPr>
      <w:bookmarkStart w:id="5" w:name="_Toc30813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3ABA999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事件管理主要包括的内容如下:</w:t>
      </w:r>
    </w:p>
    <w:p w14:paraId="1301466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操作系统损坏，需要重新安排软件</w:t>
      </w:r>
    </w:p>
    <w:p w14:paraId="6236A07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软件服务到期</w:t>
      </w:r>
    </w:p>
    <w:p w14:paraId="6FAE133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由于本机硬件问题导致系统无法正常工作</w:t>
      </w:r>
    </w:p>
    <w:p w14:paraId="51BCE53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需要把原来的数据库导入新系统中</w:t>
      </w:r>
    </w:p>
    <w:p w14:paraId="5C89421A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不会使用软件，需要上门指导学习使用</w:t>
      </w:r>
    </w:p>
    <w:p w14:paraId="543B9C1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操作使用软件不当，软件文件损坏导致软件系统无法正常工作</w:t>
      </w:r>
    </w:p>
    <w:p w14:paraId="3CB9B9D5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本身电脑因为中病毒、误操作、重新安装操作系统，软件无法启动</w:t>
      </w:r>
    </w:p>
    <w:p w14:paraId="688F99FC">
      <w:pPr>
        <w:pStyle w:val="28"/>
        <w:bidi w:val="0"/>
        <w:rPr>
          <w:rFonts w:hint="eastAsia"/>
          <w:lang w:val="en-US" w:eastAsia="zh-CN"/>
        </w:rPr>
      </w:pPr>
      <w:bookmarkStart w:id="6" w:name="_Toc11360"/>
      <w:r>
        <w:rPr>
          <w:rFonts w:hint="eastAsia"/>
          <w:lang w:val="en-US" w:eastAsia="zh-CN"/>
        </w:rPr>
        <w:t>岗位职责</w:t>
      </w:r>
      <w:bookmarkEnd w:id="6"/>
    </w:p>
    <w:p w14:paraId="547C124A">
      <w:pPr>
        <w:pStyle w:val="30"/>
        <w:bidi w:val="0"/>
        <w:rPr>
          <w:rFonts w:hint="eastAsia"/>
          <w:lang w:val="en-US" w:eastAsia="zh-CN"/>
        </w:rPr>
      </w:pPr>
      <w:bookmarkStart w:id="7" w:name="_Toc22612"/>
      <w:r>
        <w:rPr>
          <w:rFonts w:hint="eastAsia"/>
          <w:lang w:val="en-US" w:eastAsia="zh-CN"/>
        </w:rPr>
        <w:t>运维部</w:t>
      </w:r>
      <w:bookmarkEnd w:id="7"/>
    </w:p>
    <w:p w14:paraId="6418EAF0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定义并维护事件管理流程文件及所需要的记录模板；</w:t>
      </w:r>
    </w:p>
    <w:p w14:paraId="0338A3E9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管理事件管理流程的实施，包括一线、二线的执行情况；</w:t>
      </w:r>
    </w:p>
    <w:p w14:paraId="26A482E5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确保事件管理流程目标的实现；</w:t>
      </w:r>
    </w:p>
    <w:p w14:paraId="532D2509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识别事件管理过程中存在的问题并及时向部门经理提出；</w:t>
      </w:r>
    </w:p>
    <w:p w14:paraId="6A2D5F96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定期向部门经理汇报实施过程中存在的问题；定义并维护发布管理流程文件及所需要的记录模板；</w:t>
      </w:r>
    </w:p>
    <w:p w14:paraId="1B8A7171">
      <w:pPr>
        <w:pStyle w:val="28"/>
        <w:bidi w:val="0"/>
        <w:rPr>
          <w:rFonts w:hint="default"/>
          <w:lang w:val="en-US" w:eastAsia="zh-CN"/>
        </w:rPr>
      </w:pPr>
      <w:bookmarkStart w:id="8" w:name="_Toc11115"/>
      <w:r>
        <w:rPr>
          <w:rFonts w:hint="eastAsia"/>
          <w:lang w:val="en-US" w:eastAsia="zh-CN"/>
        </w:rPr>
        <w:t>事件管理流程</w:t>
      </w:r>
      <w:bookmarkEnd w:id="8"/>
    </w:p>
    <w:p w14:paraId="3DB2CD8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事件管理流程，如图5-1所示</w:t>
      </w:r>
    </w:p>
    <w:p w14:paraId="729BD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EDCBD6A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事件管理流程</w:t>
      </w:r>
    </w:p>
    <w:p w14:paraId="589F5031">
      <w:pPr>
        <w:pStyle w:val="29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458.9pt;width:368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53394CFE">
      <w:pPr>
        <w:pStyle w:val="30"/>
        <w:bidi w:val="0"/>
        <w:rPr>
          <w:rFonts w:hint="default"/>
          <w:lang w:val="en-US" w:eastAsia="zh-CN"/>
        </w:rPr>
      </w:pPr>
      <w:bookmarkStart w:id="9" w:name="_Toc24702"/>
      <w:r>
        <w:rPr>
          <w:rFonts w:hint="eastAsia"/>
          <w:lang w:val="en-US" w:eastAsia="zh-CN"/>
        </w:rPr>
        <w:t>流程说明</w:t>
      </w:r>
      <w:bookmarkEnd w:id="9"/>
    </w:p>
    <w:p w14:paraId="5F244234">
      <w:pPr>
        <w:pStyle w:val="31"/>
        <w:bidi w:val="0"/>
        <w:rPr>
          <w:rFonts w:hint="default"/>
          <w:lang w:val="en-US" w:eastAsia="zh-CN"/>
        </w:rPr>
      </w:pPr>
      <w:bookmarkStart w:id="10" w:name="_Toc23728"/>
      <w:r>
        <w:rPr>
          <w:rFonts w:hint="default"/>
          <w:lang w:val="en-US" w:eastAsia="zh-CN"/>
        </w:rPr>
        <w:t>热线受理</w:t>
      </w:r>
      <w:bookmarkEnd w:id="10"/>
    </w:p>
    <w:p w14:paraId="6612DA55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客户可通过热线电话、邮件或即时通讯等方式报告事件。一线支持需完整收集事件相关信息，受理后录入事件处理流程。</w:t>
      </w:r>
    </w:p>
    <w:p w14:paraId="2859D8B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一线支持应收集以下信息：</w:t>
      </w:r>
    </w:p>
    <w:p w14:paraId="053711E3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来电客户的单位名称、联系人、电话号码等基本信息；</w:t>
      </w:r>
    </w:p>
    <w:p w14:paraId="4E4D3FE1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影响业务的具体原因、故障现象及事件优先级；</w:t>
      </w:r>
    </w:p>
    <w:p w14:paraId="5DD20F46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客户期望的解决时间。</w:t>
      </w:r>
    </w:p>
    <w:p w14:paraId="7EF3FA79">
      <w:pPr>
        <w:pStyle w:val="31"/>
        <w:bidi w:val="0"/>
        <w:rPr>
          <w:rFonts w:hint="default"/>
          <w:lang w:val="en-US" w:eastAsia="zh-CN"/>
        </w:rPr>
      </w:pPr>
      <w:bookmarkStart w:id="11" w:name="_Toc25224"/>
      <w:r>
        <w:rPr>
          <w:rFonts w:hint="default"/>
          <w:lang w:val="en-US" w:eastAsia="zh-CN"/>
        </w:rPr>
        <w:t>请求记录和分类</w:t>
      </w:r>
      <w:bookmarkEnd w:id="11"/>
    </w:p>
    <w:p w14:paraId="013186D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一线支持须将来自热线电话、邮件或即时通讯的事件信息记录于《日常维护工作记录表》。通过电话受理时，需详细了解事件情况，并依据事件性质与影响范围对其进行分类和优先级判定。</w:t>
      </w:r>
    </w:p>
    <w:p w14:paraId="02324F02">
      <w:pPr>
        <w:pStyle w:val="31"/>
        <w:bidi w:val="0"/>
        <w:rPr>
          <w:rFonts w:hint="default"/>
          <w:lang w:val="en-US" w:eastAsia="zh-CN"/>
        </w:rPr>
      </w:pPr>
      <w:bookmarkStart w:id="12" w:name="_Toc15271"/>
      <w:r>
        <w:rPr>
          <w:rFonts w:hint="default"/>
          <w:lang w:val="en-US" w:eastAsia="zh-CN"/>
        </w:rPr>
        <w:t>热线电话尝试解决</w:t>
      </w:r>
      <w:bookmarkEnd w:id="12"/>
    </w:p>
    <w:p w14:paraId="0F6F2AE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一线支持人员在受理事件后，首先根据用户描述，尝试通过电话指导用户自行解决故障。</w:t>
      </w:r>
    </w:p>
    <w:p w14:paraId="5B6A7F08">
      <w:pPr>
        <w:pStyle w:val="31"/>
        <w:bidi w:val="0"/>
        <w:rPr>
          <w:rFonts w:hint="default"/>
          <w:lang w:val="en-US" w:eastAsia="zh-CN"/>
        </w:rPr>
      </w:pPr>
      <w:bookmarkStart w:id="13" w:name="_Toc8838"/>
      <w:r>
        <w:rPr>
          <w:rFonts w:hint="default"/>
          <w:lang w:val="en-US" w:eastAsia="zh-CN"/>
        </w:rPr>
        <w:t>远程解决</w:t>
      </w:r>
      <w:bookmarkEnd w:id="13"/>
    </w:p>
    <w:p w14:paraId="131CF58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若无法通过电话指导解决，一线支持人员在获得客户授权后，可借助远程工具登录客户计算机进行了操作处理。</w:t>
      </w:r>
    </w:p>
    <w:p w14:paraId="6346BA29">
      <w:pPr>
        <w:pStyle w:val="31"/>
        <w:bidi w:val="0"/>
        <w:rPr>
          <w:rFonts w:hint="default"/>
          <w:lang w:val="en-US" w:eastAsia="zh-CN"/>
        </w:rPr>
      </w:pPr>
      <w:bookmarkStart w:id="14" w:name="_Toc16549"/>
      <w:r>
        <w:rPr>
          <w:rFonts w:hint="default"/>
          <w:lang w:val="en-US" w:eastAsia="zh-CN"/>
        </w:rPr>
        <w:t>二线支持</w:t>
      </w:r>
      <w:bookmarkEnd w:id="14"/>
    </w:p>
    <w:p w14:paraId="15BF50A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如一线支持无法独立解决事件，或判断事件超出其职责范围，应转交二线支持处理。</w:t>
      </w:r>
    </w:p>
    <w:p w14:paraId="2DB8771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二线支持主要负责解决技术疑难问题，分析根本原因，审批新增设备及配套服务，并牵头处理重大故障或服务纠纷。</w:t>
      </w:r>
    </w:p>
    <w:p w14:paraId="5D02DE3C">
      <w:pPr>
        <w:pStyle w:val="31"/>
        <w:bidi w:val="0"/>
        <w:rPr>
          <w:rFonts w:hint="default"/>
          <w:lang w:val="en-US" w:eastAsia="zh-CN"/>
        </w:rPr>
      </w:pPr>
      <w:bookmarkStart w:id="15" w:name="_Toc12736"/>
      <w:r>
        <w:rPr>
          <w:rFonts w:hint="default"/>
          <w:lang w:val="en-US" w:eastAsia="zh-CN"/>
        </w:rPr>
        <w:t>现场服务响应</w:t>
      </w:r>
      <w:bookmarkEnd w:id="15"/>
    </w:p>
    <w:p w14:paraId="111E397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技术人员（一线或二线）应与客户协商确定现场服务的具体时间、地点及需客户配合的事项。</w:t>
      </w:r>
    </w:p>
    <w:p w14:paraId="2ABCD6A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技术人员需准备最新版本的安装程序、用户手册、升级补丁及现场服务记录单，必要时可申请二线支持协同前往。</w:t>
      </w:r>
    </w:p>
    <w:p w14:paraId="21C72F9C">
      <w:pPr>
        <w:pStyle w:val="31"/>
        <w:bidi w:val="0"/>
        <w:rPr>
          <w:rFonts w:hint="default"/>
          <w:lang w:val="en-US" w:eastAsia="zh-CN"/>
        </w:rPr>
      </w:pPr>
      <w:bookmarkStart w:id="16" w:name="_Toc28918"/>
      <w:r>
        <w:rPr>
          <w:rFonts w:hint="default"/>
          <w:lang w:val="en-US" w:eastAsia="zh-CN"/>
        </w:rPr>
        <w:t>调查诊断</w:t>
      </w:r>
      <w:bookmarkEnd w:id="16"/>
    </w:p>
    <w:p w14:paraId="4DF088E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现场服务人员（一线或二线）应通过标准配置比对、日志分析等手段进行故障调查，定位根本原因。</w:t>
      </w:r>
    </w:p>
    <w:p w14:paraId="707BC466">
      <w:pPr>
        <w:pStyle w:val="31"/>
        <w:bidi w:val="0"/>
        <w:rPr>
          <w:rFonts w:hint="default"/>
          <w:lang w:val="en-US" w:eastAsia="zh-CN"/>
        </w:rPr>
      </w:pPr>
      <w:bookmarkStart w:id="17" w:name="_Toc23793"/>
      <w:r>
        <w:rPr>
          <w:rFonts w:hint="default"/>
          <w:lang w:val="en-US" w:eastAsia="zh-CN"/>
        </w:rPr>
        <w:t>确定解决方案</w:t>
      </w:r>
      <w:bookmarkEnd w:id="17"/>
    </w:p>
    <w:p w14:paraId="65262B0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技术人员根据故障分析结果制定解决方案，并与客户沟通方案实施预计时长及可行性。若事件无法立即解决，须与客户商定解决时间。对于重大故障（高或中级），须提前完成数据备份。</w:t>
      </w:r>
    </w:p>
    <w:p w14:paraId="079DA0E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若故障处理涉及一般、重大或紧急变更，应转入变更管理流程，依据《变更管理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》执行。</w:t>
      </w:r>
    </w:p>
    <w:p w14:paraId="2AA2340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事件解决后，故障现场负责人应进行评估，如属重大影响或频发问题，需转入问题管理流程进行根源分析，具体见《问题管理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》。</w:t>
      </w:r>
    </w:p>
    <w:p w14:paraId="6BB2A48E">
      <w:pPr>
        <w:pStyle w:val="31"/>
        <w:bidi w:val="0"/>
        <w:rPr>
          <w:rFonts w:hint="default"/>
          <w:lang w:val="en-US" w:eastAsia="zh-CN"/>
        </w:rPr>
      </w:pPr>
      <w:bookmarkStart w:id="18" w:name="_Toc14490"/>
      <w:r>
        <w:rPr>
          <w:rFonts w:hint="default"/>
          <w:lang w:val="en-US" w:eastAsia="zh-CN"/>
        </w:rPr>
        <w:t>客户确认</w:t>
      </w:r>
      <w:bookmarkEnd w:id="18"/>
    </w:p>
    <w:p w14:paraId="2D6216A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事件处理完成后，由一线人员通过电话回访确认解决效果及客户满意度，并更新《日常维护工作记录表》。</w:t>
      </w:r>
    </w:p>
    <w:p w14:paraId="20EEA1F4">
      <w:pPr>
        <w:pStyle w:val="31"/>
        <w:bidi w:val="0"/>
        <w:rPr>
          <w:rFonts w:hint="default"/>
          <w:lang w:val="en-US" w:eastAsia="zh-CN"/>
        </w:rPr>
      </w:pPr>
      <w:bookmarkStart w:id="19" w:name="_Toc12671"/>
      <w:r>
        <w:rPr>
          <w:rFonts w:hint="default"/>
          <w:lang w:val="en-US" w:eastAsia="zh-CN"/>
        </w:rPr>
        <w:t>资料归档</w:t>
      </w:r>
      <w:bookmarkEnd w:id="19"/>
    </w:p>
    <w:p w14:paraId="277FCF8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技术支持人员负责将《日常维护工作记录表》进行归档。</w:t>
      </w:r>
    </w:p>
    <w:p w14:paraId="37C40B36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项目经理负责审核事件记录内容的完整性与准确性。</w:t>
      </w:r>
    </w:p>
    <w:p w14:paraId="22CF435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如事件处理导致配置项属性发生变化，由一线支持</w:t>
      </w:r>
      <w:r>
        <w:rPr>
          <w:rFonts w:hint="eastAsia"/>
          <w:lang w:val="en-US" w:eastAsia="zh-CN"/>
        </w:rPr>
        <w:t>人员</w:t>
      </w:r>
      <w:r>
        <w:rPr>
          <w:rFonts w:hint="default"/>
          <w:lang w:val="en-US" w:eastAsia="zh-CN"/>
        </w:rPr>
        <w:t>进行修改，流程见《配置管理</w:t>
      </w:r>
      <w:r>
        <w:rPr>
          <w:rFonts w:hint="eastAsia"/>
          <w:lang w:val="en-US" w:eastAsia="zh-CN"/>
        </w:rPr>
        <w:t>制度》</w:t>
      </w:r>
      <w:r>
        <w:rPr>
          <w:rFonts w:hint="default"/>
          <w:lang w:val="en-US" w:eastAsia="zh-CN"/>
        </w:rPr>
        <w:t>。</w:t>
      </w:r>
    </w:p>
    <w:p w14:paraId="7F81C4D4">
      <w:pPr>
        <w:pStyle w:val="31"/>
        <w:bidi w:val="0"/>
        <w:rPr>
          <w:rFonts w:hint="default"/>
          <w:lang w:val="en-US" w:eastAsia="zh-CN"/>
        </w:rPr>
      </w:pPr>
      <w:bookmarkStart w:id="20" w:name="_Toc8993"/>
      <w:r>
        <w:rPr>
          <w:rFonts w:hint="default"/>
          <w:lang w:val="en-US" w:eastAsia="zh-CN"/>
        </w:rPr>
        <w:t>事件报告</w:t>
      </w:r>
      <w:bookmarkEnd w:id="20"/>
    </w:p>
    <w:p w14:paraId="7689891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每月应对事件进行汇总与分类，编制事件报告并提交至运维部与研发部经理。报告内容包括但不限于：</w:t>
      </w:r>
    </w:p>
    <w:p w14:paraId="7615C5B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本月事件总数；</w:t>
      </w:r>
    </w:p>
    <w:p w14:paraId="1C4C06D7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本月服务响应率；</w:t>
      </w:r>
    </w:p>
    <w:p w14:paraId="5F43E79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一线支持解决事件数量；</w:t>
      </w:r>
    </w:p>
    <w:p w14:paraId="579FFCFC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二线支持解决事件数量；</w:t>
      </w:r>
    </w:p>
    <w:p w14:paraId="26F8D048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事件数量趋势分析及预测；</w:t>
      </w:r>
    </w:p>
    <w:p w14:paraId="58054DD2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一线解决率；</w:t>
      </w:r>
    </w:p>
    <w:p w14:paraId="290D4796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一次现场解决率。</w:t>
      </w:r>
    </w:p>
    <w:p w14:paraId="1541CBFC">
      <w:pPr>
        <w:pStyle w:val="30"/>
        <w:bidi w:val="0"/>
        <w:rPr>
          <w:rFonts w:hint="default"/>
          <w:lang w:val="en-US" w:eastAsia="zh-CN"/>
        </w:rPr>
      </w:pPr>
      <w:bookmarkStart w:id="21" w:name="_Toc31093"/>
      <w:r>
        <w:rPr>
          <w:rFonts w:hint="eastAsia"/>
          <w:lang w:val="en-US" w:eastAsia="zh-CN"/>
        </w:rPr>
        <w:t>考核指标</w:t>
      </w:r>
      <w:bookmarkEnd w:id="21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350F0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79B42045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0E68FC74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681C5F0A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2E95672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指标要求</w:t>
            </w:r>
          </w:p>
        </w:tc>
      </w:tr>
      <w:tr w14:paraId="4A81D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5D2E8D5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事件及时响应率</w:t>
            </w:r>
          </w:p>
        </w:tc>
        <w:tc>
          <w:tcPr>
            <w:tcW w:w="2583" w:type="dxa"/>
            <w:shd w:val="clear" w:color="auto" w:fill="auto"/>
          </w:tcPr>
          <w:p w14:paraId="3D83B9F7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月度及时响应的事件/月度总事件*100%</w:t>
            </w:r>
          </w:p>
        </w:tc>
        <w:tc>
          <w:tcPr>
            <w:tcW w:w="1353" w:type="dxa"/>
          </w:tcPr>
          <w:p w14:paraId="3934ABC9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</w:t>
            </w:r>
          </w:p>
        </w:tc>
        <w:tc>
          <w:tcPr>
            <w:tcW w:w="1583" w:type="dxa"/>
          </w:tcPr>
          <w:p w14:paraId="498645F8">
            <w:pPr>
              <w:pStyle w:val="39"/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≥95%</w:t>
            </w:r>
          </w:p>
        </w:tc>
      </w:tr>
    </w:tbl>
    <w:p w14:paraId="7B802C92">
      <w:pPr>
        <w:pStyle w:val="29"/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</w:p>
    <w:p w14:paraId="21AFFC5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2" w:name="bookmark3"/>
      <w:bookmarkEnd w:id="22"/>
      <w:bookmarkStart w:id="23" w:name="_Toc17424"/>
      <w:bookmarkStart w:id="24" w:name="_Toc29759"/>
      <w:r>
        <w:rPr>
          <w:rStyle w:val="38"/>
          <w:rFonts w:hint="eastAsia" w:eastAsia="宋体"/>
          <w:lang w:val="en-US" w:eastAsia="zh-CN"/>
        </w:rPr>
        <w:t>附则</w:t>
      </w:r>
      <w:bookmarkEnd w:id="23"/>
      <w:bookmarkEnd w:id="24"/>
    </w:p>
    <w:p w14:paraId="04807F7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8A118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5B60A50">
      <w:pPr>
        <w:pStyle w:val="28"/>
        <w:bidi w:val="0"/>
        <w:rPr>
          <w:rFonts w:hint="default"/>
          <w:lang w:val="en-US" w:eastAsia="zh-CN"/>
        </w:rPr>
      </w:pPr>
      <w:bookmarkStart w:id="25" w:name="bookmark14"/>
      <w:bookmarkEnd w:id="25"/>
      <w:bookmarkStart w:id="26" w:name="_Toc19522"/>
      <w:r>
        <w:rPr>
          <w:rFonts w:hint="eastAsia"/>
          <w:lang w:val="en-US" w:eastAsia="zh-CN"/>
        </w:rPr>
        <w:t>附件</w:t>
      </w:r>
      <w:bookmarkEnd w:id="26"/>
    </w:p>
    <w:p w14:paraId="093F6F95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5A2F01EB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5A03EC13">
      <w:pPr>
        <w:pStyle w:val="39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71702A28">
      <w:pPr>
        <w:pStyle w:val="39"/>
        <w:bidi w:val="0"/>
      </w:pPr>
      <w:r>
        <w:t>《服务报告管理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77E77A0A">
      <w:pPr>
        <w:pStyle w:val="28"/>
        <w:bidi w:val="0"/>
        <w:rPr>
          <w:rFonts w:hint="eastAsia"/>
          <w:lang w:val="en-US" w:eastAsia="zh-CN"/>
        </w:rPr>
      </w:pPr>
      <w:bookmarkStart w:id="27" w:name="_Toc26115"/>
      <w:r>
        <w:rPr>
          <w:rFonts w:hint="eastAsia"/>
          <w:lang w:val="en-US" w:eastAsia="zh-CN"/>
        </w:rPr>
        <w:t>记录</w:t>
      </w:r>
      <w:bookmarkEnd w:id="27"/>
    </w:p>
    <w:p w14:paraId="4E32738A">
      <w:pPr>
        <w:pStyle w:val="39"/>
        <w:bidi w:val="0"/>
        <w:rPr>
          <w:rFonts w:hint="eastAsia"/>
          <w:lang w:val="en-US" w:eastAsia="zh-CN"/>
        </w:rPr>
      </w:pPr>
      <w:r>
        <w:t>《</w:t>
      </w:r>
      <w:r>
        <w:rPr>
          <w:rFonts w:hint="default"/>
          <w:lang w:val="en-US" w:eastAsia="zh-CN"/>
        </w:rPr>
        <w:t>日常维护工作记录表</w:t>
      </w:r>
      <w:bookmarkStart w:id="28" w:name="_GoBack"/>
      <w:bookmarkEnd w:id="28"/>
      <w:r>
        <w:t>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84311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47A9A8"/>
    <w:multiLevelType w:val="singleLevel"/>
    <w:tmpl w:val="A447A9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E0E95B"/>
    <w:multiLevelType w:val="singleLevel"/>
    <w:tmpl w:val="ABE0E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EE2DF8"/>
    <w:multiLevelType w:val="singleLevel"/>
    <w:tmpl w:val="E9EE2D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D4AD67"/>
    <w:multiLevelType w:val="singleLevel"/>
    <w:tmpl w:val="1ED4AD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F3B6B3F"/>
    <w:multiLevelType w:val="singleLevel"/>
    <w:tmpl w:val="1F3B6B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34AFD62"/>
    <w:multiLevelType w:val="singleLevel"/>
    <w:tmpl w:val="634AF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F2670"/>
    <w:rsid w:val="13394518"/>
    <w:rsid w:val="13BE5E1E"/>
    <w:rsid w:val="19820606"/>
    <w:rsid w:val="2674607E"/>
    <w:rsid w:val="268F462C"/>
    <w:rsid w:val="28DE6011"/>
    <w:rsid w:val="4A5120AF"/>
    <w:rsid w:val="4D5B3250"/>
    <w:rsid w:val="52164A8A"/>
    <w:rsid w:val="60DF469A"/>
    <w:rsid w:val="7A94376E"/>
    <w:rsid w:val="7C66738C"/>
    <w:rsid w:val="7EE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1147</Words>
  <Characters>1287</Characters>
  <Lines>0</Lines>
  <Paragraphs>0</Paragraphs>
  <TotalTime>1</TotalTime>
  <ScaleCrop>false</ScaleCrop>
  <LinksUpToDate>false</LinksUpToDate>
  <CharactersWithSpaces>1387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2025-09-16T11:34:16Z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