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4DEAF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4CA1E7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39A468DC">
      <w:pPr>
        <w:pStyle w:val="41"/>
        <w:bidi w:val="0"/>
      </w:pPr>
      <w:bookmarkStart w:id="0" w:name="_Toc2881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7CAB029">
      <w:pPr>
        <w:pStyle w:val="42"/>
        <w:bidi w:val="0"/>
        <w:rPr>
          <w:rFonts w:hint="default"/>
          <w:lang w:val="en-US"/>
        </w:rPr>
      </w:pPr>
      <w:bookmarkStart w:id="1" w:name="_Toc2710"/>
      <w:r>
        <w:rPr>
          <w:rFonts w:hint="eastAsia"/>
          <w:lang w:val="en-US" w:eastAsia="zh-CN"/>
        </w:rPr>
        <w:t>变更管理制度</w:t>
      </w:r>
      <w:bookmarkEnd w:id="1"/>
    </w:p>
    <w:tbl>
      <w:tblPr>
        <w:tblStyle w:val="3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B2042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F1F94D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644385CD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05D1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332ED316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564F1B0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438F4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1474BCA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26ABC74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53BBE6A2">
      <w:r>
        <w:br w:type="page"/>
      </w:r>
    </w:p>
    <w:p w14:paraId="5BF5D0E6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4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B0F0B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A30B92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90D1D1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A539D9A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AEB1D91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7D4676E5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5CEE5DC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3508D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70980B9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F754338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E90FC2A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8A164C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277E841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76675E4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BD963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450A1C5">
            <w:pPr>
              <w:pStyle w:val="44"/>
            </w:pPr>
          </w:p>
        </w:tc>
        <w:tc>
          <w:tcPr>
            <w:tcW w:w="919" w:type="dxa"/>
          </w:tcPr>
          <w:p w14:paraId="6EA9CA23">
            <w:pPr>
              <w:pStyle w:val="44"/>
            </w:pPr>
          </w:p>
        </w:tc>
        <w:tc>
          <w:tcPr>
            <w:tcW w:w="2289" w:type="dxa"/>
          </w:tcPr>
          <w:p w14:paraId="1A0D9C6E">
            <w:pPr>
              <w:pStyle w:val="44"/>
            </w:pPr>
          </w:p>
        </w:tc>
        <w:tc>
          <w:tcPr>
            <w:tcW w:w="1148" w:type="dxa"/>
          </w:tcPr>
          <w:p w14:paraId="281EE30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B4F11E6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CB769C2">
            <w:pPr>
              <w:pStyle w:val="44"/>
            </w:pPr>
          </w:p>
        </w:tc>
      </w:tr>
      <w:tr w14:paraId="0F1083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BC3FA1B">
            <w:pPr>
              <w:pStyle w:val="44"/>
            </w:pPr>
          </w:p>
        </w:tc>
        <w:tc>
          <w:tcPr>
            <w:tcW w:w="919" w:type="dxa"/>
          </w:tcPr>
          <w:p w14:paraId="5AE2EFD7">
            <w:pPr>
              <w:pStyle w:val="44"/>
            </w:pPr>
          </w:p>
        </w:tc>
        <w:tc>
          <w:tcPr>
            <w:tcW w:w="2289" w:type="dxa"/>
          </w:tcPr>
          <w:p w14:paraId="0183EA82">
            <w:pPr>
              <w:pStyle w:val="44"/>
            </w:pPr>
          </w:p>
        </w:tc>
        <w:tc>
          <w:tcPr>
            <w:tcW w:w="1148" w:type="dxa"/>
          </w:tcPr>
          <w:p w14:paraId="30BB6B96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AAE693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1171E637">
            <w:pPr>
              <w:pStyle w:val="44"/>
            </w:pPr>
          </w:p>
        </w:tc>
      </w:tr>
      <w:tr w14:paraId="72D8E3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CFFC85D">
            <w:pPr>
              <w:pStyle w:val="44"/>
            </w:pPr>
          </w:p>
        </w:tc>
        <w:tc>
          <w:tcPr>
            <w:tcW w:w="919" w:type="dxa"/>
          </w:tcPr>
          <w:p w14:paraId="098C860C">
            <w:pPr>
              <w:pStyle w:val="44"/>
            </w:pPr>
          </w:p>
        </w:tc>
        <w:tc>
          <w:tcPr>
            <w:tcW w:w="2289" w:type="dxa"/>
          </w:tcPr>
          <w:p w14:paraId="16A3FD89">
            <w:pPr>
              <w:pStyle w:val="44"/>
            </w:pPr>
          </w:p>
        </w:tc>
        <w:tc>
          <w:tcPr>
            <w:tcW w:w="1148" w:type="dxa"/>
          </w:tcPr>
          <w:p w14:paraId="202DE510">
            <w:pPr>
              <w:pStyle w:val="44"/>
            </w:pPr>
          </w:p>
        </w:tc>
        <w:tc>
          <w:tcPr>
            <w:tcW w:w="1150" w:type="dxa"/>
          </w:tcPr>
          <w:p w14:paraId="48256B20">
            <w:pPr>
              <w:pStyle w:val="44"/>
            </w:pPr>
          </w:p>
        </w:tc>
        <w:tc>
          <w:tcPr>
            <w:tcW w:w="1240" w:type="dxa"/>
          </w:tcPr>
          <w:p w14:paraId="4A4C5A82">
            <w:pPr>
              <w:pStyle w:val="44"/>
            </w:pPr>
          </w:p>
        </w:tc>
      </w:tr>
      <w:tr w14:paraId="408DC7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B533DA9">
            <w:pPr>
              <w:pStyle w:val="44"/>
            </w:pPr>
          </w:p>
        </w:tc>
        <w:tc>
          <w:tcPr>
            <w:tcW w:w="919" w:type="dxa"/>
          </w:tcPr>
          <w:p w14:paraId="2C879D4D">
            <w:pPr>
              <w:pStyle w:val="44"/>
            </w:pPr>
          </w:p>
        </w:tc>
        <w:tc>
          <w:tcPr>
            <w:tcW w:w="2289" w:type="dxa"/>
          </w:tcPr>
          <w:p w14:paraId="0B833DFC">
            <w:pPr>
              <w:pStyle w:val="44"/>
            </w:pPr>
          </w:p>
        </w:tc>
        <w:tc>
          <w:tcPr>
            <w:tcW w:w="1148" w:type="dxa"/>
          </w:tcPr>
          <w:p w14:paraId="247DFD31">
            <w:pPr>
              <w:pStyle w:val="44"/>
            </w:pPr>
          </w:p>
        </w:tc>
        <w:tc>
          <w:tcPr>
            <w:tcW w:w="1150" w:type="dxa"/>
          </w:tcPr>
          <w:p w14:paraId="37885D6A">
            <w:pPr>
              <w:pStyle w:val="44"/>
            </w:pPr>
          </w:p>
        </w:tc>
        <w:tc>
          <w:tcPr>
            <w:tcW w:w="1240" w:type="dxa"/>
          </w:tcPr>
          <w:p w14:paraId="2DEE2504">
            <w:pPr>
              <w:pStyle w:val="44"/>
            </w:pPr>
          </w:p>
        </w:tc>
      </w:tr>
      <w:tr w14:paraId="70C9D8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142C4583">
            <w:pPr>
              <w:pStyle w:val="44"/>
            </w:pPr>
          </w:p>
        </w:tc>
        <w:tc>
          <w:tcPr>
            <w:tcW w:w="919" w:type="dxa"/>
          </w:tcPr>
          <w:p w14:paraId="1D561ECD">
            <w:pPr>
              <w:pStyle w:val="44"/>
            </w:pPr>
          </w:p>
        </w:tc>
        <w:tc>
          <w:tcPr>
            <w:tcW w:w="2289" w:type="dxa"/>
          </w:tcPr>
          <w:p w14:paraId="5E1E38A5">
            <w:pPr>
              <w:pStyle w:val="44"/>
            </w:pPr>
          </w:p>
        </w:tc>
        <w:tc>
          <w:tcPr>
            <w:tcW w:w="1148" w:type="dxa"/>
          </w:tcPr>
          <w:p w14:paraId="5A4FB064">
            <w:pPr>
              <w:pStyle w:val="44"/>
            </w:pPr>
          </w:p>
        </w:tc>
        <w:tc>
          <w:tcPr>
            <w:tcW w:w="1150" w:type="dxa"/>
          </w:tcPr>
          <w:p w14:paraId="0111B1BD">
            <w:pPr>
              <w:pStyle w:val="44"/>
            </w:pPr>
          </w:p>
        </w:tc>
        <w:tc>
          <w:tcPr>
            <w:tcW w:w="1240" w:type="dxa"/>
          </w:tcPr>
          <w:p w14:paraId="4F544C32">
            <w:pPr>
              <w:pStyle w:val="44"/>
            </w:pPr>
          </w:p>
        </w:tc>
      </w:tr>
    </w:tbl>
    <w:p w14:paraId="36EE0B8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E8BE41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6500BCB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_Toc28815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_Toc28815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80B1C2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变更管理制度</w:t>
          </w:r>
          <w:r>
            <w:tab/>
          </w:r>
          <w:r>
            <w:fldChar w:fldCharType="begin"/>
          </w:r>
          <w:r>
            <w:instrText xml:space="preserve"> PAGEREF _Toc2710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12BC8A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_Toc7822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_Toc7822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B975FD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_Toc5741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_Toc5741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BFB13B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_Toc17835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CB9BF2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_Toc7376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79721C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_Toc11385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_Toc11385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9CE3D4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_Toc13092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运维部经理</w:t>
          </w:r>
          <w:r>
            <w:tab/>
          </w:r>
          <w:r>
            <w:fldChar w:fldCharType="begin"/>
          </w:r>
          <w:r>
            <w:instrText xml:space="preserve"> PAGEREF _Toc13092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B446DD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_Toc24416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变更管理流程</w:t>
          </w:r>
          <w:r>
            <w:tab/>
          </w:r>
          <w:r>
            <w:fldChar w:fldCharType="begin"/>
          </w:r>
          <w:r>
            <w:instrText xml:space="preserve"> PAGEREF _Toc24416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B0423D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_Toc13927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变更管理总流程及过程描述</w:t>
          </w:r>
          <w:r>
            <w:tab/>
          </w:r>
          <w:r>
            <w:fldChar w:fldCharType="begin"/>
          </w:r>
          <w:r>
            <w:instrText xml:space="preserve"> PAGEREF _Toc13927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0CF3C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5.1.1. 变更确认与受理</w:t>
          </w:r>
          <w:r>
            <w:tab/>
          </w:r>
          <w:r>
            <w:fldChar w:fldCharType="begin"/>
          </w:r>
          <w:r>
            <w:instrText xml:space="preserve"> PAGEREF _Toc2257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FDF055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5.1.2. 变更记录与分类</w:t>
          </w:r>
          <w:r>
            <w:tab/>
          </w:r>
          <w:r>
            <w:fldChar w:fldCharType="begin"/>
          </w:r>
          <w:r>
            <w:instrText xml:space="preserve"> PAGEREF _Toc2821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EA042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_Toc22595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5.1.3. 变更分类执行</w:t>
          </w:r>
          <w:r>
            <w:tab/>
          </w:r>
          <w:r>
            <w:fldChar w:fldCharType="begin"/>
          </w:r>
          <w:r>
            <w:instrText xml:space="preserve"> PAGEREF _Toc22595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D27DD6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5.1.4. 变更回顾</w:t>
          </w:r>
          <w:r>
            <w:tab/>
          </w:r>
          <w:r>
            <w:fldChar w:fldCharType="begin"/>
          </w:r>
          <w:r>
            <w:instrText xml:space="preserve"> PAGEREF _Toc29804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7F7BE6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5.1.5. 变更关闭</w:t>
          </w:r>
          <w:r>
            <w:tab/>
          </w:r>
          <w:r>
            <w:fldChar w:fldCharType="begin"/>
          </w:r>
          <w:r>
            <w:instrText xml:space="preserve"> PAGEREF _Toc22002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D85F16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5.1.6. 变更报告</w:t>
          </w:r>
          <w:r>
            <w:tab/>
          </w:r>
          <w:r>
            <w:fldChar w:fldCharType="begin"/>
          </w:r>
          <w:r>
            <w:instrText xml:space="preserve"> PAGEREF _Toc2634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8ACD65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简易变更子流程及过程描述</w:t>
          </w:r>
          <w:r>
            <w:tab/>
          </w:r>
          <w:r>
            <w:fldChar w:fldCharType="begin"/>
          </w:r>
          <w:r>
            <w:instrText xml:space="preserve"> PAGEREF _Toc12726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EB8CC0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_Toc16525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5.2.1. 变更实施</w:t>
          </w:r>
          <w:r>
            <w:tab/>
          </w:r>
          <w:r>
            <w:fldChar w:fldCharType="begin"/>
          </w:r>
          <w:r>
            <w:instrText xml:space="preserve"> PAGEREF _Toc16525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5AA54B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5.2.2. 记录变更</w:t>
          </w:r>
          <w:r>
            <w:tab/>
          </w:r>
          <w:r>
            <w:fldChar w:fldCharType="begin"/>
          </w:r>
          <w:r>
            <w:instrText xml:space="preserve"> PAGEREF _Toc19816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465C81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5.2.3. 更新配置库</w:t>
          </w:r>
          <w:r>
            <w:tab/>
          </w:r>
          <w:r>
            <w:fldChar w:fldCharType="begin"/>
          </w:r>
          <w:r>
            <w:instrText xml:space="preserve"> PAGEREF _Toc24739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A8059A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一般变更子流程及过程描述</w:t>
          </w:r>
          <w:r>
            <w:tab/>
          </w:r>
          <w:r>
            <w:fldChar w:fldCharType="begin"/>
          </w:r>
          <w:r>
            <w:instrText xml:space="preserve"> PAGEREF _Toc1977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136D2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5.3.1. 变更记录</w:t>
          </w:r>
          <w:r>
            <w:tab/>
          </w:r>
          <w:r>
            <w:fldChar w:fldCharType="begin"/>
          </w:r>
          <w:r>
            <w:instrText xml:space="preserve"> PAGEREF _Toc1428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1D8C63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5.3.2. 变更分派</w:t>
          </w:r>
          <w:r>
            <w:tab/>
          </w:r>
          <w:r>
            <w:fldChar w:fldCharType="begin"/>
          </w:r>
          <w:r>
            <w:instrText xml:space="preserve"> PAGEREF _Toc12896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F8F4F9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5.3.3. 制定变更方案</w:t>
          </w:r>
          <w:r>
            <w:tab/>
          </w:r>
          <w:r>
            <w:fldChar w:fldCharType="begin"/>
          </w:r>
          <w:r>
            <w:instrText xml:space="preserve"> PAGEREF _Toc31193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30D6C3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5.3.4. 方案审核或测试</w:t>
          </w:r>
          <w:r>
            <w:tab/>
          </w:r>
          <w:r>
            <w:fldChar w:fldCharType="begin"/>
          </w:r>
          <w:r>
            <w:instrText xml:space="preserve"> PAGEREF _Toc14083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4C89F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5.3.5. 变更实施</w:t>
          </w:r>
          <w:r>
            <w:tab/>
          </w:r>
          <w:r>
            <w:fldChar w:fldCharType="begin"/>
          </w:r>
          <w:r>
            <w:instrText xml:space="preserve"> PAGEREF _Toc3376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1FBA62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_Toc18523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5.3.6. 更新配置库</w:t>
          </w:r>
          <w:r>
            <w:tab/>
          </w:r>
          <w:r>
            <w:fldChar w:fldCharType="begin"/>
          </w:r>
          <w:r>
            <w:instrText xml:space="preserve"> PAGEREF _Toc18523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A6FBF3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重大变更子流程及过程描述</w:t>
          </w:r>
          <w:r>
            <w:tab/>
          </w:r>
          <w:r>
            <w:fldChar w:fldCharType="begin"/>
          </w:r>
          <w:r>
            <w:instrText xml:space="preserve"> PAGEREF _Toc27058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43B0F7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_Toc10578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5.4.1. 变更记录</w:t>
          </w:r>
          <w:r>
            <w:tab/>
          </w:r>
          <w:r>
            <w:fldChar w:fldCharType="begin"/>
          </w:r>
          <w:r>
            <w:instrText xml:space="preserve"> PAGEREF _Toc10578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6DA81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5.4.2. 重大变更确认</w:t>
          </w:r>
          <w:r>
            <w:tab/>
          </w:r>
          <w:r>
            <w:fldChar w:fldCharType="begin"/>
          </w:r>
          <w:r>
            <w:instrText xml:space="preserve"> PAGEREF _Toc27384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7EF2F9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5.4.3. 变更评估</w:t>
          </w:r>
          <w:r>
            <w:tab/>
          </w:r>
          <w:r>
            <w:fldChar w:fldCharType="begin"/>
          </w:r>
          <w:r>
            <w:instrText xml:space="preserve"> PAGEREF _Toc8746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AD73A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5.4.4. 变更分配</w:t>
          </w:r>
          <w:r>
            <w:tab/>
          </w:r>
          <w:r>
            <w:fldChar w:fldCharType="begin"/>
          </w:r>
          <w:r>
            <w:instrText xml:space="preserve"> PAGEREF _Toc20246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02B77C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5.4.5. 制定变更方案</w:t>
          </w:r>
          <w:r>
            <w:tab/>
          </w:r>
          <w:r>
            <w:fldChar w:fldCharType="begin"/>
          </w:r>
          <w:r>
            <w:instrText xml:space="preserve"> PAGEREF _Toc15359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6F5475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5.4.6. 变更方案测试</w:t>
          </w:r>
          <w:r>
            <w:tab/>
          </w:r>
          <w:r>
            <w:fldChar w:fldCharType="begin"/>
          </w:r>
          <w:r>
            <w:instrText xml:space="preserve"> PAGEREF _Toc6317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0C43BE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_Toc23830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5.4.7. 方案评审与批准</w:t>
          </w:r>
          <w:r>
            <w:tab/>
          </w:r>
          <w:r>
            <w:fldChar w:fldCharType="begin"/>
          </w:r>
          <w:r>
            <w:instrText xml:space="preserve"> PAGEREF _Toc23830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27D91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_Toc29295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5.4.8. 变更实施</w:t>
          </w:r>
          <w:r>
            <w:tab/>
          </w:r>
          <w:r>
            <w:fldChar w:fldCharType="begin"/>
          </w:r>
          <w:r>
            <w:instrText xml:space="preserve"> PAGEREF _Toc29295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124FC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_Toc29909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5.4.9. 更新配置库</w:t>
          </w:r>
          <w:r>
            <w:tab/>
          </w:r>
          <w:r>
            <w:fldChar w:fldCharType="begin"/>
          </w:r>
          <w:r>
            <w:instrText xml:space="preserve"> PAGEREF _Toc29909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BAA806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_Toc10175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紧急变更子流程及过程描述</w:t>
          </w:r>
          <w:r>
            <w:tab/>
          </w:r>
          <w:r>
            <w:fldChar w:fldCharType="begin"/>
          </w:r>
          <w:r>
            <w:instrText xml:space="preserve"> PAGEREF _Toc10175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B6B84D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_Toc7263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5.5.1. 变更记录</w:t>
          </w:r>
          <w:r>
            <w:tab/>
          </w:r>
          <w:r>
            <w:fldChar w:fldCharType="begin"/>
          </w:r>
          <w:r>
            <w:instrText xml:space="preserve"> PAGEREF _Toc7263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825C01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5.5.2. 紧急变更确认</w:t>
          </w:r>
          <w:r>
            <w:tab/>
          </w:r>
          <w:r>
            <w:fldChar w:fldCharType="begin"/>
          </w:r>
          <w:r>
            <w:instrText xml:space="preserve"> PAGEREF _Toc9046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23AAE5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5.5.3. 变更分配</w:t>
          </w:r>
          <w:r>
            <w:tab/>
          </w:r>
          <w:r>
            <w:fldChar w:fldCharType="begin"/>
          </w:r>
          <w:r>
            <w:instrText xml:space="preserve"> PAGEREF _Toc31011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37ACB0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_Toc11283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5.5.4. 制定变更方案</w:t>
          </w:r>
          <w:r>
            <w:tab/>
          </w:r>
          <w:r>
            <w:fldChar w:fldCharType="begin"/>
          </w:r>
          <w:r>
            <w:instrText xml:space="preserve"> PAGEREF _Toc11283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606CB9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5.5.5. 变更实施</w:t>
          </w:r>
          <w:r>
            <w:tab/>
          </w:r>
          <w:r>
            <w:fldChar w:fldCharType="begin"/>
          </w:r>
          <w:r>
            <w:instrText xml:space="preserve"> PAGEREF _Toc22760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2A6F9E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_Toc6507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5.5.6. 更新配置库</w:t>
          </w:r>
          <w:r>
            <w:tab/>
          </w:r>
          <w:r>
            <w:fldChar w:fldCharType="begin"/>
          </w:r>
          <w:r>
            <w:instrText xml:space="preserve"> PAGEREF _Toc6507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D0EC77"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_Toc31504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_Toc31504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99A6CF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_Toc17412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9EB451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_Toc22832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_Toc22832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8D881A9"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_Toc23684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_Toc23684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045F5A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1E5414C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176118A">
      <w:pPr>
        <w:pStyle w:val="45"/>
        <w:bidi w:val="0"/>
      </w:pPr>
      <w:bookmarkStart w:id="2" w:name="_Toc7822"/>
      <w:r>
        <w:t>目的</w:t>
      </w:r>
      <w:bookmarkEnd w:id="2"/>
    </w:p>
    <w:p w14:paraId="1AB6796A">
      <w:pPr>
        <w:pStyle w:val="4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t>保证变更在受控方式下正确评估，批准和实施。减少和杜绝非授权变更，降低变更风险和对业务的影响</w:t>
      </w:r>
      <w:r>
        <w:rPr>
          <w:rFonts w:hint="eastAsia"/>
          <w:lang w:val="en-US" w:eastAsia="zh-CN"/>
        </w:rPr>
        <w:t>,特制定此制度。</w:t>
      </w:r>
    </w:p>
    <w:p w14:paraId="73BD6AA8">
      <w:pPr>
        <w:pStyle w:val="45"/>
        <w:bidi w:val="0"/>
        <w:rPr>
          <w:rFonts w:hint="eastAsia"/>
          <w:lang w:val="en-US" w:eastAsia="zh-CN"/>
        </w:rPr>
      </w:pPr>
      <w:bookmarkStart w:id="3" w:name="_Toc5741"/>
      <w:r>
        <w:rPr>
          <w:rFonts w:hint="eastAsia"/>
          <w:lang w:val="en-US" w:eastAsia="zh-CN"/>
        </w:rPr>
        <w:t>原则</w:t>
      </w:r>
      <w:bookmarkEnd w:id="3"/>
    </w:p>
    <w:p w14:paraId="133DADD4">
      <w:pPr>
        <w:pStyle w:val="45"/>
        <w:bidi w:val="0"/>
      </w:pPr>
      <w:bookmarkStart w:id="4" w:name="_Toc17835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2A630AF">
      <w:pPr>
        <w:pStyle w:val="46"/>
        <w:bidi w:val="0"/>
      </w:pPr>
      <w:r>
        <w:t>适用于公司的运维</w:t>
      </w:r>
      <w:r>
        <w:rPr>
          <w:rFonts w:hint="eastAsia"/>
          <w:lang w:val="en-US" w:eastAsia="zh-CN"/>
        </w:rPr>
        <w:t>部</w:t>
      </w:r>
      <w:r>
        <w:t>，管理范围指的是公司所有运维服务管理对象涉及的变更，包括对自身及其客户模块的各种改变（物理位置、系统参数、运行状态）、增加、移除或者其他修改</w:t>
      </w:r>
      <w:r>
        <w:rPr>
          <w:rFonts w:hint="eastAsia"/>
          <w:lang w:val="en-US" w:eastAsia="zh-CN"/>
        </w:rPr>
        <w:t>等</w:t>
      </w:r>
      <w:r>
        <w:t>。</w:t>
      </w:r>
    </w:p>
    <w:p w14:paraId="38C2B59C">
      <w:pPr>
        <w:pStyle w:val="45"/>
        <w:bidi w:val="0"/>
        <w:rPr>
          <w:rFonts w:hint="eastAsia"/>
          <w:lang w:val="en-US" w:eastAsia="zh-CN"/>
        </w:rPr>
      </w:pPr>
      <w:bookmarkStart w:id="5" w:name="_Toc7376"/>
      <w:r>
        <w:rPr>
          <w:rFonts w:hint="eastAsia"/>
          <w:lang w:val="en-US" w:eastAsia="zh-CN"/>
        </w:rPr>
        <w:t>岗位职责</w:t>
      </w:r>
      <w:bookmarkEnd w:id="5"/>
    </w:p>
    <w:p w14:paraId="32D3342B">
      <w:pPr>
        <w:pStyle w:val="47"/>
        <w:bidi w:val="0"/>
        <w:rPr>
          <w:rFonts w:hint="default"/>
          <w:lang w:val="en-US" w:eastAsia="zh-CN"/>
        </w:rPr>
      </w:pPr>
      <w:bookmarkStart w:id="6" w:name="_Toc11385"/>
      <w:r>
        <w:rPr>
          <w:rFonts w:hint="eastAsia"/>
          <w:lang w:val="en-US" w:eastAsia="zh-CN"/>
        </w:rPr>
        <w:t>运维部</w:t>
      </w:r>
      <w:bookmarkEnd w:id="6"/>
    </w:p>
    <w:p w14:paraId="0A666E89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3"/>
          <w:sz w:val="24"/>
          <w:szCs w:val="24"/>
        </w:rPr>
        <w:t>定义并维护变更管理流程文件及所需要的记</w:t>
      </w:r>
      <w:r>
        <w:rPr>
          <w:rFonts w:ascii="宋体" w:hAnsi="宋体" w:eastAsia="宋体" w:cs="宋体"/>
          <w:spacing w:val="-4"/>
          <w:sz w:val="24"/>
          <w:szCs w:val="24"/>
        </w:rPr>
        <w:t>录模板</w:t>
      </w:r>
    </w:p>
    <w:p w14:paraId="6328B292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hint="eastAsia" w:ascii="宋体" w:hAnsi="宋体" w:cs="宋体"/>
          <w:spacing w:val="-4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6"/>
          <w:sz w:val="24"/>
          <w:szCs w:val="24"/>
        </w:rPr>
        <w:t>管理变更管理流程的实施</w:t>
      </w:r>
    </w:p>
    <w:p w14:paraId="0F09D949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cs="宋体"/>
          <w:spacing w:val="-6"/>
          <w:sz w:val="24"/>
          <w:szCs w:val="24"/>
          <w:lang w:val="en-US" w:eastAsia="zh-CN"/>
        </w:rPr>
        <w:t>负责</w:t>
      </w:r>
      <w:r>
        <w:rPr>
          <w:rFonts w:ascii="宋体" w:hAnsi="宋体" w:eastAsia="宋体" w:cs="宋体"/>
          <w:spacing w:val="-2"/>
          <w:sz w:val="24"/>
          <w:szCs w:val="24"/>
        </w:rPr>
        <w:t>识别变更管理过程中存在的问题并提出改进措施</w:t>
      </w:r>
    </w:p>
    <w:p w14:paraId="194204E1">
      <w:pPr>
        <w:pStyle w:val="46"/>
        <w:numPr>
          <w:ilvl w:val="0"/>
          <w:numId w:val="2"/>
        </w:numPr>
        <w:ind w:left="425" w:leftChars="0" w:hanging="425" w:firstLineChars="0"/>
        <w:rPr>
          <w:rFonts w:ascii="宋体" w:hAnsi="宋体" w:eastAsia="宋体" w:cs="宋体"/>
          <w:spacing w:val="-7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负责与上级的沟通汇报</w:t>
      </w:r>
    </w:p>
    <w:p w14:paraId="189E1445">
      <w:pPr>
        <w:pStyle w:val="46"/>
        <w:numPr>
          <w:ilvl w:val="0"/>
          <w:numId w:val="2"/>
        </w:numPr>
        <w:ind w:left="425" w:leftChars="0" w:hanging="425" w:firstLineChars="0"/>
        <w:rPr>
          <w:rFonts w:hint="default" w:ascii="宋体" w:hAnsi="宋体" w:eastAsia="宋体" w:cs="宋体"/>
          <w:spacing w:val="-7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-7"/>
          <w:sz w:val="24"/>
          <w:szCs w:val="24"/>
          <w:lang w:val="en-US" w:eastAsia="zh-CN"/>
        </w:rPr>
        <w:t>负责变更文档编写</w:t>
      </w:r>
    </w:p>
    <w:p w14:paraId="66B33B11">
      <w:pPr>
        <w:pStyle w:val="47"/>
        <w:bidi w:val="0"/>
        <w:rPr>
          <w:rFonts w:hint="default"/>
          <w:lang w:val="en-US" w:eastAsia="zh-CN"/>
        </w:rPr>
      </w:pPr>
      <w:bookmarkStart w:id="7" w:name="_Toc13092"/>
      <w:r>
        <w:rPr>
          <w:rFonts w:hint="eastAsia"/>
          <w:lang w:val="en-US" w:eastAsia="zh-CN"/>
        </w:rPr>
        <w:t>运维部经理</w:t>
      </w:r>
      <w:bookmarkEnd w:id="7"/>
    </w:p>
    <w:p w14:paraId="7AB7DCBE">
      <w:pPr>
        <w:pStyle w:val="46"/>
        <w:numPr>
          <w:ilvl w:val="0"/>
          <w:numId w:val="3"/>
        </w:numPr>
        <w:ind w:left="425" w:leftChars="0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协助变更管理过程</w:t>
      </w:r>
      <w:r>
        <w:rPr>
          <w:rFonts w:hint="eastAsia" w:ascii="宋体" w:hAnsi="宋体" w:cs="宋体"/>
          <w:spacing w:val="-3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-3"/>
          <w:sz w:val="24"/>
          <w:szCs w:val="24"/>
        </w:rPr>
        <w:t>制定变更实施方案、实施计划</w:t>
      </w:r>
    </w:p>
    <w:p w14:paraId="1828BC5E">
      <w:pPr>
        <w:pStyle w:val="46"/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t>负责实施经过审核后的变更方案</w:t>
      </w:r>
    </w:p>
    <w:p w14:paraId="563BCD38">
      <w:pPr>
        <w:rPr>
          <w:rFonts w:hint="default" w:ascii="宋体" w:hAnsi="宋体" w:eastAsia="宋体" w:cs="宋体"/>
          <w:spacing w:val="-3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sz w:val="24"/>
          <w:szCs w:val="24"/>
        </w:rPr>
        <w:br w:type="page"/>
      </w:r>
    </w:p>
    <w:p w14:paraId="485A202D">
      <w:pPr>
        <w:pStyle w:val="45"/>
        <w:bidi w:val="0"/>
        <w:rPr>
          <w:rFonts w:hint="default"/>
          <w:lang w:val="en-US" w:eastAsia="zh-CN"/>
        </w:rPr>
      </w:pPr>
      <w:bookmarkStart w:id="8" w:name="_Toc24416"/>
      <w:r>
        <w:rPr>
          <w:rFonts w:hint="eastAsia"/>
          <w:lang w:val="en-US" w:eastAsia="zh-CN"/>
        </w:rPr>
        <w:t>变更管理流程</w:t>
      </w:r>
      <w:bookmarkEnd w:id="8"/>
    </w:p>
    <w:p w14:paraId="7CA4E7C8">
      <w:pPr>
        <w:pStyle w:val="47"/>
        <w:bidi w:val="0"/>
        <w:rPr>
          <w:rFonts w:hint="eastAsia"/>
          <w:lang w:val="en-US" w:eastAsia="zh-CN"/>
        </w:rPr>
      </w:pPr>
      <w:bookmarkStart w:id="9" w:name="_Toc13927"/>
      <w:r>
        <w:rPr>
          <w:rFonts w:hint="eastAsia"/>
          <w:lang w:val="en-US" w:eastAsia="zh-CN"/>
        </w:rPr>
        <w:t>变更管理总流程及过程描述</w:t>
      </w:r>
      <w:bookmarkEnd w:id="9"/>
    </w:p>
    <w:p w14:paraId="18FAA1A4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变更总流程如图5-1所示:</w:t>
      </w:r>
    </w:p>
    <w:p w14:paraId="244EF00E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变更管理总流程</w:t>
      </w:r>
    </w:p>
    <w:p w14:paraId="261ADA2E">
      <w:pPr>
        <w:pStyle w:val="46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88.25pt;width:361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75DD2673">
      <w:pPr>
        <w:pStyle w:val="48"/>
        <w:bidi w:val="0"/>
      </w:pPr>
      <w:bookmarkStart w:id="10" w:name="_Toc2257"/>
      <w:r>
        <w:rPr>
          <w:rFonts w:hint="default"/>
        </w:rPr>
        <w:t>变更确认与受理</w:t>
      </w:r>
      <w:bookmarkEnd w:id="10"/>
    </w:p>
    <w:p w14:paraId="6CC3CC9C">
      <w:pPr>
        <w:pStyle w:val="46"/>
        <w:bidi w:val="0"/>
      </w:pPr>
      <w:r>
        <w:rPr>
          <w:rFonts w:hint="default"/>
        </w:rPr>
        <w:t>变更请求可源自事件管理流程、问题管理流程或第三方提出。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负责确定是否受理该变更请求。</w:t>
      </w:r>
    </w:p>
    <w:p w14:paraId="159F8A85">
      <w:pPr>
        <w:pStyle w:val="48"/>
        <w:bidi w:val="0"/>
        <w:rPr>
          <w:rFonts w:hint="default"/>
        </w:rPr>
      </w:pPr>
      <w:bookmarkStart w:id="11" w:name="_Toc2821"/>
      <w:r>
        <w:rPr>
          <w:rFonts w:hint="default"/>
        </w:rPr>
        <w:t>变更记录与分类</w:t>
      </w:r>
      <w:bookmarkEnd w:id="11"/>
    </w:p>
    <w:p w14:paraId="2FD42190">
      <w:pPr>
        <w:pStyle w:val="46"/>
        <w:bidi w:val="0"/>
        <w:rPr>
          <w:rFonts w:hint="default"/>
        </w:rPr>
      </w:pPr>
      <w:r>
        <w:rPr>
          <w:rFonts w:hint="default"/>
        </w:rPr>
        <w:t>如接受一般、重大或紧急变更申请，须由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或申请人填写《变更记录表》。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应明确该变更的类别与优先级，以便按相应流程执行后续操作。</w:t>
      </w:r>
    </w:p>
    <w:p w14:paraId="7708FBAD">
      <w:pPr>
        <w:pStyle w:val="48"/>
        <w:bidi w:val="0"/>
        <w:rPr>
          <w:rFonts w:hint="default"/>
        </w:rPr>
      </w:pPr>
      <w:bookmarkStart w:id="12" w:name="_Toc22595"/>
      <w:r>
        <w:rPr>
          <w:rFonts w:hint="default"/>
        </w:rPr>
        <w:t>变更分类执行</w:t>
      </w:r>
      <w:bookmarkEnd w:id="12"/>
    </w:p>
    <w:p w14:paraId="67A4D26D">
      <w:pPr>
        <w:pStyle w:val="46"/>
        <w:bidi w:val="0"/>
        <w:rPr>
          <w:rFonts w:hint="default"/>
        </w:rPr>
      </w:pPr>
      <w:r>
        <w:rPr>
          <w:rFonts w:hint="default"/>
        </w:rPr>
        <w:t>根据变更类型的不同，分别执行简易变更、一般变更、紧急变更和重大变更四类流程。</w:t>
      </w:r>
    </w:p>
    <w:p w14:paraId="0AE7B896">
      <w:pPr>
        <w:pStyle w:val="48"/>
        <w:bidi w:val="0"/>
        <w:rPr>
          <w:rFonts w:hint="default"/>
        </w:rPr>
      </w:pPr>
      <w:bookmarkStart w:id="13" w:name="_Toc29804"/>
      <w:r>
        <w:rPr>
          <w:rFonts w:hint="default"/>
        </w:rPr>
        <w:t>变更回顾</w:t>
      </w:r>
      <w:bookmarkEnd w:id="13"/>
    </w:p>
    <w:p w14:paraId="24280EB0">
      <w:pPr>
        <w:pStyle w:val="46"/>
        <w:bidi w:val="0"/>
        <w:rPr>
          <w:rFonts w:hint="default"/>
        </w:rPr>
      </w:pPr>
      <w:r>
        <w:rPr>
          <w:rFonts w:hint="default"/>
        </w:rPr>
        <w:t>除简易变更外，其余三类变更实施后均需进行回顾。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应从技术及流程角度评估变更是否达到预期效果，评定变更成效，并识别流程改进机会。</w:t>
      </w:r>
    </w:p>
    <w:p w14:paraId="3279CED8">
      <w:pPr>
        <w:pStyle w:val="48"/>
        <w:bidi w:val="0"/>
        <w:rPr>
          <w:rFonts w:hint="default"/>
        </w:rPr>
      </w:pPr>
      <w:bookmarkStart w:id="14" w:name="_Toc22002"/>
      <w:r>
        <w:rPr>
          <w:rFonts w:hint="default"/>
        </w:rPr>
        <w:t>变更关闭</w:t>
      </w:r>
      <w:bookmarkEnd w:id="14"/>
    </w:p>
    <w:p w14:paraId="3A571337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负责关闭变更请求。</w:t>
      </w:r>
    </w:p>
    <w:p w14:paraId="227D10E2">
      <w:pPr>
        <w:pStyle w:val="48"/>
        <w:bidi w:val="0"/>
        <w:rPr>
          <w:rFonts w:hint="default"/>
        </w:rPr>
      </w:pPr>
      <w:bookmarkStart w:id="15" w:name="_Toc2634"/>
      <w:r>
        <w:rPr>
          <w:rFonts w:hint="default"/>
        </w:rPr>
        <w:t>变更报告</w:t>
      </w:r>
      <w:bookmarkEnd w:id="15"/>
    </w:p>
    <w:p w14:paraId="1886FAA6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每季度统计变更数量，分析变更过程中存在的问题，并编制变更服务报告。变更度量指标应包括：</w:t>
      </w:r>
    </w:p>
    <w:p w14:paraId="632F7044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各类变更的数量；</w:t>
      </w:r>
    </w:p>
    <w:p w14:paraId="3AC2D0E2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变更导致的服务中断时间；</w:t>
      </w:r>
    </w:p>
    <w:p w14:paraId="596F48B9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计划时间内完成的重大变更比例；</w:t>
      </w:r>
    </w:p>
    <w:p w14:paraId="5B3453AA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未达到预期结果的变更数量；</w:t>
      </w:r>
    </w:p>
    <w:p w14:paraId="0FD3B837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变更成功率；</w:t>
      </w:r>
    </w:p>
    <w:p w14:paraId="3741C909">
      <w:pPr>
        <w:pStyle w:val="56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default"/>
        </w:rPr>
        <w:t>紧急变更比率。</w:t>
      </w:r>
    </w:p>
    <w:p w14:paraId="04C1AADC">
      <w:pPr>
        <w:pStyle w:val="47"/>
        <w:bidi w:val="0"/>
        <w:rPr>
          <w:rFonts w:hint="eastAsia"/>
          <w:lang w:val="en-US" w:eastAsia="zh-CN"/>
        </w:rPr>
      </w:pPr>
      <w:bookmarkStart w:id="16" w:name="_Toc12726"/>
      <w:r>
        <w:rPr>
          <w:rFonts w:hint="eastAsia"/>
          <w:lang w:val="en-US" w:eastAsia="zh-CN"/>
        </w:rPr>
        <w:t>简易变更子流程及过程描述</w:t>
      </w:r>
      <w:bookmarkEnd w:id="16"/>
    </w:p>
    <w:p w14:paraId="334A3BD6">
      <w:pPr>
        <w:pStyle w:val="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简易变更子流程如图5-2所示</w:t>
      </w:r>
    </w:p>
    <w:p w14:paraId="289DBE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C00D730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简易变更子流程</w:t>
      </w:r>
    </w:p>
    <w:p w14:paraId="3395A680">
      <w:pPr>
        <w:pStyle w:val="4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181.6pt;width:381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 w14:paraId="56F88B67">
      <w:pPr>
        <w:pStyle w:val="48"/>
        <w:bidi w:val="0"/>
        <w:rPr>
          <w:rFonts w:hint="default"/>
        </w:rPr>
      </w:pPr>
      <w:bookmarkStart w:id="17" w:name="_Toc16525"/>
      <w:r>
        <w:rPr>
          <w:rFonts w:hint="default"/>
        </w:rPr>
        <w:t>变更实施</w:t>
      </w:r>
      <w:bookmarkEnd w:id="17"/>
    </w:p>
    <w:p w14:paraId="643BA5AB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服务台专员</w:t>
      </w:r>
      <w:r>
        <w:rPr>
          <w:rFonts w:hint="default"/>
          <w:lang w:val="en-US" w:eastAsia="zh-CN"/>
        </w:rPr>
        <w:t>接到客服热线后，按事件处理流程直接处理。如事件处理涉及变更，可直接实施变更。</w:t>
      </w:r>
    </w:p>
    <w:p w14:paraId="4C394506">
      <w:pPr>
        <w:pStyle w:val="48"/>
        <w:bidi w:val="0"/>
        <w:rPr>
          <w:rFonts w:hint="default"/>
        </w:rPr>
      </w:pPr>
      <w:bookmarkStart w:id="18" w:name="_Toc19816"/>
      <w:r>
        <w:rPr>
          <w:rFonts w:hint="default"/>
        </w:rPr>
        <w:t>记录变更</w:t>
      </w:r>
      <w:bookmarkEnd w:id="18"/>
    </w:p>
    <w:p w14:paraId="1E0CB270">
      <w:pPr>
        <w:pStyle w:val="46"/>
        <w:bidi w:val="0"/>
        <w:rPr>
          <w:rFonts w:hint="default"/>
        </w:rPr>
      </w:pPr>
      <w:r>
        <w:rPr>
          <w:rFonts w:hint="default"/>
        </w:rPr>
        <w:t>对已实施的简易变更进行记录。</w:t>
      </w:r>
    </w:p>
    <w:p w14:paraId="71060F28">
      <w:pPr>
        <w:pStyle w:val="48"/>
        <w:bidi w:val="0"/>
        <w:rPr>
          <w:rFonts w:hint="default"/>
        </w:rPr>
      </w:pPr>
      <w:bookmarkStart w:id="19" w:name="_Toc24739"/>
      <w:r>
        <w:rPr>
          <w:rFonts w:hint="default"/>
        </w:rPr>
        <w:t>更新配置库</w:t>
      </w:r>
      <w:bookmarkEnd w:id="19"/>
    </w:p>
    <w:p w14:paraId="7C865F9F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如变更涉及配置信息变动，须及时更新配置库具体参见《</w:t>
      </w:r>
      <w:r>
        <w:rPr>
          <w:rFonts w:hint="eastAsia"/>
          <w:lang w:eastAsia="zh-CN"/>
        </w:rPr>
        <w:t>配置管理制度》</w:t>
      </w:r>
      <w:r>
        <w:rPr>
          <w:rFonts w:hint="default"/>
        </w:rPr>
        <w:t>。</w:t>
      </w:r>
    </w:p>
    <w:p w14:paraId="1361152B">
      <w:pPr>
        <w:pStyle w:val="47"/>
        <w:bidi w:val="0"/>
        <w:rPr>
          <w:rFonts w:hint="eastAsia"/>
          <w:lang w:val="en-US" w:eastAsia="zh-CN"/>
        </w:rPr>
      </w:pPr>
      <w:bookmarkStart w:id="20" w:name="_Toc1977"/>
      <w:r>
        <w:rPr>
          <w:rFonts w:hint="eastAsia"/>
          <w:lang w:val="en-US" w:eastAsia="zh-CN"/>
        </w:rPr>
        <w:t>一般变更子流程及过程描述</w:t>
      </w:r>
      <w:bookmarkEnd w:id="20"/>
    </w:p>
    <w:p w14:paraId="081C645B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一般变更子流程如图5-3所示:</w:t>
      </w:r>
    </w:p>
    <w:p w14:paraId="0CBDF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2D99F87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一般变更子流程</w:t>
      </w:r>
    </w:p>
    <w:p w14:paraId="78985CE6">
      <w:pPr>
        <w:pStyle w:val="4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96.15pt;width:401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 w14:paraId="780E6382">
      <w:pPr>
        <w:pStyle w:val="48"/>
        <w:bidi w:val="0"/>
        <w:rPr>
          <w:rFonts w:hint="default"/>
        </w:rPr>
      </w:pPr>
      <w:bookmarkStart w:id="21" w:name="_Toc1428"/>
      <w:r>
        <w:rPr>
          <w:rFonts w:hint="default"/>
        </w:rPr>
        <w:t>变更记录</w:t>
      </w:r>
      <w:bookmarkEnd w:id="21"/>
    </w:p>
    <w:p w14:paraId="03AF7853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运维实施工程师或申请人</w:t>
      </w:r>
      <w:r>
        <w:rPr>
          <w:rFonts w:hint="default"/>
        </w:rPr>
        <w:t>填写《变更记录表》，并确定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。</w:t>
      </w:r>
    </w:p>
    <w:p w14:paraId="50710FF0">
      <w:pPr>
        <w:pStyle w:val="48"/>
        <w:bidi w:val="0"/>
        <w:rPr>
          <w:rFonts w:hint="default"/>
        </w:rPr>
      </w:pPr>
      <w:bookmarkStart w:id="22" w:name="_Toc12896"/>
      <w:r>
        <w:rPr>
          <w:rFonts w:hint="default"/>
        </w:rPr>
        <w:t>变更分派</w:t>
      </w:r>
      <w:bookmarkEnd w:id="22"/>
    </w:p>
    <w:p w14:paraId="1DBAC869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分派任务。</w:t>
      </w:r>
    </w:p>
    <w:p w14:paraId="64E082AF">
      <w:pPr>
        <w:pStyle w:val="48"/>
        <w:bidi w:val="0"/>
        <w:rPr>
          <w:rFonts w:hint="default"/>
        </w:rPr>
      </w:pPr>
      <w:bookmarkStart w:id="23" w:name="_Toc31193"/>
      <w:r>
        <w:rPr>
          <w:rFonts w:hint="default"/>
        </w:rPr>
        <w:t>制定变更方案</w:t>
      </w:r>
      <w:bookmarkEnd w:id="23"/>
    </w:p>
    <w:p w14:paraId="5DF4BCD5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根据变更需求制定变更方案，并提交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审核。</w:t>
      </w:r>
    </w:p>
    <w:p w14:paraId="6CF62324">
      <w:pPr>
        <w:pStyle w:val="48"/>
        <w:bidi w:val="0"/>
        <w:rPr>
          <w:rStyle w:val="59"/>
          <w:rFonts w:hint="default"/>
        </w:rPr>
      </w:pPr>
      <w:bookmarkStart w:id="24" w:name="_Toc14083"/>
      <w:r>
        <w:rPr>
          <w:rStyle w:val="59"/>
          <w:rFonts w:hint="default"/>
        </w:rPr>
        <w:t>方案审核或测试</w:t>
      </w:r>
      <w:bookmarkEnd w:id="24"/>
    </w:p>
    <w:p w14:paraId="1D224509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对变更方案进行审核或安排测试，审核通过后方可交付实施。</w:t>
      </w:r>
    </w:p>
    <w:p w14:paraId="4CB3E453">
      <w:pPr>
        <w:pStyle w:val="48"/>
        <w:bidi w:val="0"/>
        <w:rPr>
          <w:rFonts w:hint="default"/>
        </w:rPr>
      </w:pPr>
      <w:bookmarkStart w:id="25" w:name="_Toc3376"/>
      <w:r>
        <w:rPr>
          <w:rFonts w:hint="default"/>
        </w:rPr>
        <w:t>变更实施</w:t>
      </w:r>
      <w:bookmarkEnd w:id="25"/>
    </w:p>
    <w:p w14:paraId="6AC82BF1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按方案执行变更。如实施失败，须执行回退计划。</w:t>
      </w:r>
    </w:p>
    <w:p w14:paraId="6C9E3F83">
      <w:pPr>
        <w:pStyle w:val="48"/>
        <w:bidi w:val="0"/>
        <w:rPr>
          <w:rFonts w:hint="default"/>
        </w:rPr>
      </w:pPr>
      <w:bookmarkStart w:id="26" w:name="_Toc18523"/>
      <w:r>
        <w:rPr>
          <w:rFonts w:hint="default"/>
        </w:rPr>
        <w:t>更新配置库</w:t>
      </w:r>
      <w:bookmarkEnd w:id="26"/>
    </w:p>
    <w:p w14:paraId="03C61387">
      <w:pPr>
        <w:pStyle w:val="46"/>
        <w:bidi w:val="0"/>
        <w:rPr>
          <w:rFonts w:hint="default"/>
          <w:lang w:val="en-US" w:eastAsia="zh-CN"/>
        </w:rPr>
      </w:pPr>
      <w:r>
        <w:rPr>
          <w:rFonts w:hint="default"/>
        </w:rPr>
        <w:t>如变更涉及配置信息变动，须及时更新配置库。具体参见《</w:t>
      </w:r>
      <w:r>
        <w:rPr>
          <w:rFonts w:hint="eastAsia"/>
          <w:lang w:eastAsia="zh-CN"/>
        </w:rPr>
        <w:t>配置管理制度》</w:t>
      </w:r>
    </w:p>
    <w:p w14:paraId="10D0EB3D">
      <w:pPr>
        <w:pStyle w:val="47"/>
        <w:bidi w:val="0"/>
        <w:rPr>
          <w:rFonts w:hint="eastAsia"/>
          <w:lang w:val="en-US" w:eastAsia="zh-CN"/>
        </w:rPr>
      </w:pPr>
      <w:bookmarkStart w:id="27" w:name="_Toc27058"/>
      <w:r>
        <w:rPr>
          <w:rFonts w:hint="eastAsia"/>
          <w:lang w:val="en-US" w:eastAsia="zh-CN"/>
        </w:rPr>
        <w:t>重大变更子流程及过程描述</w:t>
      </w:r>
      <w:bookmarkEnd w:id="27"/>
    </w:p>
    <w:p w14:paraId="0F4C41A3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重大变更子流程如图5-4所示:</w:t>
      </w:r>
    </w:p>
    <w:p w14:paraId="7F35644F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重大变更子流程</w:t>
      </w:r>
    </w:p>
    <w:p w14:paraId="3FEA2B02">
      <w:pPr>
        <w:pStyle w:val="4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54.65pt;width:444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 w14:paraId="3B0D1B67">
      <w:pPr>
        <w:pStyle w:val="48"/>
        <w:bidi w:val="0"/>
        <w:rPr>
          <w:rFonts w:hint="default"/>
        </w:rPr>
      </w:pPr>
      <w:bookmarkStart w:id="28" w:name="_Toc10578"/>
      <w:r>
        <w:rPr>
          <w:rFonts w:hint="default"/>
        </w:rPr>
        <w:t>变更记录</w:t>
      </w:r>
      <w:bookmarkEnd w:id="28"/>
    </w:p>
    <w:p w14:paraId="469D736D">
      <w:pPr>
        <w:pStyle w:val="46"/>
        <w:bidi w:val="0"/>
        <w:rPr>
          <w:rFonts w:hint="default"/>
        </w:rPr>
      </w:pPr>
      <w:r>
        <w:rPr>
          <w:rFonts w:hint="default"/>
        </w:rPr>
        <w:t>由</w:t>
      </w:r>
      <w:r>
        <w:rPr>
          <w:rFonts w:hint="eastAsia"/>
          <w:lang w:eastAsia="zh-CN"/>
        </w:rPr>
        <w:t>运维实施工程师或申请人</w:t>
      </w:r>
      <w:r>
        <w:rPr>
          <w:rFonts w:hint="default"/>
        </w:rPr>
        <w:t>填写《变更记录表》，并确定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。</w:t>
      </w:r>
    </w:p>
    <w:p w14:paraId="2C406281">
      <w:pPr>
        <w:pStyle w:val="48"/>
        <w:bidi w:val="0"/>
        <w:rPr>
          <w:rFonts w:hint="default"/>
        </w:rPr>
      </w:pPr>
      <w:bookmarkStart w:id="29" w:name="_Toc27384"/>
      <w:r>
        <w:rPr>
          <w:rFonts w:hint="default"/>
        </w:rPr>
        <w:t>重大变更确认</w:t>
      </w:r>
      <w:bookmarkEnd w:id="29"/>
    </w:p>
    <w:p w14:paraId="29A4BCF5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根据变更影响程度进一步调查，确认是否属于重大变更。</w:t>
      </w:r>
    </w:p>
    <w:p w14:paraId="35B560FE">
      <w:pPr>
        <w:pStyle w:val="48"/>
        <w:bidi w:val="0"/>
        <w:rPr>
          <w:rFonts w:hint="default"/>
        </w:rPr>
      </w:pPr>
      <w:bookmarkStart w:id="30" w:name="_Toc8746"/>
      <w:r>
        <w:rPr>
          <w:rFonts w:hint="default"/>
        </w:rPr>
        <w:t>变更评估</w:t>
      </w:r>
      <w:bookmarkEnd w:id="30"/>
    </w:p>
    <w:p w14:paraId="08E3D3F2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召集评估委员会，对变更方案及计划进行评估，内容包括实施成本、风险、预期效果及可预见问题等。评估委员会成员可包括公司相关部门经理、副经理、主管、业务骨干、研发人员及技术服务人员等，特殊情况下可邀请企业代表参与。评估后须形成会议纪要。</w:t>
      </w:r>
    </w:p>
    <w:p w14:paraId="2D0A744B">
      <w:pPr>
        <w:pStyle w:val="48"/>
        <w:bidi w:val="0"/>
        <w:rPr>
          <w:rFonts w:hint="default"/>
        </w:rPr>
      </w:pPr>
      <w:bookmarkStart w:id="31" w:name="_Toc20246"/>
      <w:r>
        <w:rPr>
          <w:rFonts w:hint="default"/>
        </w:rPr>
        <w:t>变更分配</w:t>
      </w:r>
      <w:bookmarkEnd w:id="31"/>
    </w:p>
    <w:p w14:paraId="2D160CE2">
      <w:pPr>
        <w:pStyle w:val="46"/>
        <w:bidi w:val="0"/>
        <w:rPr>
          <w:rFonts w:hint="default"/>
        </w:rPr>
      </w:pPr>
      <w:r>
        <w:rPr>
          <w:rFonts w:hint="default"/>
        </w:rPr>
        <w:t>评估通过后，</w:t>
      </w:r>
      <w:r>
        <w:rPr>
          <w:rFonts w:hint="eastAsia"/>
          <w:lang w:eastAsia="zh-CN"/>
        </w:rPr>
        <w:t>运维实施工程师</w:t>
      </w:r>
      <w:r>
        <w:rPr>
          <w:rFonts w:hint="eastAsia"/>
          <w:lang w:val="en-US" w:eastAsia="zh-CN"/>
        </w:rPr>
        <w:t>执行变更</w:t>
      </w:r>
      <w:r>
        <w:rPr>
          <w:rFonts w:hint="default"/>
        </w:rPr>
        <w:t>。</w:t>
      </w:r>
    </w:p>
    <w:p w14:paraId="1C32AFCA">
      <w:pPr>
        <w:pStyle w:val="48"/>
        <w:bidi w:val="0"/>
        <w:rPr>
          <w:rFonts w:hint="default"/>
        </w:rPr>
      </w:pPr>
      <w:bookmarkStart w:id="32" w:name="_Toc15359"/>
      <w:r>
        <w:rPr>
          <w:rFonts w:hint="default"/>
        </w:rPr>
        <w:t>制定变更方案</w:t>
      </w:r>
      <w:bookmarkEnd w:id="32"/>
    </w:p>
    <w:p w14:paraId="25E75AF8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根据变更需求编写《变更方案》，内容包括实施计划、测试计划和回退计划，并提交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确认。如变更申请中未包含回退计划，</w:t>
      </w:r>
      <w:r>
        <w:rPr>
          <w:rFonts w:hint="eastAsia"/>
          <w:lang w:val="en-US" w:eastAsia="zh-CN"/>
        </w:rPr>
        <w:t>运维部经理</w:t>
      </w:r>
      <w:r>
        <w:rPr>
          <w:rFonts w:hint="default"/>
        </w:rPr>
        <w:t>不应批准变更。</w:t>
      </w:r>
    </w:p>
    <w:p w14:paraId="03E7475A">
      <w:pPr>
        <w:pStyle w:val="48"/>
        <w:bidi w:val="0"/>
        <w:rPr>
          <w:rFonts w:hint="default"/>
        </w:rPr>
      </w:pPr>
      <w:bookmarkStart w:id="33" w:name="_Toc6317"/>
      <w:r>
        <w:rPr>
          <w:rFonts w:hint="default"/>
        </w:rPr>
        <w:t>变更方案测试</w:t>
      </w:r>
      <w:bookmarkEnd w:id="33"/>
    </w:p>
    <w:p w14:paraId="47D567B9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应对《变更方案》进行测试，通过后将测试报告提交</w:t>
      </w:r>
      <w:r>
        <w:rPr>
          <w:rFonts w:hint="eastAsia"/>
          <w:lang w:eastAsia="zh-CN"/>
        </w:rPr>
        <w:t>运维</w:t>
      </w:r>
      <w:r>
        <w:rPr>
          <w:rFonts w:hint="eastAsia"/>
          <w:lang w:val="en-US" w:eastAsia="zh-CN"/>
        </w:rPr>
        <w:t>部归档</w:t>
      </w:r>
      <w:r>
        <w:rPr>
          <w:rFonts w:hint="default"/>
        </w:rPr>
        <w:t>。</w:t>
      </w:r>
    </w:p>
    <w:p w14:paraId="532B0EF0">
      <w:pPr>
        <w:pStyle w:val="48"/>
        <w:bidi w:val="0"/>
        <w:rPr>
          <w:rFonts w:hint="default"/>
        </w:rPr>
      </w:pPr>
      <w:bookmarkStart w:id="34" w:name="_Toc23830"/>
      <w:r>
        <w:rPr>
          <w:rFonts w:hint="default"/>
        </w:rPr>
        <w:t>方案评审与批准</w:t>
      </w:r>
      <w:bookmarkEnd w:id="34"/>
    </w:p>
    <w:p w14:paraId="78CE63D3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运维部经理组织</w:t>
      </w:r>
      <w:r>
        <w:rPr>
          <w:rFonts w:hint="default"/>
        </w:rPr>
        <w:t>对《变更方案》进行评审，如条件允许，应对方案进行验证。验证通过后，将《变更方案》及测试结果提交主管领导逐级审批，通过后方可实施。</w:t>
      </w:r>
    </w:p>
    <w:p w14:paraId="5B092422">
      <w:pPr>
        <w:pStyle w:val="48"/>
        <w:bidi w:val="0"/>
        <w:rPr>
          <w:rFonts w:hint="default"/>
        </w:rPr>
      </w:pPr>
      <w:bookmarkStart w:id="35" w:name="_Toc29295"/>
      <w:r>
        <w:rPr>
          <w:rFonts w:hint="default"/>
        </w:rPr>
        <w:t>变更实施</w:t>
      </w:r>
      <w:bookmarkEnd w:id="35"/>
    </w:p>
    <w:p w14:paraId="78C4B027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执行变更。如实施失败，须执行回退计划。</w:t>
      </w:r>
    </w:p>
    <w:p w14:paraId="46BFA357">
      <w:pPr>
        <w:pStyle w:val="48"/>
        <w:bidi w:val="0"/>
        <w:rPr>
          <w:rFonts w:hint="default"/>
        </w:rPr>
      </w:pPr>
      <w:bookmarkStart w:id="36" w:name="_Toc29909"/>
      <w:r>
        <w:rPr>
          <w:rFonts w:hint="default"/>
        </w:rPr>
        <w:t>更新配置库</w:t>
      </w:r>
      <w:bookmarkEnd w:id="36"/>
    </w:p>
    <w:p w14:paraId="0564DB52">
      <w:pPr>
        <w:pStyle w:val="46"/>
        <w:bidi w:val="0"/>
        <w:rPr>
          <w:rFonts w:hint="default"/>
        </w:rPr>
      </w:pPr>
      <w:r>
        <w:rPr>
          <w:rFonts w:hint="default"/>
        </w:rPr>
        <w:t>如变更涉及配置信息变动，</w:t>
      </w:r>
      <w:r>
        <w:rPr>
          <w:rFonts w:hint="eastAsia"/>
          <w:lang w:val="en-US" w:eastAsia="zh-CN"/>
        </w:rPr>
        <w:t>必须</w:t>
      </w:r>
      <w:r>
        <w:rPr>
          <w:rFonts w:hint="default"/>
        </w:rPr>
        <w:t>及时更新配置库。</w:t>
      </w:r>
      <w:r>
        <w:rPr>
          <w:rFonts w:hint="eastAsia"/>
          <w:lang w:val="en-US" w:eastAsia="zh-CN"/>
        </w:rPr>
        <w:t>具体</w:t>
      </w:r>
      <w:r>
        <w:rPr>
          <w:rFonts w:hint="default"/>
        </w:rPr>
        <w:t>具体参见《</w:t>
      </w:r>
      <w:r>
        <w:rPr>
          <w:rFonts w:hint="eastAsia"/>
          <w:lang w:eastAsia="zh-CN"/>
        </w:rPr>
        <w:t>配置管理制度》</w:t>
      </w:r>
      <w:r>
        <w:rPr>
          <w:rFonts w:hint="default"/>
        </w:rPr>
        <w:t>。</w:t>
      </w:r>
    </w:p>
    <w:p w14:paraId="329EFC48">
      <w:pPr>
        <w:pStyle w:val="47"/>
        <w:bidi w:val="0"/>
        <w:rPr>
          <w:rFonts w:hint="default"/>
          <w:lang w:val="en-US" w:eastAsia="zh-CN"/>
        </w:rPr>
      </w:pPr>
      <w:bookmarkStart w:id="37" w:name="_Toc10175"/>
      <w:r>
        <w:rPr>
          <w:rFonts w:hint="eastAsia"/>
          <w:lang w:val="en-US" w:eastAsia="zh-CN"/>
        </w:rPr>
        <w:t>紧急变更子流程及过程描述</w:t>
      </w:r>
      <w:bookmarkEnd w:id="37"/>
    </w:p>
    <w:p w14:paraId="25930026">
      <w:pPr>
        <w:pStyle w:val="4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紧急变更子流程如图5-5所示:</w:t>
      </w:r>
    </w:p>
    <w:p w14:paraId="3E4EA79C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紧急变更子流程</w:t>
      </w:r>
    </w:p>
    <w:p w14:paraId="4B6DD9A4">
      <w:pPr>
        <w:pStyle w:val="4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52pt;width:477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p w14:paraId="1FC06668">
      <w:pPr>
        <w:pStyle w:val="48"/>
        <w:bidi w:val="0"/>
        <w:rPr>
          <w:rFonts w:hint="default"/>
        </w:rPr>
      </w:pPr>
      <w:bookmarkStart w:id="38" w:name="_Toc7263"/>
      <w:r>
        <w:rPr>
          <w:rFonts w:hint="default"/>
        </w:rPr>
        <w:t>变更记录</w:t>
      </w:r>
      <w:bookmarkEnd w:id="38"/>
    </w:p>
    <w:p w14:paraId="1160480D">
      <w:pPr>
        <w:pStyle w:val="46"/>
        <w:bidi w:val="0"/>
        <w:rPr>
          <w:rFonts w:hint="default"/>
        </w:rPr>
      </w:pPr>
      <w:r>
        <w:rPr>
          <w:rFonts w:hint="default"/>
        </w:rPr>
        <w:t>由</w:t>
      </w:r>
      <w:r>
        <w:rPr>
          <w:rFonts w:hint="eastAsia"/>
          <w:lang w:val="en-US" w:eastAsia="zh-CN"/>
        </w:rPr>
        <w:t>运维实施工程师或申请人</w:t>
      </w:r>
      <w:r>
        <w:rPr>
          <w:rFonts w:hint="default"/>
        </w:rPr>
        <w:t>填写《变更记录表》。</w:t>
      </w:r>
    </w:p>
    <w:p w14:paraId="732CB092">
      <w:pPr>
        <w:pStyle w:val="48"/>
        <w:bidi w:val="0"/>
        <w:rPr>
          <w:rFonts w:hint="default"/>
        </w:rPr>
      </w:pPr>
      <w:bookmarkStart w:id="39" w:name="_Toc9046"/>
      <w:r>
        <w:rPr>
          <w:rFonts w:hint="default"/>
        </w:rPr>
        <w:t>紧急变更确认</w:t>
      </w:r>
      <w:bookmarkEnd w:id="39"/>
    </w:p>
    <w:p w14:paraId="1E19312D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将《变更记录表》直接提交管理层，由分管副总确认并签字批准。</w:t>
      </w:r>
    </w:p>
    <w:p w14:paraId="43421374">
      <w:pPr>
        <w:pStyle w:val="48"/>
        <w:bidi w:val="0"/>
        <w:rPr>
          <w:rFonts w:hint="default"/>
        </w:rPr>
      </w:pPr>
      <w:bookmarkStart w:id="40" w:name="_Toc31011"/>
      <w:r>
        <w:rPr>
          <w:rFonts w:hint="default"/>
        </w:rPr>
        <w:t>变更分配</w:t>
      </w:r>
      <w:bookmarkEnd w:id="40"/>
      <w:bookmarkStart w:id="52" w:name="_GoBack"/>
      <w:bookmarkEnd w:id="52"/>
    </w:p>
    <w:p w14:paraId="487D5413">
      <w:pPr>
        <w:pStyle w:val="46"/>
        <w:bidi w:val="0"/>
        <w:rPr>
          <w:rFonts w:hint="default"/>
        </w:rPr>
      </w:pPr>
      <w:r>
        <w:rPr>
          <w:rFonts w:hint="default"/>
        </w:rPr>
        <w:t>指定</w:t>
      </w:r>
      <w:r>
        <w:rPr>
          <w:rFonts w:hint="eastAsia"/>
          <w:lang w:eastAsia="zh-CN"/>
        </w:rPr>
        <w:t>运维实施工程师</w:t>
      </w:r>
      <w:r>
        <w:rPr>
          <w:rFonts w:hint="default"/>
        </w:rPr>
        <w:t>。</w:t>
      </w:r>
    </w:p>
    <w:p w14:paraId="54A6C9A0">
      <w:pPr>
        <w:pStyle w:val="48"/>
        <w:bidi w:val="0"/>
        <w:rPr>
          <w:rFonts w:hint="default"/>
        </w:rPr>
      </w:pPr>
      <w:bookmarkStart w:id="41" w:name="_Toc11283"/>
      <w:r>
        <w:rPr>
          <w:rFonts w:hint="default"/>
        </w:rPr>
        <w:t>制定变更方案</w:t>
      </w:r>
      <w:bookmarkEnd w:id="41"/>
    </w:p>
    <w:p w14:paraId="001A0A5C">
      <w:pPr>
        <w:pStyle w:val="46"/>
        <w:bidi w:val="0"/>
        <w:rPr>
          <w:rFonts w:hint="default"/>
        </w:rPr>
      </w:pPr>
      <w:r>
        <w:rPr>
          <w:rFonts w:hint="eastAsia"/>
          <w:lang w:eastAsia="zh-CN"/>
        </w:rPr>
        <w:t>运维实施工程师</w:t>
      </w:r>
      <w:r>
        <w:rPr>
          <w:rFonts w:hint="default"/>
        </w:rPr>
        <w:t>根据变更需求编写《变更方案》。</w:t>
      </w:r>
    </w:p>
    <w:p w14:paraId="0C9FF5FC">
      <w:pPr>
        <w:pStyle w:val="48"/>
        <w:bidi w:val="0"/>
        <w:rPr>
          <w:rFonts w:hint="default"/>
        </w:rPr>
      </w:pPr>
      <w:bookmarkStart w:id="42" w:name="_Toc22760"/>
      <w:r>
        <w:rPr>
          <w:rFonts w:hint="default"/>
        </w:rPr>
        <w:t>变更实施</w:t>
      </w:r>
      <w:bookmarkEnd w:id="42"/>
    </w:p>
    <w:p w14:paraId="5552EE37">
      <w:pPr>
        <w:pStyle w:val="46"/>
        <w:bidi w:val="0"/>
        <w:rPr>
          <w:rFonts w:hint="default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</w:rPr>
        <w:t>按方案执行变更。如实施失败，须执行回退计划。</w:t>
      </w:r>
    </w:p>
    <w:p w14:paraId="083FF24C">
      <w:pPr>
        <w:pStyle w:val="48"/>
        <w:bidi w:val="0"/>
        <w:rPr>
          <w:rFonts w:hint="default"/>
        </w:rPr>
      </w:pPr>
      <w:bookmarkStart w:id="43" w:name="_Toc6507"/>
      <w:r>
        <w:rPr>
          <w:rFonts w:hint="default"/>
        </w:rPr>
        <w:t>更新配置库</w:t>
      </w:r>
      <w:bookmarkEnd w:id="43"/>
    </w:p>
    <w:p w14:paraId="5A13C1AE">
      <w:pPr>
        <w:pStyle w:val="46"/>
        <w:bidi w:val="0"/>
        <w:rPr>
          <w:rFonts w:hint="eastAsia"/>
          <w:lang w:eastAsia="zh-CN"/>
        </w:rPr>
      </w:pPr>
      <w:r>
        <w:rPr>
          <w:rFonts w:hint="default"/>
        </w:rPr>
        <w:t>如变更涉及配置信息变动，须及时更新配置库。具体参见《</w:t>
      </w:r>
      <w:r>
        <w:rPr>
          <w:rFonts w:hint="eastAsia"/>
          <w:lang w:eastAsia="zh-CN"/>
        </w:rPr>
        <w:t>配置管理制度》</w:t>
      </w:r>
    </w:p>
    <w:p w14:paraId="241DBAFB">
      <w:pPr>
        <w:pStyle w:val="47"/>
        <w:bidi w:val="0"/>
      </w:pPr>
      <w:bookmarkStart w:id="44" w:name="_Toc6088"/>
      <w:bookmarkStart w:id="45" w:name="_Toc31504"/>
      <w:r>
        <w:t>考核指标</w:t>
      </w:r>
      <w:bookmarkEnd w:id="44"/>
      <w:bookmarkEnd w:id="45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736"/>
        <w:gridCol w:w="1353"/>
        <w:gridCol w:w="1583"/>
      </w:tblGrid>
      <w:tr w14:paraId="46403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759A7A2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42BE2797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19357F65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5D2585F1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56018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64" w:type="dxa"/>
            <w:shd w:val="clear" w:color="auto" w:fill="auto"/>
          </w:tcPr>
          <w:p w14:paraId="2F25F983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2583" w:type="dxa"/>
            <w:shd w:val="clear" w:color="auto" w:fill="auto"/>
          </w:tcPr>
          <w:p w14:paraId="57936CE6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353" w:type="dxa"/>
            <w:shd w:val="clear" w:color="auto" w:fill="auto"/>
          </w:tcPr>
          <w:p w14:paraId="66842536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3" w:type="dxa"/>
            <w:shd w:val="clear" w:color="auto" w:fill="auto"/>
          </w:tcPr>
          <w:p w14:paraId="79859325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  <w:tr w14:paraId="2399D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964" w:type="dxa"/>
            <w:shd w:val="clear" w:color="auto" w:fill="auto"/>
          </w:tcPr>
          <w:p w14:paraId="259014AE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0" w:type="auto"/>
            <w:shd w:val="clear" w:color="auto" w:fill="auto"/>
          </w:tcPr>
          <w:p w14:paraId="6EADF881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auto"/>
          </w:tcPr>
          <w:p w14:paraId="51683B38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</w:tcPr>
          <w:p w14:paraId="336869BB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</w:tr>
    </w:tbl>
    <w:p w14:paraId="0F6C8206">
      <w:pPr>
        <w:pStyle w:val="45"/>
        <w:bidi w:val="0"/>
        <w:rPr>
          <w:rStyle w:val="55"/>
          <w:rFonts w:hint="default" w:eastAsia="宋体"/>
          <w:lang w:val="en-US" w:eastAsia="zh-CN"/>
        </w:rPr>
      </w:pPr>
      <w:bookmarkStart w:id="46" w:name="bookmark3"/>
      <w:bookmarkEnd w:id="46"/>
      <w:bookmarkStart w:id="47" w:name="_Toc17412"/>
      <w:bookmarkStart w:id="48" w:name="_Toc17424"/>
      <w:r>
        <w:rPr>
          <w:rStyle w:val="55"/>
          <w:rFonts w:hint="eastAsia" w:eastAsia="宋体"/>
          <w:lang w:val="en-US" w:eastAsia="zh-CN"/>
        </w:rPr>
        <w:t>附则</w:t>
      </w:r>
      <w:bookmarkEnd w:id="47"/>
      <w:bookmarkEnd w:id="48"/>
    </w:p>
    <w:p w14:paraId="2C41245E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47BF09B8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1CC4405A">
      <w:pPr>
        <w:pStyle w:val="45"/>
        <w:bidi w:val="0"/>
        <w:rPr>
          <w:rFonts w:hint="default"/>
          <w:lang w:val="en-US" w:eastAsia="zh-CN"/>
        </w:rPr>
      </w:pPr>
      <w:bookmarkStart w:id="49" w:name="bookmark14"/>
      <w:bookmarkEnd w:id="49"/>
      <w:bookmarkStart w:id="50" w:name="_Toc22832"/>
      <w:r>
        <w:rPr>
          <w:rFonts w:hint="eastAsia"/>
          <w:lang w:val="en-US" w:eastAsia="zh-CN"/>
        </w:rPr>
        <w:t>附件</w:t>
      </w:r>
      <w:bookmarkEnd w:id="50"/>
    </w:p>
    <w:p w14:paraId="71C392A2">
      <w:pPr>
        <w:pStyle w:val="56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23A7BF37">
      <w:pPr>
        <w:pStyle w:val="45"/>
        <w:bidi w:val="0"/>
        <w:rPr>
          <w:rFonts w:hint="eastAsia"/>
          <w:lang w:val="en-US" w:eastAsia="zh-CN"/>
        </w:rPr>
      </w:pPr>
      <w:bookmarkStart w:id="51" w:name="_Toc23684"/>
      <w:r>
        <w:rPr>
          <w:rFonts w:hint="eastAsia"/>
          <w:lang w:val="en-US" w:eastAsia="zh-CN"/>
        </w:rPr>
        <w:t>记录</w:t>
      </w:r>
      <w:bookmarkEnd w:id="51"/>
    </w:p>
    <w:p w14:paraId="31F89308">
      <w:pPr>
        <w:pStyle w:val="56"/>
        <w:bidi w:val="0"/>
      </w:pPr>
      <w:r>
        <w:t>《变更方案》</w:t>
      </w:r>
    </w:p>
    <w:p w14:paraId="3B5F0DFF">
      <w:pPr>
        <w:pStyle w:val="56"/>
        <w:bidi w:val="0"/>
      </w:pPr>
      <w:r>
        <w:t>《变更记录表》</w:t>
      </w:r>
    </w:p>
    <w:p w14:paraId="7D9E3809">
      <w:pPr>
        <w:pStyle w:val="56"/>
        <w:bidi w:val="0"/>
        <w:rPr>
          <w:rFonts w:hint="eastAsia"/>
          <w:lang w:val="en-US" w:eastAsia="zh-CN"/>
        </w:rPr>
      </w:pPr>
      <w:r>
        <w:t>《变更报告》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BB9C3D">
    <w:pPr>
      <w:pStyle w:val="20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FC45E2"/>
    <w:multiLevelType w:val="singleLevel"/>
    <w:tmpl w:val="BDFC45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218A7CF"/>
    <w:multiLevelType w:val="singleLevel"/>
    <w:tmpl w:val="D218A7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150BB5"/>
    <w:multiLevelType w:val="singleLevel"/>
    <w:tmpl w:val="F9150B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354912"/>
    <w:rsid w:val="03FE1F99"/>
    <w:rsid w:val="065546FA"/>
    <w:rsid w:val="06EF696A"/>
    <w:rsid w:val="0A06351A"/>
    <w:rsid w:val="10090303"/>
    <w:rsid w:val="10AD6EE0"/>
    <w:rsid w:val="14B549F0"/>
    <w:rsid w:val="18832486"/>
    <w:rsid w:val="1C4C3A51"/>
    <w:rsid w:val="1F850AC7"/>
    <w:rsid w:val="24A217AC"/>
    <w:rsid w:val="252164CC"/>
    <w:rsid w:val="28EF40E2"/>
    <w:rsid w:val="29BF5862"/>
    <w:rsid w:val="2A004862"/>
    <w:rsid w:val="30705B08"/>
    <w:rsid w:val="35F5085E"/>
    <w:rsid w:val="3DE06C78"/>
    <w:rsid w:val="3F367F69"/>
    <w:rsid w:val="4183446A"/>
    <w:rsid w:val="44DE708D"/>
    <w:rsid w:val="46317690"/>
    <w:rsid w:val="481B23A6"/>
    <w:rsid w:val="48425B85"/>
    <w:rsid w:val="4FFD78DD"/>
    <w:rsid w:val="50EF43D0"/>
    <w:rsid w:val="547C155F"/>
    <w:rsid w:val="59A65848"/>
    <w:rsid w:val="5DB46E7E"/>
    <w:rsid w:val="65134AAC"/>
    <w:rsid w:val="6C5B73FB"/>
    <w:rsid w:val="7883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32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Salutation"/>
    <w:basedOn w:val="1"/>
    <w:next w:val="1"/>
    <w:qFormat/>
    <w:uiPriority w:val="0"/>
  </w:style>
  <w:style w:type="paragraph" w:styleId="14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Date"/>
    <w:basedOn w:val="1"/>
    <w:next w:val="1"/>
    <w:qFormat/>
    <w:uiPriority w:val="0"/>
    <w:pPr>
      <w:ind w:left="100" w:leftChars="2500"/>
    </w:pPr>
  </w:style>
  <w:style w:type="paragraph" w:styleId="17">
    <w:name w:val="endnote text"/>
    <w:basedOn w:val="1"/>
    <w:qFormat/>
    <w:uiPriority w:val="0"/>
    <w:pPr>
      <w:snapToGrid w:val="0"/>
      <w:jc w:val="left"/>
    </w:pPr>
  </w:style>
  <w:style w:type="paragraph" w:styleId="18">
    <w:name w:val="Balloon Text"/>
    <w:basedOn w:val="1"/>
    <w:qFormat/>
    <w:uiPriority w:val="0"/>
    <w:rPr>
      <w:sz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21">
    <w:name w:val="Signature"/>
    <w:basedOn w:val="1"/>
    <w:qFormat/>
    <w:uiPriority w:val="0"/>
    <w:pPr>
      <w:ind w:left="100" w:leftChars="2100"/>
    </w:pPr>
  </w:style>
  <w:style w:type="paragraph" w:styleId="22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23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2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25">
    <w:name w:val="toc 2"/>
    <w:basedOn w:val="1"/>
    <w:next w:val="1"/>
    <w:qFormat/>
    <w:uiPriority w:val="0"/>
    <w:pPr>
      <w:ind w:left="420" w:leftChars="200"/>
    </w:pPr>
  </w:style>
  <w:style w:type="paragraph" w:styleId="26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27">
    <w:name w:val="Normal (Web)"/>
    <w:basedOn w:val="1"/>
    <w:qFormat/>
    <w:uiPriority w:val="0"/>
    <w:rPr>
      <w:sz w:val="24"/>
    </w:rPr>
  </w:style>
  <w:style w:type="paragraph" w:styleId="2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29">
    <w:name w:val="annotation subject"/>
    <w:basedOn w:val="12"/>
    <w:next w:val="12"/>
    <w:qFormat/>
    <w:uiPriority w:val="0"/>
    <w:rPr>
      <w:b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0"/>
    <w:rPr>
      <w:b/>
    </w:rPr>
  </w:style>
  <w:style w:type="character" w:styleId="34">
    <w:name w:val="endnote reference"/>
    <w:basedOn w:val="32"/>
    <w:qFormat/>
    <w:uiPriority w:val="0"/>
    <w:rPr>
      <w:vertAlign w:val="superscript"/>
    </w:rPr>
  </w:style>
  <w:style w:type="character" w:styleId="35">
    <w:name w:val="page number"/>
    <w:basedOn w:val="32"/>
    <w:qFormat/>
    <w:uiPriority w:val="0"/>
  </w:style>
  <w:style w:type="character" w:styleId="36">
    <w:name w:val="FollowedHyperlink"/>
    <w:basedOn w:val="32"/>
    <w:qFormat/>
    <w:uiPriority w:val="0"/>
    <w:rPr>
      <w:color w:val="800080"/>
      <w:u w:val="single"/>
    </w:rPr>
  </w:style>
  <w:style w:type="character" w:styleId="37">
    <w:name w:val="Emphasis"/>
    <w:basedOn w:val="32"/>
    <w:qFormat/>
    <w:uiPriority w:val="0"/>
    <w:rPr>
      <w:i/>
    </w:rPr>
  </w:style>
  <w:style w:type="character" w:styleId="38">
    <w:name w:val="Hyperlink"/>
    <w:basedOn w:val="32"/>
    <w:qFormat/>
    <w:uiPriority w:val="0"/>
    <w:rPr>
      <w:color w:val="0000FF"/>
      <w:u w:val="single"/>
    </w:rPr>
  </w:style>
  <w:style w:type="character" w:styleId="39">
    <w:name w:val="annotation reference"/>
    <w:basedOn w:val="32"/>
    <w:qFormat/>
    <w:uiPriority w:val="0"/>
    <w:rPr>
      <w:sz w:val="21"/>
    </w:rPr>
  </w:style>
  <w:style w:type="character" w:styleId="40">
    <w:name w:val="footnote reference"/>
    <w:basedOn w:val="32"/>
    <w:qFormat/>
    <w:uiPriority w:val="0"/>
    <w:rPr>
      <w:vertAlign w:val="superscript"/>
    </w:rPr>
  </w:style>
  <w:style w:type="paragraph" w:customStyle="1" w:styleId="41">
    <w:name w:val="柴_公司名"/>
    <w:basedOn w:val="2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42">
    <w:name w:val="柴_文档名"/>
    <w:basedOn w:val="2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43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45">
    <w:name w:val="柴_标题1"/>
    <w:basedOn w:val="2"/>
    <w:next w:val="46"/>
    <w:link w:val="55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46">
    <w:name w:val="柴_正文"/>
    <w:basedOn w:val="14"/>
    <w:link w:val="58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47">
    <w:name w:val="柴_标题2"/>
    <w:basedOn w:val="3"/>
    <w:next w:val="46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48">
    <w:name w:val="柴_标题3"/>
    <w:basedOn w:val="4"/>
    <w:next w:val="46"/>
    <w:link w:val="5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49">
    <w:name w:val="柴_目录"/>
    <w:basedOn w:val="1"/>
    <w:next w:val="14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3">
    <w:name w:val="Compact"/>
    <w:basedOn w:val="14"/>
    <w:qFormat/>
    <w:uiPriority w:val="0"/>
    <w:pPr>
      <w:spacing w:before="36" w:after="36"/>
    </w:pPr>
  </w:style>
  <w:style w:type="table" w:customStyle="1" w:styleId="5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55">
    <w:name w:val="柴_标题1 Char"/>
    <w:link w:val="45"/>
    <w:qFormat/>
    <w:uiPriority w:val="0"/>
    <w:rPr>
      <w:rFonts w:ascii="Arial" w:hAnsi="Arial" w:eastAsia="宋体"/>
      <w:sz w:val="32"/>
    </w:rPr>
  </w:style>
  <w:style w:type="paragraph" w:customStyle="1" w:styleId="56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57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58">
    <w:name w:val="柴_正文 Char"/>
    <w:link w:val="46"/>
    <w:qFormat/>
    <w:uiPriority w:val="0"/>
    <w:rPr>
      <w:rFonts w:ascii="Arial" w:hAnsi="Arial" w:eastAsia="宋体"/>
      <w:sz w:val="24"/>
      <w:lang w:eastAsia="zh-CN"/>
    </w:rPr>
  </w:style>
  <w:style w:type="character" w:customStyle="1" w:styleId="59">
    <w:name w:val="柴_标题3 Char"/>
    <w:link w:val="48"/>
    <w:qFormat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emf"/><Relationship Id="rId15" Type="http://schemas.openxmlformats.org/officeDocument/2006/relationships/oleObject" Target="embeddings/oleObject5.bin"/><Relationship Id="rId14" Type="http://schemas.openxmlformats.org/officeDocument/2006/relationships/image" Target="media/image5.emf"/><Relationship Id="rId13" Type="http://schemas.openxmlformats.org/officeDocument/2006/relationships/oleObject" Target="embeddings/oleObject4.bin"/><Relationship Id="rId12" Type="http://schemas.openxmlformats.org/officeDocument/2006/relationships/image" Target="media/image4.emf"/><Relationship Id="rId11" Type="http://schemas.openxmlformats.org/officeDocument/2006/relationships/oleObject" Target="embeddings/oleObject3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2426</Words>
  <Characters>2720</Characters>
  <Lines>0</Lines>
  <Paragraphs>0</Paragraphs>
  <TotalTime>9</TotalTime>
  <ScaleCrop>false</ScaleCrop>
  <LinksUpToDate>false</LinksUpToDate>
  <CharactersWithSpaces>2920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2025-09-16T11:46:25Z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