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ED6C6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-08</w:t>
      </w:r>
    </w:p>
    <w:p w14:paraId="24D61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B0938B6">
      <w:pPr>
        <w:pStyle w:val="24"/>
        <w:bidi w:val="0"/>
      </w:pPr>
      <w:bookmarkStart w:id="0" w:name="_Toc250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E356ADA">
      <w:pPr>
        <w:pStyle w:val="25"/>
        <w:bidi w:val="0"/>
        <w:rPr>
          <w:rFonts w:hint="default"/>
          <w:lang w:val="en-US"/>
        </w:rPr>
      </w:pPr>
      <w:bookmarkStart w:id="1" w:name="_Toc26747"/>
      <w:r>
        <w:rPr>
          <w:rFonts w:hint="eastAsia"/>
          <w:lang w:val="en-US" w:eastAsia="zh-CN"/>
        </w:rPr>
        <w:t>配置管理制度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D88C5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04A9AA2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00F757F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C868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7FB905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16A79D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4317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154B91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ECCCBD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63FA8620">
      <w:r>
        <w:br w:type="page"/>
      </w:r>
    </w:p>
    <w:p w14:paraId="4E3AA53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E6686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16F1ED85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06A2C50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F5E29CF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60A492F3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097B12E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91499B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E4C57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96178A6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782F671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D45CB7B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3554AB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63600A5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4DBEA39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85D80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C895EED">
            <w:pPr>
              <w:pStyle w:val="27"/>
            </w:pPr>
          </w:p>
        </w:tc>
        <w:tc>
          <w:tcPr>
            <w:tcW w:w="919" w:type="dxa"/>
          </w:tcPr>
          <w:p w14:paraId="2B217166">
            <w:pPr>
              <w:pStyle w:val="27"/>
            </w:pPr>
          </w:p>
        </w:tc>
        <w:tc>
          <w:tcPr>
            <w:tcW w:w="2289" w:type="dxa"/>
          </w:tcPr>
          <w:p w14:paraId="606E38C3">
            <w:pPr>
              <w:pStyle w:val="27"/>
            </w:pPr>
          </w:p>
        </w:tc>
        <w:tc>
          <w:tcPr>
            <w:tcW w:w="1148" w:type="dxa"/>
          </w:tcPr>
          <w:p w14:paraId="115EA917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75D0306E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B4B835D">
            <w:pPr>
              <w:pStyle w:val="27"/>
            </w:pPr>
          </w:p>
        </w:tc>
      </w:tr>
      <w:tr w14:paraId="3725F5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3F39B24">
            <w:pPr>
              <w:pStyle w:val="27"/>
            </w:pPr>
          </w:p>
        </w:tc>
        <w:tc>
          <w:tcPr>
            <w:tcW w:w="919" w:type="dxa"/>
          </w:tcPr>
          <w:p w14:paraId="731B2686">
            <w:pPr>
              <w:pStyle w:val="27"/>
            </w:pPr>
          </w:p>
        </w:tc>
        <w:tc>
          <w:tcPr>
            <w:tcW w:w="2289" w:type="dxa"/>
          </w:tcPr>
          <w:p w14:paraId="7D9D07B8">
            <w:pPr>
              <w:pStyle w:val="27"/>
            </w:pPr>
          </w:p>
        </w:tc>
        <w:tc>
          <w:tcPr>
            <w:tcW w:w="1148" w:type="dxa"/>
          </w:tcPr>
          <w:p w14:paraId="26BA0089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B2CF171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33DB9DDB">
            <w:pPr>
              <w:pStyle w:val="27"/>
            </w:pPr>
          </w:p>
        </w:tc>
      </w:tr>
      <w:tr w14:paraId="75C8A4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FB6751D">
            <w:pPr>
              <w:pStyle w:val="27"/>
            </w:pPr>
          </w:p>
        </w:tc>
        <w:tc>
          <w:tcPr>
            <w:tcW w:w="919" w:type="dxa"/>
          </w:tcPr>
          <w:p w14:paraId="13A8EF5E">
            <w:pPr>
              <w:pStyle w:val="27"/>
            </w:pPr>
          </w:p>
        </w:tc>
        <w:tc>
          <w:tcPr>
            <w:tcW w:w="2289" w:type="dxa"/>
          </w:tcPr>
          <w:p w14:paraId="2B1388F7">
            <w:pPr>
              <w:pStyle w:val="27"/>
            </w:pPr>
          </w:p>
        </w:tc>
        <w:tc>
          <w:tcPr>
            <w:tcW w:w="1148" w:type="dxa"/>
          </w:tcPr>
          <w:p w14:paraId="3FEB5498">
            <w:pPr>
              <w:pStyle w:val="27"/>
            </w:pPr>
          </w:p>
        </w:tc>
        <w:tc>
          <w:tcPr>
            <w:tcW w:w="1150" w:type="dxa"/>
          </w:tcPr>
          <w:p w14:paraId="7589CF99">
            <w:pPr>
              <w:pStyle w:val="27"/>
            </w:pPr>
          </w:p>
        </w:tc>
        <w:tc>
          <w:tcPr>
            <w:tcW w:w="1240" w:type="dxa"/>
          </w:tcPr>
          <w:p w14:paraId="45F14861">
            <w:pPr>
              <w:pStyle w:val="27"/>
            </w:pPr>
          </w:p>
        </w:tc>
      </w:tr>
      <w:tr w14:paraId="7043DE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2F21F03">
            <w:pPr>
              <w:pStyle w:val="27"/>
            </w:pPr>
          </w:p>
        </w:tc>
        <w:tc>
          <w:tcPr>
            <w:tcW w:w="919" w:type="dxa"/>
          </w:tcPr>
          <w:p w14:paraId="202B30BB">
            <w:pPr>
              <w:pStyle w:val="27"/>
            </w:pPr>
          </w:p>
        </w:tc>
        <w:tc>
          <w:tcPr>
            <w:tcW w:w="2289" w:type="dxa"/>
          </w:tcPr>
          <w:p w14:paraId="479BC634">
            <w:pPr>
              <w:pStyle w:val="27"/>
            </w:pPr>
          </w:p>
        </w:tc>
        <w:tc>
          <w:tcPr>
            <w:tcW w:w="1148" w:type="dxa"/>
          </w:tcPr>
          <w:p w14:paraId="7C4F0505">
            <w:pPr>
              <w:pStyle w:val="27"/>
            </w:pPr>
          </w:p>
        </w:tc>
        <w:tc>
          <w:tcPr>
            <w:tcW w:w="1150" w:type="dxa"/>
          </w:tcPr>
          <w:p w14:paraId="0391A310">
            <w:pPr>
              <w:pStyle w:val="27"/>
            </w:pPr>
          </w:p>
        </w:tc>
        <w:tc>
          <w:tcPr>
            <w:tcW w:w="1240" w:type="dxa"/>
          </w:tcPr>
          <w:p w14:paraId="5004B84E">
            <w:pPr>
              <w:pStyle w:val="27"/>
            </w:pPr>
          </w:p>
        </w:tc>
      </w:tr>
      <w:tr w14:paraId="356A64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48E05A8B">
            <w:pPr>
              <w:pStyle w:val="27"/>
            </w:pPr>
          </w:p>
        </w:tc>
        <w:tc>
          <w:tcPr>
            <w:tcW w:w="919" w:type="dxa"/>
          </w:tcPr>
          <w:p w14:paraId="412B36D2">
            <w:pPr>
              <w:pStyle w:val="27"/>
            </w:pPr>
          </w:p>
        </w:tc>
        <w:tc>
          <w:tcPr>
            <w:tcW w:w="2289" w:type="dxa"/>
          </w:tcPr>
          <w:p w14:paraId="330F02FC">
            <w:pPr>
              <w:pStyle w:val="27"/>
            </w:pPr>
          </w:p>
        </w:tc>
        <w:tc>
          <w:tcPr>
            <w:tcW w:w="1148" w:type="dxa"/>
          </w:tcPr>
          <w:p w14:paraId="0CDE1844">
            <w:pPr>
              <w:pStyle w:val="27"/>
            </w:pPr>
          </w:p>
        </w:tc>
        <w:tc>
          <w:tcPr>
            <w:tcW w:w="1150" w:type="dxa"/>
          </w:tcPr>
          <w:p w14:paraId="62275319">
            <w:pPr>
              <w:pStyle w:val="27"/>
            </w:pPr>
          </w:p>
        </w:tc>
        <w:tc>
          <w:tcPr>
            <w:tcW w:w="1240" w:type="dxa"/>
          </w:tcPr>
          <w:p w14:paraId="34C24DF9">
            <w:pPr>
              <w:pStyle w:val="27"/>
            </w:pPr>
          </w:p>
        </w:tc>
      </w:tr>
    </w:tbl>
    <w:p w14:paraId="2B4214E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F2BBC0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D2EB14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_Toc2503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4B1C0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配置管理制度</w:t>
          </w:r>
          <w:r>
            <w:tab/>
          </w:r>
          <w:r>
            <w:fldChar w:fldCharType="begin"/>
          </w:r>
          <w:r>
            <w:instrText xml:space="preserve"> PAGEREF _Toc26747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9D523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_Toc3075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3AE0E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_Toc27955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_Toc27955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255F3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182E9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_Toc25990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_Toc25990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2AA27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_Toc26611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36991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_Toc24949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_Toc24949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E6960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_Toc3457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配置管理流程</w:t>
          </w:r>
          <w:r>
            <w:tab/>
          </w:r>
          <w:r>
            <w:fldChar w:fldCharType="begin"/>
          </w:r>
          <w:r>
            <w:instrText xml:space="preserve"> PAGEREF _Toc3457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C6348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_Toc11991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_Toc11991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AF28A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_Toc19671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5.1.1. 配置计划</w:t>
          </w:r>
          <w:r>
            <w:tab/>
          </w:r>
          <w:r>
            <w:fldChar w:fldCharType="begin"/>
          </w:r>
          <w:r>
            <w:instrText xml:space="preserve"> PAGEREF _Toc19671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35ABD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_Toc21886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5.1.2. 配置定义与标识</w:t>
          </w:r>
          <w:r>
            <w:tab/>
          </w:r>
          <w:r>
            <w:fldChar w:fldCharType="begin"/>
          </w:r>
          <w:r>
            <w:instrText xml:space="preserve"> PAGEREF _Toc21886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A886E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_Toc6528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5.1.3. 建立配置管理数据库</w:t>
          </w:r>
          <w:r>
            <w:tab/>
          </w:r>
          <w:r>
            <w:fldChar w:fldCharType="begin"/>
          </w:r>
          <w:r>
            <w:instrText xml:space="preserve"> PAGEREF _Toc6528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B69B5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5.1.4. CMDB 的控制与维护</w:t>
          </w:r>
          <w:r>
            <w:tab/>
          </w:r>
          <w:r>
            <w:fldChar w:fldCharType="begin"/>
          </w:r>
          <w:r>
            <w:instrText xml:space="preserve"> PAGEREF _Toc25032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4941C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5.1.5. 配置审计与验证</w:t>
          </w:r>
          <w:r>
            <w:tab/>
          </w:r>
          <w:r>
            <w:fldChar w:fldCharType="begin"/>
          </w:r>
          <w:r>
            <w:instrText xml:space="preserve"> PAGEREF _Toc372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77F5F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5.1.6. 生成配置报告</w:t>
          </w:r>
          <w:r>
            <w:tab/>
          </w:r>
          <w:r>
            <w:fldChar w:fldCharType="begin"/>
          </w:r>
          <w:r>
            <w:instrText xml:space="preserve"> PAGEREF _Toc22676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CAE32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_Toc4538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48A47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_Toc18408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_Toc18408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F5C6D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_Toc26864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AF1DF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_Toc16850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_Toc16850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E6AFB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835DA7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A995C0C">
      <w:pPr>
        <w:pStyle w:val="28"/>
        <w:bidi w:val="0"/>
      </w:pPr>
      <w:bookmarkStart w:id="2" w:name="_Toc3075"/>
      <w:r>
        <w:t>目的</w:t>
      </w:r>
      <w:bookmarkEnd w:id="2"/>
    </w:p>
    <w:p w14:paraId="5319F524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t>提供一个统一的、一致的流程来管理售后服务环境中的所有组成部分</w:t>
      </w:r>
      <w:r>
        <w:rPr>
          <w:rFonts w:hint="eastAsia"/>
          <w:lang w:eastAsia="zh-CN"/>
        </w:rPr>
        <w:t>，</w:t>
      </w:r>
      <w:bookmarkStart w:id="24" w:name="_GoBack"/>
      <w:bookmarkEnd w:id="24"/>
      <w:r>
        <w:rPr>
          <w:rFonts w:hint="eastAsia"/>
          <w:lang w:val="en-US" w:eastAsia="zh-CN"/>
        </w:rPr>
        <w:t>特制定此制度。</w:t>
      </w:r>
    </w:p>
    <w:p w14:paraId="0EF83B1C">
      <w:pPr>
        <w:pStyle w:val="28"/>
        <w:bidi w:val="0"/>
        <w:rPr>
          <w:rFonts w:hint="eastAsia"/>
          <w:lang w:val="en-US" w:eastAsia="zh-CN"/>
        </w:rPr>
      </w:pPr>
      <w:bookmarkStart w:id="3" w:name="_Toc27955"/>
      <w:r>
        <w:rPr>
          <w:rFonts w:hint="eastAsia"/>
          <w:lang w:val="en-US" w:eastAsia="zh-CN"/>
        </w:rPr>
        <w:t>原则</w:t>
      </w:r>
      <w:bookmarkEnd w:id="3"/>
    </w:p>
    <w:p w14:paraId="00DFD325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准确性与真实性：</w:t>
      </w:r>
    </w:p>
    <w:p w14:paraId="23F12D67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所有配置项（CI）的信息必须准确、完整，并与其实际物理和逻辑状态始终保持一致。</w:t>
      </w:r>
    </w:p>
    <w:p w14:paraId="43963A9B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受控的变更：</w:t>
      </w:r>
    </w:p>
    <w:p w14:paraId="49640BE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对所有配置项的任何变更都必须通过规范的流程进行审批、记录和跟踪，以确保环境的稳定性与可追溯性。</w:t>
      </w:r>
    </w:p>
    <w:p w14:paraId="71311259">
      <w:pPr>
        <w:pStyle w:val="28"/>
        <w:bidi w:val="0"/>
      </w:pPr>
      <w:bookmarkStart w:id="4" w:name="_Toc1595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308E62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配置管理范围是指公司服务客户的生产环境中所有运维管理对象，包括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：</w:t>
      </w:r>
    </w:p>
    <w:p w14:paraId="12194A9B">
      <w:pPr>
        <w:numPr>
          <w:ilvl w:val="0"/>
          <w:numId w:val="3"/>
        </w:numPr>
        <w:spacing w:before="13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基础环境</w:t>
      </w:r>
    </w:p>
    <w:p w14:paraId="49DB56A2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专用硬件设备</w:t>
      </w:r>
    </w:p>
    <w:p w14:paraId="378C655F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软件</w:t>
      </w:r>
    </w:p>
    <w:p w14:paraId="0804553B">
      <w:pPr>
        <w:numPr>
          <w:ilvl w:val="0"/>
          <w:numId w:val="3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组织人员</w:t>
      </w:r>
    </w:p>
    <w:p w14:paraId="2DADE115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文档</w:t>
      </w:r>
    </w:p>
    <w:p w14:paraId="11D76C0A">
      <w:pPr>
        <w:numPr>
          <w:ilvl w:val="0"/>
          <w:numId w:val="3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合同</w:t>
      </w:r>
    </w:p>
    <w:p w14:paraId="6AC7F2E7">
      <w:pPr>
        <w:pStyle w:val="28"/>
        <w:bidi w:val="0"/>
        <w:rPr>
          <w:rFonts w:hint="eastAsia"/>
          <w:lang w:val="en-US" w:eastAsia="zh-CN"/>
        </w:rPr>
      </w:pPr>
      <w:bookmarkStart w:id="5" w:name="_Toc25990"/>
      <w:r>
        <w:rPr>
          <w:rFonts w:hint="eastAsia"/>
          <w:lang w:val="en-US" w:eastAsia="zh-CN"/>
        </w:rPr>
        <w:t>岗位职责</w:t>
      </w:r>
      <w:bookmarkEnd w:id="5"/>
    </w:p>
    <w:p w14:paraId="166141DD">
      <w:pPr>
        <w:pStyle w:val="30"/>
        <w:bidi w:val="0"/>
        <w:rPr>
          <w:rFonts w:hint="eastAsia"/>
          <w:lang w:val="en-US" w:eastAsia="zh-CN"/>
        </w:rPr>
      </w:pPr>
      <w:bookmarkStart w:id="6" w:name="_Toc26611"/>
      <w:r>
        <w:rPr>
          <w:rFonts w:hint="eastAsia"/>
          <w:lang w:val="en-US" w:eastAsia="zh-CN"/>
        </w:rPr>
        <w:t>运维项目经理</w:t>
      </w:r>
      <w:bookmarkEnd w:id="6"/>
    </w:p>
    <w:p w14:paraId="7214BC5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负责配置管理流程中所有具体活动的协调和监控；</w:t>
      </w:r>
    </w:p>
    <w:p w14:paraId="2711FC60">
      <w:pPr>
        <w:pStyle w:val="29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发起和协调配置项的规划、识别、监控、控制、维护、审计、审批等工作；</w:t>
      </w:r>
    </w:p>
    <w:p w14:paraId="7C1D110F">
      <w:pPr>
        <w:pStyle w:val="30"/>
        <w:bidi w:val="0"/>
        <w:rPr>
          <w:rFonts w:hint="default"/>
          <w:lang w:val="en-US" w:eastAsia="zh-CN"/>
        </w:rPr>
      </w:pPr>
      <w:bookmarkStart w:id="7" w:name="_Toc24949"/>
      <w:r>
        <w:rPr>
          <w:rFonts w:hint="eastAsia"/>
          <w:lang w:val="en-US" w:eastAsia="zh-CN"/>
        </w:rPr>
        <w:t>运维实施工程师</w:t>
      </w:r>
      <w:bookmarkEnd w:id="7"/>
    </w:p>
    <w:p w14:paraId="48330823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负责维护配置数据的完整性，并保障提供给运行管理相关各个流程的信息准确性；</w:t>
      </w:r>
    </w:p>
    <w:p w14:paraId="40A3227A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配置信息维护表的发布；</w:t>
      </w:r>
    </w:p>
    <w:p w14:paraId="1161E377">
      <w:pPr>
        <w:pStyle w:val="29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负责对配置管理库的配置项做审计，制定审计计划及审计报告</w:t>
      </w:r>
    </w:p>
    <w:p w14:paraId="7839BC2C">
      <w:pPr>
        <w:pStyle w:val="28"/>
        <w:bidi w:val="0"/>
        <w:rPr>
          <w:rFonts w:hint="default"/>
          <w:lang w:val="en-US" w:eastAsia="zh-CN"/>
        </w:rPr>
      </w:pPr>
      <w:bookmarkStart w:id="8" w:name="_Toc3457"/>
      <w:r>
        <w:rPr>
          <w:rFonts w:hint="eastAsia"/>
          <w:lang w:val="en-US" w:eastAsia="zh-CN"/>
        </w:rPr>
        <w:t>配置管理流程</w:t>
      </w:r>
      <w:bookmarkEnd w:id="8"/>
    </w:p>
    <w:p w14:paraId="0695132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配置管理流程如图5-1所示</w:t>
      </w:r>
    </w:p>
    <w:p w14:paraId="0BB9ECF5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配置管理流程</w:t>
      </w:r>
    </w:p>
    <w:p w14:paraId="4E38F7A1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8.75pt;width:399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548C225E">
      <w:pPr>
        <w:pStyle w:val="30"/>
        <w:bidi w:val="0"/>
        <w:rPr>
          <w:rFonts w:hint="default"/>
          <w:lang w:val="en-US" w:eastAsia="zh-CN"/>
        </w:rPr>
      </w:pPr>
      <w:bookmarkStart w:id="9" w:name="_Toc11991"/>
      <w:r>
        <w:rPr>
          <w:rFonts w:hint="eastAsia"/>
          <w:lang w:val="en-US" w:eastAsia="zh-CN"/>
        </w:rPr>
        <w:t>流程说明</w:t>
      </w:r>
      <w:bookmarkEnd w:id="9"/>
    </w:p>
    <w:p w14:paraId="194B053E">
      <w:pPr>
        <w:pStyle w:val="31"/>
        <w:bidi w:val="0"/>
        <w:rPr>
          <w:rFonts w:hint="default"/>
        </w:rPr>
      </w:pPr>
      <w:bookmarkStart w:id="10" w:name="_Toc19671"/>
      <w:r>
        <w:rPr>
          <w:rFonts w:hint="default"/>
        </w:rPr>
        <w:t>配置计划</w:t>
      </w:r>
      <w:bookmarkEnd w:id="10"/>
    </w:p>
    <w:p w14:paraId="583E2F3F">
      <w:pPr>
        <w:pStyle w:val="29"/>
        <w:bidi w:val="0"/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依据服务合同及《服务需求说明书》编制《配置管理计划》</w:t>
      </w:r>
    </w:p>
    <w:p w14:paraId="1CAD3054">
      <w:pPr>
        <w:pStyle w:val="31"/>
        <w:bidi w:val="0"/>
        <w:rPr>
          <w:rFonts w:hint="default"/>
        </w:rPr>
      </w:pPr>
      <w:bookmarkStart w:id="11" w:name="_Toc21886"/>
      <w:r>
        <w:rPr>
          <w:rFonts w:hint="default"/>
        </w:rPr>
        <w:t>配置定义与标识</w:t>
      </w:r>
      <w:bookmarkEnd w:id="11"/>
    </w:p>
    <w:p w14:paraId="7EF48BC3">
      <w:pPr>
        <w:pStyle w:val="29"/>
        <w:bidi w:val="0"/>
        <w:rPr>
          <w:rFonts w:hint="default"/>
        </w:rPr>
      </w:pPr>
      <w:r>
        <w:rPr>
          <w:rFonts w:hint="default"/>
        </w:rPr>
        <w:t>强化配置项（CI）变更的授权控制，在整个CI生命周期内跟踪其状态历史（如过去、当前及计划状态），确保仅被认可和标识的配置项方可被记录与管理。配置项的具体定义与标识方式须在《配置管理计划》中予以明确。</w:t>
      </w:r>
    </w:p>
    <w:p w14:paraId="0FD34382">
      <w:pPr>
        <w:pStyle w:val="31"/>
        <w:bidi w:val="0"/>
        <w:rPr>
          <w:rFonts w:hint="default"/>
        </w:rPr>
      </w:pPr>
      <w:bookmarkStart w:id="12" w:name="_Toc6528"/>
      <w:r>
        <w:rPr>
          <w:rFonts w:hint="default"/>
        </w:rPr>
        <w:t>建立配置管理数据库</w:t>
      </w:r>
      <w:bookmarkEnd w:id="12"/>
    </w:p>
    <w:p w14:paraId="0D4FFFAC">
      <w:pPr>
        <w:pStyle w:val="29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依据《配置管理计划》填写《配置清单》，构建涵盖各类配置信息的配置管理数据库（CMDB）。</w:t>
      </w:r>
    </w:p>
    <w:p w14:paraId="7C25E6E1">
      <w:pPr>
        <w:pStyle w:val="31"/>
        <w:bidi w:val="0"/>
        <w:rPr>
          <w:rFonts w:hint="default"/>
        </w:rPr>
      </w:pPr>
      <w:bookmarkStart w:id="13" w:name="_Toc25032"/>
      <w:r>
        <w:rPr>
          <w:rFonts w:hint="default"/>
        </w:rPr>
        <w:t>CMDB 的控制与维护</w:t>
      </w:r>
      <w:bookmarkEnd w:id="13"/>
    </w:p>
    <w:p w14:paraId="73D5CE77">
      <w:pPr>
        <w:pStyle w:val="29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eastAsia"/>
          <w:lang w:val="en-US" w:eastAsia="zh-CN"/>
        </w:rPr>
        <w:t>负</w:t>
      </w:r>
      <w:r>
        <w:rPr>
          <w:rFonts w:hint="default"/>
        </w:rPr>
        <w:t>责配置项信息的添加与维护。发生配置项变更时，由变更管理流程提出变更信息，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责执行实际更新与修改操作。</w:t>
      </w:r>
    </w:p>
    <w:p w14:paraId="7C15F739">
      <w:pPr>
        <w:pStyle w:val="31"/>
        <w:bidi w:val="0"/>
        <w:rPr>
          <w:rFonts w:hint="default"/>
        </w:rPr>
      </w:pPr>
      <w:bookmarkStart w:id="14" w:name="_Toc372"/>
      <w:r>
        <w:rPr>
          <w:rFonts w:hint="default"/>
        </w:rPr>
        <w:t>配置审计与验证</w:t>
      </w:r>
      <w:bookmarkEnd w:id="14"/>
    </w:p>
    <w:p w14:paraId="1B530462">
      <w:pPr>
        <w:pStyle w:val="29"/>
        <w:bidi w:val="0"/>
        <w:rPr>
          <w:rFonts w:hint="default"/>
        </w:rPr>
      </w:pPr>
      <w:r>
        <w:rPr>
          <w:rFonts w:hint="default"/>
        </w:rPr>
        <w:t>定期对CMDB中配置数据的准确性进行审计与验证，确保数据库内容与物理实际一致，以维护配置信息的完整性。审计过程中需核对并更新配置信息，并编制《配置审计报告》。无论审计是否存在误差，均须如实记录该报告。</w:t>
      </w:r>
      <w:r>
        <w:rPr>
          <w:rFonts w:hint="default"/>
        </w:rPr>
        <w:br w:type="textWrapping"/>
      </w:r>
      <w:r>
        <w:rPr>
          <w:rFonts w:hint="default"/>
        </w:rPr>
        <w:t>常规配置审计每年执行一次，出现以下情况时须追加审计：</w:t>
      </w:r>
    </w:p>
    <w:p w14:paraId="231A7966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发生重大变更后；</w:t>
      </w:r>
    </w:p>
    <w:p w14:paraId="1610954B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新系统上线或版本升级时。</w:t>
      </w:r>
    </w:p>
    <w:p w14:paraId="00AFC7A7">
      <w:pPr>
        <w:pStyle w:val="31"/>
        <w:bidi w:val="0"/>
        <w:rPr>
          <w:rFonts w:hint="default"/>
        </w:rPr>
      </w:pPr>
      <w:bookmarkStart w:id="15" w:name="_Toc22676"/>
      <w:r>
        <w:rPr>
          <w:rFonts w:hint="default"/>
        </w:rPr>
        <w:t>生成配置报告</w:t>
      </w:r>
      <w:bookmarkEnd w:id="15"/>
    </w:p>
    <w:p w14:paraId="2EA5BA21">
      <w:pPr>
        <w:pStyle w:val="29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每月应整理CMDB信息，编写《配置报告》，内容须包括：配置项最新版本、存放位置、软件主版本位置、依赖关系及版本历史记录。</w:t>
      </w:r>
      <w:r>
        <w:rPr>
          <w:rFonts w:hint="default"/>
        </w:rPr>
        <w:br w:type="textWrapping"/>
      </w:r>
      <w:r>
        <w:rPr>
          <w:rFonts w:hint="default"/>
        </w:rPr>
        <w:t>每季度须对CMDB信息进行汇总并编写季度报告。</w:t>
      </w:r>
      <w:r>
        <w:rPr>
          <w:rFonts w:hint="default"/>
        </w:rPr>
        <w:br w:type="textWrapping"/>
      </w:r>
      <w:r>
        <w:rPr>
          <w:rFonts w:hint="default"/>
        </w:rPr>
        <w:t>配置项如下内容可随时进行核对：服务配置项或系统、变更记录、基准线、开发或发布信息、版本及变量状态。</w:t>
      </w:r>
    </w:p>
    <w:p w14:paraId="5832A80A">
      <w:pPr>
        <w:pStyle w:val="30"/>
        <w:bidi w:val="0"/>
      </w:pPr>
      <w:bookmarkStart w:id="16" w:name="_Toc6088"/>
      <w:bookmarkStart w:id="17" w:name="_Toc4538"/>
      <w:r>
        <w:t>考核指标</w:t>
      </w:r>
      <w:bookmarkEnd w:id="16"/>
      <w:bookmarkEnd w:id="17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4404"/>
        <w:gridCol w:w="1070"/>
        <w:gridCol w:w="1258"/>
      </w:tblGrid>
      <w:tr w14:paraId="7AD40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4" w:type="dxa"/>
          </w:tcPr>
          <w:p w14:paraId="5AA77484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46186577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1943AFA4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24B7CEED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3D204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  <w:shd w:val="clear" w:color="auto" w:fill="auto"/>
          </w:tcPr>
          <w:p w14:paraId="16144FC1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2583" w:type="dxa"/>
            <w:shd w:val="clear" w:color="auto" w:fill="auto"/>
          </w:tcPr>
          <w:p w14:paraId="760CC64D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353" w:type="dxa"/>
            <w:shd w:val="clear" w:color="auto" w:fill="auto"/>
          </w:tcPr>
          <w:p w14:paraId="72CC36D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3" w:type="dxa"/>
            <w:shd w:val="clear" w:color="auto" w:fill="auto"/>
          </w:tcPr>
          <w:p w14:paraId="56D48E06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</w:tr>
      <w:tr w14:paraId="5A300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auto"/>
          </w:tcPr>
          <w:p w14:paraId="637824BC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0" w:type="auto"/>
            <w:shd w:val="clear" w:color="auto" w:fill="auto"/>
          </w:tcPr>
          <w:p w14:paraId="6BB5699E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auto"/>
          </w:tcPr>
          <w:p w14:paraId="2026C394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49EFFDAC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</w:tr>
    </w:tbl>
    <w:p w14:paraId="7E155762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8" w:name="bookmark3"/>
      <w:bookmarkEnd w:id="18"/>
      <w:bookmarkStart w:id="19" w:name="_Toc17424"/>
      <w:bookmarkStart w:id="20" w:name="_Toc18408"/>
      <w:r>
        <w:rPr>
          <w:rStyle w:val="38"/>
          <w:rFonts w:hint="eastAsia" w:eastAsia="宋体"/>
          <w:lang w:val="en-US" w:eastAsia="zh-CN"/>
        </w:rPr>
        <w:t>附则</w:t>
      </w:r>
      <w:bookmarkEnd w:id="19"/>
      <w:bookmarkEnd w:id="20"/>
    </w:p>
    <w:p w14:paraId="47CA89C5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603C7701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B5BDC35">
      <w:pPr>
        <w:pStyle w:val="28"/>
        <w:bidi w:val="0"/>
        <w:rPr>
          <w:rFonts w:hint="default"/>
          <w:lang w:val="en-US" w:eastAsia="zh-CN"/>
        </w:rPr>
      </w:pPr>
      <w:bookmarkStart w:id="21" w:name="bookmark14"/>
      <w:bookmarkEnd w:id="21"/>
      <w:bookmarkStart w:id="22" w:name="_Toc26864"/>
      <w:r>
        <w:rPr>
          <w:rFonts w:hint="eastAsia"/>
          <w:lang w:val="en-US" w:eastAsia="zh-CN"/>
        </w:rPr>
        <w:t>附件</w:t>
      </w:r>
      <w:bookmarkEnd w:id="22"/>
    </w:p>
    <w:p w14:paraId="6C0411F1">
      <w:pPr>
        <w:pStyle w:val="39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04594FC">
      <w:pPr>
        <w:pStyle w:val="28"/>
        <w:bidi w:val="0"/>
        <w:rPr>
          <w:rFonts w:hint="eastAsia"/>
          <w:lang w:val="en-US" w:eastAsia="zh-CN"/>
        </w:rPr>
      </w:pPr>
      <w:bookmarkStart w:id="23" w:name="_Toc16850"/>
      <w:r>
        <w:rPr>
          <w:rFonts w:hint="eastAsia"/>
          <w:lang w:val="en-US" w:eastAsia="zh-CN"/>
        </w:rPr>
        <w:t>记录</w:t>
      </w:r>
      <w:bookmarkEnd w:id="23"/>
    </w:p>
    <w:p w14:paraId="09E175D2">
      <w:pPr>
        <w:pStyle w:val="39"/>
        <w:bidi w:val="0"/>
      </w:pPr>
      <w:r>
        <w:rPr>
          <w:rFonts w:hint="eastAsia"/>
          <w:lang w:eastAsia="zh-CN"/>
        </w:rPr>
        <w:t>《</w:t>
      </w:r>
      <w:r>
        <w:t>配置管理计划》</w:t>
      </w:r>
    </w:p>
    <w:p w14:paraId="72C43DC5">
      <w:pPr>
        <w:pStyle w:val="39"/>
        <w:bidi w:val="0"/>
      </w:pPr>
      <w:r>
        <w:t>《配置清单》</w:t>
      </w:r>
    </w:p>
    <w:p w14:paraId="038C5FCD">
      <w:pPr>
        <w:pStyle w:val="39"/>
        <w:bidi w:val="0"/>
      </w:pPr>
      <w:r>
        <w:t>《配置报告》</w:t>
      </w:r>
    </w:p>
    <w:p w14:paraId="5AF1F535">
      <w:pPr>
        <w:pStyle w:val="39"/>
        <w:bidi w:val="0"/>
        <w:rPr>
          <w:rFonts w:hint="eastAsia"/>
          <w:lang w:val="en-US" w:eastAsia="zh-CN"/>
        </w:rPr>
      </w:pPr>
      <w:r>
        <w:t>《配置审计报告》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D119CE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A0C0849"/>
    <w:multiLevelType w:val="singleLevel"/>
    <w:tmpl w:val="FA0C08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D8BF18A"/>
    <w:multiLevelType w:val="singleLevel"/>
    <w:tmpl w:val="0D8BF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AE015AF"/>
    <w:multiLevelType w:val="singleLevel"/>
    <w:tmpl w:val="2AE015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FF51296"/>
    <w:multiLevelType w:val="singleLevel"/>
    <w:tmpl w:val="3FF512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7F62D6"/>
    <w:multiLevelType w:val="singleLevel"/>
    <w:tmpl w:val="597F62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DF2EA7"/>
    <w:rsid w:val="07300B05"/>
    <w:rsid w:val="08F129A8"/>
    <w:rsid w:val="10066A65"/>
    <w:rsid w:val="63D87BF4"/>
    <w:rsid w:val="749304B2"/>
    <w:rsid w:val="7DE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link w:val="42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character" w:customStyle="1" w:styleId="42">
    <w:name w:val="柴_标题3 Char"/>
    <w:link w:val="31"/>
    <w:qFormat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1371</Words>
  <Characters>1515</Characters>
  <Lines>0</Lines>
  <Paragraphs>0</Paragraphs>
  <TotalTime>0</TotalTime>
  <ScaleCrop>false</ScaleCrop>
  <LinksUpToDate>false</LinksUpToDate>
  <CharactersWithSpaces>1597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2025-09-16T11:49:02Z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