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96F958">
      <w:pPr>
        <w:spacing w:before="169" w:line="220" w:lineRule="auto"/>
        <w:jc w:val="center"/>
        <w:outlineLvl w:val="0"/>
        <w:rPr>
          <w:rFonts w:hint="eastAsia" w:ascii="宋体" w:hAnsi="宋体" w:cs="宋体"/>
          <w:b/>
          <w:bCs/>
          <w:spacing w:val="-8"/>
          <w:sz w:val="52"/>
          <w:szCs w:val="52"/>
          <w:lang w:val="en-US" w:eastAsia="zh-CN"/>
        </w:rPr>
      </w:pPr>
    </w:p>
    <w:p w14:paraId="356CA9C2">
      <w:pPr>
        <w:spacing w:before="169" w:line="220" w:lineRule="auto"/>
        <w:jc w:val="center"/>
        <w:outlineLvl w:val="0"/>
        <w:rPr>
          <w:rFonts w:hint="eastAsia" w:ascii="宋体" w:hAnsi="宋体" w:cs="宋体"/>
          <w:b/>
          <w:bCs/>
          <w:spacing w:val="-8"/>
          <w:sz w:val="52"/>
          <w:szCs w:val="52"/>
          <w:lang w:val="en-US" w:eastAsia="zh-CN"/>
        </w:rPr>
      </w:pPr>
    </w:p>
    <w:p w14:paraId="0D6DC111">
      <w:pPr>
        <w:spacing w:before="169" w:line="220" w:lineRule="auto"/>
        <w:jc w:val="center"/>
        <w:outlineLvl w:val="0"/>
        <w:rPr>
          <w:rFonts w:hint="eastAsia" w:ascii="宋体" w:hAnsi="宋体" w:cs="宋体"/>
          <w:b/>
          <w:bCs/>
          <w:spacing w:val="-8"/>
          <w:sz w:val="52"/>
          <w:szCs w:val="52"/>
          <w:lang w:val="en-US" w:eastAsia="zh-CN"/>
        </w:rPr>
      </w:pPr>
    </w:p>
    <w:p w14:paraId="08C6CA3E">
      <w:pPr>
        <w:spacing w:before="169" w:line="220" w:lineRule="auto"/>
        <w:jc w:val="center"/>
        <w:outlineLvl w:val="0"/>
        <w:rPr>
          <w:rFonts w:hint="eastAsia" w:ascii="宋体" w:hAnsi="宋体" w:cs="宋体"/>
          <w:b/>
          <w:bCs/>
          <w:spacing w:val="-8"/>
          <w:sz w:val="52"/>
          <w:szCs w:val="52"/>
          <w:lang w:val="en-US" w:eastAsia="zh-CN"/>
        </w:rPr>
      </w:pPr>
    </w:p>
    <w:p w14:paraId="68815030">
      <w:pPr>
        <w:spacing w:before="169" w:line="220" w:lineRule="auto"/>
        <w:jc w:val="center"/>
        <w:outlineLvl w:val="0"/>
        <w:rPr>
          <w:rFonts w:hint="eastAsia" w:ascii="宋体" w:hAnsi="宋体" w:cs="宋体"/>
          <w:b/>
          <w:bCs/>
          <w:spacing w:val="-8"/>
          <w:sz w:val="52"/>
          <w:szCs w:val="52"/>
          <w:lang w:val="en-US" w:eastAsia="zh-CN"/>
        </w:rPr>
      </w:pPr>
      <w:r>
        <w:rPr>
          <w:rFonts w:hint="eastAsia" w:ascii="宋体" w:hAnsi="宋体" w:cs="宋体"/>
          <w:b/>
          <w:bCs/>
          <w:spacing w:val="-8"/>
          <w:sz w:val="52"/>
          <w:szCs w:val="52"/>
          <w:lang w:val="en-US" w:eastAsia="zh-CN"/>
        </w:rPr>
        <w:t>服务可用性和业务连续性</w:t>
      </w:r>
    </w:p>
    <w:p w14:paraId="1C5DE04D">
      <w:pPr>
        <w:spacing w:before="169" w:line="220" w:lineRule="auto"/>
        <w:jc w:val="center"/>
        <w:outlineLvl w:val="0"/>
        <w:rPr>
          <w:rFonts w:hint="default" w:ascii="宋体" w:hAnsi="宋体" w:eastAsia="宋体" w:cs="宋体"/>
          <w:sz w:val="52"/>
          <w:szCs w:val="52"/>
          <w:lang w:val="en-US" w:eastAsia="zh-CN"/>
        </w:rPr>
      </w:pPr>
      <w:r>
        <w:rPr>
          <w:rFonts w:hint="eastAsia" w:ascii="宋体" w:hAnsi="宋体" w:cs="宋体"/>
          <w:b/>
          <w:bCs/>
          <w:spacing w:val="-8"/>
          <w:sz w:val="52"/>
          <w:szCs w:val="52"/>
          <w:lang w:val="en-US" w:eastAsia="zh-CN"/>
        </w:rPr>
        <w:t>管理制度</w:t>
      </w:r>
    </w:p>
    <w:p w14:paraId="59AC3876">
      <w:pPr>
        <w:pStyle w:val="12"/>
        <w:spacing w:line="259" w:lineRule="auto"/>
      </w:pPr>
    </w:p>
    <w:p w14:paraId="152AD3D0">
      <w:pPr>
        <w:pStyle w:val="12"/>
        <w:spacing w:line="259" w:lineRule="auto"/>
      </w:pPr>
    </w:p>
    <w:p w14:paraId="458DFB29">
      <w:pPr>
        <w:pStyle w:val="12"/>
        <w:spacing w:line="259" w:lineRule="auto"/>
      </w:pPr>
    </w:p>
    <w:p w14:paraId="6A0693C4">
      <w:pPr>
        <w:pStyle w:val="12"/>
        <w:spacing w:line="259" w:lineRule="auto"/>
      </w:pPr>
    </w:p>
    <w:p w14:paraId="3C52D6EF">
      <w:pPr>
        <w:pStyle w:val="12"/>
        <w:spacing w:line="259" w:lineRule="auto"/>
      </w:pPr>
    </w:p>
    <w:p w14:paraId="25486F98">
      <w:pPr>
        <w:spacing w:line="1293" w:lineRule="exact"/>
        <w:jc w:val="center"/>
      </w:pPr>
    </w:p>
    <w:p w14:paraId="78957DD8">
      <w:pPr>
        <w:pStyle w:val="12"/>
        <w:spacing w:line="245" w:lineRule="auto"/>
      </w:pPr>
    </w:p>
    <w:p w14:paraId="6BBC0FD4">
      <w:pPr>
        <w:pStyle w:val="12"/>
        <w:spacing w:line="245" w:lineRule="auto"/>
      </w:pPr>
    </w:p>
    <w:p w14:paraId="7F64B495">
      <w:pPr>
        <w:pStyle w:val="12"/>
        <w:spacing w:line="245" w:lineRule="auto"/>
      </w:pPr>
    </w:p>
    <w:p w14:paraId="1A640343">
      <w:pPr>
        <w:pStyle w:val="12"/>
        <w:spacing w:line="245" w:lineRule="auto"/>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8"/>
                    <a:stretch>
                      <a:fillRect/>
                    </a:stretch>
                  </pic:blipFill>
                  <pic:spPr>
                    <a:xfrm>
                      <a:off x="0" y="0"/>
                      <a:ext cx="2757599" cy="820799"/>
                    </a:xfrm>
                    <a:prstGeom prst="rect">
                      <a:avLst/>
                    </a:prstGeom>
                  </pic:spPr>
                </pic:pic>
              </a:graphicData>
            </a:graphic>
          </wp:inline>
        </w:drawing>
      </w:r>
    </w:p>
    <w:p w14:paraId="7FE8C939">
      <w:pPr>
        <w:pStyle w:val="12"/>
        <w:spacing w:line="245" w:lineRule="auto"/>
      </w:pPr>
    </w:p>
    <w:p w14:paraId="4BC21E39">
      <w:pPr>
        <w:pStyle w:val="12"/>
        <w:spacing w:line="245" w:lineRule="auto"/>
      </w:pPr>
    </w:p>
    <w:p w14:paraId="11404F06">
      <w:pPr>
        <w:pStyle w:val="12"/>
        <w:spacing w:line="245" w:lineRule="auto"/>
      </w:pPr>
    </w:p>
    <w:p w14:paraId="705D17E1">
      <w:pPr>
        <w:pStyle w:val="12"/>
        <w:spacing w:line="245" w:lineRule="auto"/>
      </w:pPr>
    </w:p>
    <w:p w14:paraId="7C754496">
      <w:pPr>
        <w:pStyle w:val="12"/>
        <w:spacing w:line="245" w:lineRule="auto"/>
      </w:pPr>
    </w:p>
    <w:p w14:paraId="2FA4378E">
      <w:pPr>
        <w:pStyle w:val="12"/>
        <w:spacing w:line="245" w:lineRule="auto"/>
      </w:pPr>
    </w:p>
    <w:p w14:paraId="77659CE9">
      <w:pPr>
        <w:pStyle w:val="12"/>
        <w:spacing w:line="245" w:lineRule="auto"/>
      </w:pPr>
    </w:p>
    <w:p w14:paraId="098D4285">
      <w:pPr>
        <w:pStyle w:val="12"/>
        <w:spacing w:line="245" w:lineRule="auto"/>
      </w:pPr>
    </w:p>
    <w:p w14:paraId="5FD0A2B7">
      <w:pPr>
        <w:pStyle w:val="12"/>
        <w:spacing w:line="245" w:lineRule="auto"/>
      </w:pPr>
    </w:p>
    <w:p w14:paraId="2A891BC6">
      <w:pPr>
        <w:pStyle w:val="12"/>
        <w:spacing w:line="245" w:lineRule="auto"/>
      </w:pPr>
    </w:p>
    <w:p w14:paraId="4145221C">
      <w:pPr>
        <w:pStyle w:val="12"/>
        <w:spacing w:line="245" w:lineRule="auto"/>
      </w:pPr>
    </w:p>
    <w:p w14:paraId="7B2E6825">
      <w:pPr>
        <w:pStyle w:val="12"/>
        <w:spacing w:line="245" w:lineRule="auto"/>
      </w:pPr>
    </w:p>
    <w:p w14:paraId="4979D3CD">
      <w:pPr>
        <w:spacing w:before="117" w:line="219" w:lineRule="auto"/>
        <w:jc w:val="both"/>
        <w:rPr>
          <w:rFonts w:ascii="宋体" w:hAnsi="宋体" w:eastAsia="宋体" w:cs="宋体"/>
          <w:spacing w:val="-1"/>
          <w:sz w:val="36"/>
          <w:szCs w:val="36"/>
        </w:rPr>
      </w:pPr>
    </w:p>
    <w:p w14:paraId="0672DBBC">
      <w:pPr>
        <w:spacing w:before="117" w:line="219"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2D0ECCAE">
      <w:pPr>
        <w:spacing w:before="117" w:line="219" w:lineRule="auto"/>
        <w:jc w:val="center"/>
        <w:rPr>
          <w:rFonts w:ascii="宋体" w:hAnsi="宋体" w:eastAsia="宋体" w:cs="宋体"/>
          <w:spacing w:val="-2"/>
          <w:sz w:val="36"/>
          <w:szCs w:val="36"/>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-01-04</w:t>
      </w:r>
      <w:r>
        <w:rPr>
          <w:rFonts w:ascii="宋体" w:hAnsi="宋体" w:eastAsia="宋体" w:cs="宋体"/>
          <w:spacing w:val="-2"/>
          <w:sz w:val="36"/>
          <w:szCs w:val="36"/>
        </w:rPr>
        <w:br w:type="page"/>
      </w:r>
    </w:p>
    <w:p w14:paraId="7F978779">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21DF5763">
      <w:pPr>
        <w:spacing w:line="16" w:lineRule="exact"/>
      </w:pPr>
    </w:p>
    <w:tbl>
      <w:tblPr>
        <w:tblStyle w:val="26"/>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00EBB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2A6B082E">
            <w:pPr>
              <w:pStyle w:val="27"/>
              <w:spacing w:before="199" w:line="220" w:lineRule="auto"/>
              <w:ind w:left="225"/>
            </w:pPr>
            <w:r>
              <w:rPr>
                <w:spacing w:val="-2"/>
              </w:rPr>
              <w:t>文档名称编号</w:t>
            </w:r>
          </w:p>
        </w:tc>
        <w:tc>
          <w:tcPr>
            <w:tcW w:w="7367" w:type="dxa"/>
            <w:gridSpan w:val="4"/>
            <w:vAlign w:val="top"/>
          </w:tcPr>
          <w:p w14:paraId="55EBD317">
            <w:pPr>
              <w:pStyle w:val="27"/>
              <w:spacing w:before="200" w:line="218" w:lineRule="auto"/>
              <w:ind w:left="108"/>
            </w:pPr>
            <w:r>
              <w:rPr>
                <w:rFonts w:hint="eastAsia" w:eastAsia="宋体"/>
                <w:spacing w:val="-1"/>
                <w:lang w:val="en-US" w:eastAsia="zh-CN"/>
              </w:rPr>
              <w:t>服务可用性和业务连续性管理</w:t>
            </w:r>
            <w:r>
              <w:rPr>
                <w:rFonts w:hint="eastAsia"/>
                <w:spacing w:val="-1"/>
                <w:lang w:val="en-US" w:eastAsia="zh-CN"/>
              </w:rPr>
              <w:t>制度</w:t>
            </w:r>
            <w:r>
              <w:rPr>
                <w:spacing w:val="-1"/>
              </w:rPr>
              <w:t>（HHLC-ITSS-</w:t>
            </w:r>
            <w:r>
              <w:rPr>
                <w:rFonts w:hint="eastAsia" w:eastAsia="宋体"/>
                <w:spacing w:val="-1"/>
                <w:lang w:val="en-US" w:eastAsia="zh-CN"/>
              </w:rPr>
              <w:t>FWKYX/YWLXX</w:t>
            </w:r>
            <w:r>
              <w:rPr>
                <w:spacing w:val="-1"/>
              </w:rPr>
              <w:t>）</w:t>
            </w:r>
          </w:p>
        </w:tc>
      </w:tr>
      <w:tr w14:paraId="0F6C50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0AD40353">
            <w:pPr>
              <w:pStyle w:val="27"/>
              <w:spacing w:before="196" w:line="220" w:lineRule="auto"/>
              <w:ind w:left="435"/>
            </w:pPr>
            <w:r>
              <w:rPr>
                <w:spacing w:val="-2"/>
              </w:rPr>
              <w:t>编制单位</w:t>
            </w:r>
          </w:p>
        </w:tc>
        <w:tc>
          <w:tcPr>
            <w:tcW w:w="7367" w:type="dxa"/>
            <w:gridSpan w:val="4"/>
            <w:vAlign w:val="top"/>
          </w:tcPr>
          <w:p w14:paraId="19F0E04C">
            <w:pPr>
              <w:pStyle w:val="27"/>
              <w:spacing w:before="197" w:line="219" w:lineRule="auto"/>
              <w:ind w:left="108"/>
            </w:pPr>
            <w:r>
              <w:rPr>
                <w:spacing w:val="-1"/>
              </w:rPr>
              <w:t>青岛慧海联创信息技术有限公司</w:t>
            </w:r>
          </w:p>
        </w:tc>
      </w:tr>
      <w:tr w14:paraId="3B77C1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49DA4518">
            <w:pPr>
              <w:pStyle w:val="27"/>
              <w:spacing w:before="199" w:line="219" w:lineRule="auto"/>
              <w:ind w:left="435"/>
            </w:pPr>
            <w:r>
              <w:rPr>
                <w:spacing w:val="-2"/>
              </w:rPr>
              <w:t>文档版本</w:t>
            </w:r>
          </w:p>
        </w:tc>
        <w:tc>
          <w:tcPr>
            <w:tcW w:w="1555" w:type="dxa"/>
            <w:vAlign w:val="top"/>
          </w:tcPr>
          <w:p w14:paraId="53CF1C51">
            <w:pPr>
              <w:pStyle w:val="27"/>
              <w:spacing w:before="199" w:line="219" w:lineRule="auto"/>
              <w:ind w:left="359"/>
            </w:pPr>
            <w:r>
              <w:rPr>
                <w:spacing w:val="-2"/>
              </w:rPr>
              <w:t>版本日期</w:t>
            </w:r>
          </w:p>
        </w:tc>
        <w:tc>
          <w:tcPr>
            <w:tcW w:w="2302" w:type="dxa"/>
            <w:vAlign w:val="top"/>
          </w:tcPr>
          <w:p w14:paraId="55A29AC3">
            <w:pPr>
              <w:pStyle w:val="27"/>
              <w:spacing w:before="199" w:line="219" w:lineRule="auto"/>
              <w:ind w:left="735"/>
            </w:pPr>
            <w:r>
              <w:rPr>
                <w:spacing w:val="-2"/>
              </w:rPr>
              <w:t>版本说明</w:t>
            </w:r>
          </w:p>
        </w:tc>
        <w:tc>
          <w:tcPr>
            <w:tcW w:w="1557" w:type="dxa"/>
            <w:vAlign w:val="top"/>
          </w:tcPr>
          <w:p w14:paraId="3F5C2AB9">
            <w:pPr>
              <w:pStyle w:val="27"/>
              <w:spacing w:before="199" w:line="220" w:lineRule="auto"/>
              <w:ind w:left="575"/>
            </w:pPr>
            <w:r>
              <w:rPr>
                <w:spacing w:val="-3"/>
              </w:rPr>
              <w:t>作者</w:t>
            </w:r>
          </w:p>
        </w:tc>
        <w:tc>
          <w:tcPr>
            <w:tcW w:w="1953" w:type="dxa"/>
            <w:vAlign w:val="top"/>
          </w:tcPr>
          <w:p w14:paraId="4B237AC3">
            <w:pPr>
              <w:pStyle w:val="27"/>
              <w:spacing w:before="199" w:line="220" w:lineRule="auto"/>
              <w:ind w:left="782"/>
            </w:pPr>
            <w:r>
              <w:rPr>
                <w:spacing w:val="-5"/>
              </w:rPr>
              <w:t>审核</w:t>
            </w:r>
          </w:p>
        </w:tc>
      </w:tr>
      <w:tr w14:paraId="5CDADD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44BEBAAD">
            <w:pPr>
              <w:pStyle w:val="27"/>
              <w:spacing w:before="163" w:line="239" w:lineRule="auto"/>
              <w:ind w:left="638"/>
            </w:pPr>
            <w:r>
              <w:rPr>
                <w:spacing w:val="-1"/>
              </w:rPr>
              <w:t>V1.0</w:t>
            </w:r>
          </w:p>
        </w:tc>
        <w:tc>
          <w:tcPr>
            <w:tcW w:w="1555" w:type="dxa"/>
            <w:vAlign w:val="top"/>
          </w:tcPr>
          <w:p w14:paraId="5BECA2F1">
            <w:pPr>
              <w:pStyle w:val="27"/>
              <w:spacing w:before="163"/>
              <w:ind w:left="361"/>
            </w:pPr>
            <w:r>
              <w:rPr>
                <w:spacing w:val="-2"/>
              </w:rPr>
              <w:t>20</w:t>
            </w:r>
            <w:r>
              <w:rPr>
                <w:rFonts w:hint="eastAsia" w:eastAsia="宋体"/>
                <w:spacing w:val="-2"/>
                <w:lang w:val="en-US" w:eastAsia="zh-CN"/>
              </w:rPr>
              <w:t>25</w:t>
            </w:r>
            <w:r>
              <w:rPr>
                <w:spacing w:val="-2"/>
              </w:rPr>
              <w:t>-1-4</w:t>
            </w:r>
          </w:p>
        </w:tc>
        <w:tc>
          <w:tcPr>
            <w:tcW w:w="2302" w:type="dxa"/>
            <w:vAlign w:val="top"/>
          </w:tcPr>
          <w:p w14:paraId="381AB938">
            <w:pPr>
              <w:pStyle w:val="27"/>
              <w:spacing w:before="133" w:line="219" w:lineRule="auto"/>
              <w:ind w:left="738"/>
            </w:pPr>
            <w:r>
              <w:rPr>
                <w:spacing w:val="-3"/>
              </w:rPr>
              <w:t>发布版本</w:t>
            </w:r>
          </w:p>
        </w:tc>
        <w:tc>
          <w:tcPr>
            <w:tcW w:w="1557" w:type="dxa"/>
            <w:vAlign w:val="top"/>
          </w:tcPr>
          <w:p w14:paraId="1A701FDC">
            <w:pPr>
              <w:pStyle w:val="27"/>
              <w:spacing w:before="134" w:line="220" w:lineRule="auto"/>
              <w:ind w:left="480"/>
              <w:rPr>
                <w:rFonts w:hint="eastAsia" w:eastAsia="宋体"/>
                <w:lang w:val="en-US" w:eastAsia="zh-CN"/>
              </w:rPr>
            </w:pPr>
            <w:r>
              <w:rPr>
                <w:rFonts w:hint="eastAsia"/>
                <w:lang w:val="en-US" w:eastAsia="zh-CN"/>
              </w:rPr>
              <w:t>郑永伟</w:t>
            </w:r>
          </w:p>
        </w:tc>
        <w:tc>
          <w:tcPr>
            <w:tcW w:w="1953" w:type="dxa"/>
            <w:vAlign w:val="top"/>
          </w:tcPr>
          <w:p w14:paraId="60610F23">
            <w:pPr>
              <w:pStyle w:val="27"/>
              <w:spacing w:before="133" w:line="220" w:lineRule="auto"/>
              <w:ind w:left="672"/>
            </w:pPr>
            <w:r>
              <w:rPr>
                <w:spacing w:val="-3"/>
              </w:rPr>
              <w:t>张仲全</w:t>
            </w:r>
          </w:p>
        </w:tc>
      </w:tr>
      <w:tr w14:paraId="308A6D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1055C2FD">
            <w:pPr>
              <w:pStyle w:val="27"/>
              <w:spacing w:before="164" w:line="239" w:lineRule="auto"/>
              <w:ind w:left="638"/>
            </w:pPr>
          </w:p>
        </w:tc>
        <w:tc>
          <w:tcPr>
            <w:tcW w:w="1555" w:type="dxa"/>
            <w:vAlign w:val="top"/>
          </w:tcPr>
          <w:p w14:paraId="34C2C40A">
            <w:pPr>
              <w:pStyle w:val="27"/>
              <w:spacing w:before="164"/>
              <w:ind w:left="361"/>
            </w:pPr>
          </w:p>
        </w:tc>
        <w:tc>
          <w:tcPr>
            <w:tcW w:w="2302" w:type="dxa"/>
            <w:vAlign w:val="top"/>
          </w:tcPr>
          <w:p w14:paraId="3B6237E9">
            <w:pPr>
              <w:pStyle w:val="27"/>
              <w:spacing w:before="134" w:line="219" w:lineRule="auto"/>
              <w:ind w:left="737"/>
            </w:pPr>
          </w:p>
        </w:tc>
        <w:tc>
          <w:tcPr>
            <w:tcW w:w="1557" w:type="dxa"/>
            <w:vAlign w:val="top"/>
          </w:tcPr>
          <w:p w14:paraId="4941C11D">
            <w:pPr>
              <w:pStyle w:val="27"/>
              <w:spacing w:before="135" w:line="220" w:lineRule="auto"/>
              <w:ind w:left="480"/>
            </w:pPr>
          </w:p>
        </w:tc>
        <w:tc>
          <w:tcPr>
            <w:tcW w:w="1953" w:type="dxa"/>
            <w:vAlign w:val="top"/>
          </w:tcPr>
          <w:p w14:paraId="0719077A">
            <w:pPr>
              <w:pStyle w:val="27"/>
              <w:spacing w:before="134" w:line="220" w:lineRule="auto"/>
              <w:ind w:left="672"/>
            </w:pPr>
          </w:p>
        </w:tc>
      </w:tr>
      <w:tr w14:paraId="6FB8FB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B8A7CCF">
            <w:pPr>
              <w:pStyle w:val="27"/>
              <w:spacing w:before="165" w:line="239" w:lineRule="auto"/>
              <w:ind w:left="638"/>
            </w:pPr>
          </w:p>
        </w:tc>
        <w:tc>
          <w:tcPr>
            <w:tcW w:w="1555" w:type="dxa"/>
            <w:vAlign w:val="top"/>
          </w:tcPr>
          <w:p w14:paraId="31C1F470">
            <w:pPr>
              <w:pStyle w:val="27"/>
              <w:spacing w:before="165"/>
              <w:ind w:left="361"/>
            </w:pPr>
          </w:p>
        </w:tc>
        <w:tc>
          <w:tcPr>
            <w:tcW w:w="2302" w:type="dxa"/>
            <w:vAlign w:val="top"/>
          </w:tcPr>
          <w:p w14:paraId="61F77492">
            <w:pPr>
              <w:pStyle w:val="27"/>
              <w:spacing w:before="135" w:line="219" w:lineRule="auto"/>
              <w:ind w:left="737"/>
            </w:pPr>
          </w:p>
        </w:tc>
        <w:tc>
          <w:tcPr>
            <w:tcW w:w="1557" w:type="dxa"/>
            <w:vAlign w:val="top"/>
          </w:tcPr>
          <w:p w14:paraId="265EB132">
            <w:pPr>
              <w:pStyle w:val="27"/>
              <w:spacing w:before="136" w:line="220" w:lineRule="auto"/>
              <w:ind w:left="480"/>
            </w:pPr>
          </w:p>
        </w:tc>
        <w:tc>
          <w:tcPr>
            <w:tcW w:w="1953" w:type="dxa"/>
            <w:vAlign w:val="top"/>
          </w:tcPr>
          <w:p w14:paraId="4EBE48EA">
            <w:pPr>
              <w:pStyle w:val="27"/>
              <w:spacing w:before="135" w:line="220" w:lineRule="auto"/>
              <w:ind w:left="672"/>
            </w:pPr>
          </w:p>
        </w:tc>
      </w:tr>
      <w:tr w14:paraId="023FE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04F0F1D1">
            <w:pPr>
              <w:pStyle w:val="27"/>
              <w:spacing w:before="166" w:line="239" w:lineRule="auto"/>
              <w:ind w:left="638"/>
            </w:pPr>
          </w:p>
        </w:tc>
        <w:tc>
          <w:tcPr>
            <w:tcW w:w="1555" w:type="dxa"/>
            <w:vAlign w:val="top"/>
          </w:tcPr>
          <w:p w14:paraId="17743274">
            <w:pPr>
              <w:pStyle w:val="27"/>
              <w:spacing w:before="166"/>
              <w:ind w:left="361"/>
            </w:pPr>
          </w:p>
        </w:tc>
        <w:tc>
          <w:tcPr>
            <w:tcW w:w="2302" w:type="dxa"/>
            <w:vAlign w:val="top"/>
          </w:tcPr>
          <w:p w14:paraId="3E0265D2">
            <w:pPr>
              <w:pStyle w:val="27"/>
              <w:spacing w:before="136" w:line="219" w:lineRule="auto"/>
              <w:ind w:left="737"/>
            </w:pPr>
          </w:p>
        </w:tc>
        <w:tc>
          <w:tcPr>
            <w:tcW w:w="1557" w:type="dxa"/>
            <w:vAlign w:val="top"/>
          </w:tcPr>
          <w:p w14:paraId="6FD79439">
            <w:pPr>
              <w:pStyle w:val="27"/>
              <w:spacing w:before="137" w:line="220" w:lineRule="auto"/>
              <w:ind w:left="480"/>
            </w:pPr>
          </w:p>
        </w:tc>
        <w:tc>
          <w:tcPr>
            <w:tcW w:w="1953" w:type="dxa"/>
            <w:vAlign w:val="top"/>
          </w:tcPr>
          <w:p w14:paraId="49D5DED3">
            <w:pPr>
              <w:pStyle w:val="27"/>
              <w:spacing w:before="136" w:line="220" w:lineRule="auto"/>
              <w:ind w:left="672"/>
            </w:pPr>
          </w:p>
        </w:tc>
      </w:tr>
      <w:tr w14:paraId="52643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1704" w:type="dxa"/>
            <w:vAlign w:val="top"/>
          </w:tcPr>
          <w:p w14:paraId="2DC72D81">
            <w:pPr>
              <w:rPr>
                <w:rFonts w:ascii="Arial"/>
                <w:sz w:val="21"/>
              </w:rPr>
            </w:pPr>
          </w:p>
        </w:tc>
        <w:tc>
          <w:tcPr>
            <w:tcW w:w="1555" w:type="dxa"/>
            <w:vAlign w:val="top"/>
          </w:tcPr>
          <w:p w14:paraId="4C9F263F">
            <w:pPr>
              <w:rPr>
                <w:rFonts w:ascii="Arial"/>
                <w:sz w:val="21"/>
              </w:rPr>
            </w:pPr>
          </w:p>
        </w:tc>
        <w:tc>
          <w:tcPr>
            <w:tcW w:w="2302" w:type="dxa"/>
            <w:vAlign w:val="top"/>
          </w:tcPr>
          <w:p w14:paraId="1B3AD6AD">
            <w:pPr>
              <w:rPr>
                <w:rFonts w:ascii="Arial"/>
                <w:sz w:val="21"/>
              </w:rPr>
            </w:pPr>
          </w:p>
        </w:tc>
        <w:tc>
          <w:tcPr>
            <w:tcW w:w="1557" w:type="dxa"/>
            <w:vAlign w:val="top"/>
          </w:tcPr>
          <w:p w14:paraId="4B64E17D">
            <w:pPr>
              <w:rPr>
                <w:rFonts w:ascii="Arial"/>
                <w:sz w:val="21"/>
              </w:rPr>
            </w:pPr>
          </w:p>
        </w:tc>
        <w:tc>
          <w:tcPr>
            <w:tcW w:w="1953" w:type="dxa"/>
            <w:vAlign w:val="top"/>
          </w:tcPr>
          <w:p w14:paraId="3D3169EB">
            <w:pPr>
              <w:rPr>
                <w:rFonts w:ascii="Arial"/>
                <w:sz w:val="21"/>
              </w:rPr>
            </w:pPr>
          </w:p>
        </w:tc>
      </w:tr>
    </w:tbl>
    <w:p w14:paraId="3A37C659">
      <w:pPr>
        <w:rPr>
          <w:rFonts w:ascii="Times New Roman" w:hAnsi="Times New Roman" w:eastAsia="Times New Roman" w:cs="Times New Roman"/>
          <w:b/>
          <w:bCs/>
          <w:spacing w:val="-19"/>
          <w:sz w:val="28"/>
          <w:szCs w:val="28"/>
        </w:rPr>
      </w:pPr>
      <w:r>
        <w:rPr>
          <w:rFonts w:ascii="Times New Roman" w:hAnsi="Times New Roman" w:eastAsia="Times New Roman" w:cs="Times New Roman"/>
          <w:b/>
          <w:bCs/>
          <w:spacing w:val="-19"/>
          <w:sz w:val="28"/>
          <w:szCs w:val="28"/>
        </w:rPr>
        <w:br w:type="page"/>
      </w:r>
    </w:p>
    <w:p w14:paraId="4AE05360">
      <w:pPr>
        <w:pStyle w:val="28"/>
        <w:bidi w:val="0"/>
      </w:pPr>
      <w:r>
        <w:t>目的</w:t>
      </w:r>
    </w:p>
    <w:p w14:paraId="1B41F45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为确保公司核心IT服务在面临各种中断性事件（如硬件故障、自然灾害、网络攻击、人为错误等）时，能够保持预定的可用性水平，并能够快速、有效地恢复，最大限度地减少对业务运营的影响和损失，特制定本制度。</w:t>
      </w:r>
    </w:p>
    <w:p w14:paraId="05D63FAB">
      <w:pPr>
        <w:pStyle w:val="28"/>
        <w:bidi w:val="0"/>
      </w:pPr>
      <w:bookmarkStart w:id="0" w:name="bookmark4"/>
      <w:bookmarkEnd w:id="0"/>
      <w:bookmarkStart w:id="1" w:name="bookmark5"/>
      <w:bookmarkEnd w:id="1"/>
      <w:r>
        <w:t>范围</w:t>
      </w:r>
    </w:p>
    <w:p w14:paraId="076CFC00">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本程序适用于为满足服务预定可用性目标</w:t>
      </w:r>
      <w:r>
        <w:rPr>
          <w:rFonts w:hint="eastAsia" w:ascii="宋体" w:hAnsi="宋体" w:eastAsia="宋体" w:cs="宋体"/>
          <w:spacing w:val="-3"/>
          <w:sz w:val="24"/>
          <w:szCs w:val="24"/>
          <w:lang w:val="en-US" w:eastAsia="zh-CN"/>
        </w:rPr>
        <w:t>和连续性目标</w:t>
      </w:r>
      <w:r>
        <w:rPr>
          <w:rFonts w:ascii="宋体" w:hAnsi="宋体" w:eastAsia="宋体" w:cs="宋体"/>
          <w:spacing w:val="-3"/>
          <w:sz w:val="24"/>
          <w:szCs w:val="24"/>
        </w:rPr>
        <w:t>所进行的管理。</w:t>
      </w:r>
    </w:p>
    <w:p w14:paraId="7071AAEC">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所有新增运维服务以及当前已经签订服务级别需求（SLR）和服务级别协议（SLA）的运维服务；</w:t>
      </w:r>
    </w:p>
    <w:p w14:paraId="5598A294">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那些不一定签订正式的《服务级别协议》但对组织业务却极为关键的运维服务；</w:t>
      </w:r>
    </w:p>
    <w:p w14:paraId="7299497B">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可能影响可用性的IT基础设施和IT支持部门的所有方面，包括培训、政策、流程的有效性</w:t>
      </w:r>
      <w:r>
        <w:rPr>
          <w:rFonts w:hint="eastAsia" w:ascii="宋体" w:hAnsi="宋体" w:eastAsia="宋体" w:cs="宋体"/>
          <w:spacing w:val="-3"/>
          <w:sz w:val="24"/>
          <w:szCs w:val="24"/>
          <w:lang w:val="en-US" w:eastAsia="zh-CN"/>
        </w:rPr>
        <w:t>以及</w:t>
      </w:r>
      <w:r>
        <w:rPr>
          <w:rFonts w:ascii="宋体" w:hAnsi="宋体" w:eastAsia="宋体" w:cs="宋体"/>
          <w:spacing w:val="-3"/>
          <w:sz w:val="24"/>
          <w:szCs w:val="24"/>
        </w:rPr>
        <w:t>程序和工具等。</w:t>
      </w:r>
    </w:p>
    <w:p w14:paraId="1C9E8C4E">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导致连续性发生的条件:</w:t>
      </w:r>
      <w:r>
        <w:rPr>
          <w:rFonts w:ascii="宋体" w:hAnsi="宋体" w:eastAsia="宋体" w:cs="宋体"/>
          <w:spacing w:val="-3"/>
          <w:sz w:val="24"/>
          <w:szCs w:val="24"/>
        </w:rPr>
        <w:t>包括火灾、大规模断电、硬件瘫痪、自然灾害、失窃、暴力破坏、人力资源危机等意外事件，可能中断运维服务并且影响组织的正常业务运营，最终导致业务损失。</w:t>
      </w:r>
    </w:p>
    <w:p w14:paraId="009C3845">
      <w:pPr>
        <w:pStyle w:val="28"/>
        <w:bidi w:val="0"/>
      </w:pPr>
      <w:bookmarkStart w:id="2" w:name="bookmark6"/>
      <w:bookmarkEnd w:id="2"/>
      <w:bookmarkStart w:id="3" w:name="bookmark7"/>
      <w:bookmarkEnd w:id="3"/>
      <w:r>
        <w:t>定义</w:t>
      </w:r>
    </w:p>
    <w:p w14:paraId="54FB408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可用性：可用性是指一个组件或一种服务在设定的某个时刻或某段时间内发挥其应用功能的能力，因此，高可用性意味着服务对客户是持续可用的，宕机时间少且可迅速恢复，表示方法：</w:t>
      </w:r>
    </w:p>
    <w:p w14:paraId="303ABCF2">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用绝对数来表示，如可用时段为 8：00 到 18：00；</w:t>
      </w:r>
    </w:p>
    <w:p w14:paraId="00BE53D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用相对数来表示，如平均可用性级别最低为99%;</w:t>
      </w:r>
    </w:p>
    <w:p w14:paraId="29F5EFC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两者的结合，如在开发时间内平均可用性级别为99％。</w:t>
      </w:r>
    </w:p>
    <w:p w14:paraId="65FD09F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决定因素：</w:t>
      </w:r>
    </w:p>
    <w:p w14:paraId="26934837">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（A）IT 基础架构的复杂程度；</w:t>
      </w:r>
    </w:p>
    <w:p w14:paraId="5708938D">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（B）快捷有效地对故障作出反应的能力；</w:t>
      </w:r>
    </w:p>
    <w:p w14:paraId="07375F0F">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（C）组件的可靠性；</w:t>
      </w:r>
    </w:p>
    <w:p w14:paraId="77B8389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（D）运营级管理流程的质量和范围；</w:t>
      </w:r>
    </w:p>
    <w:p w14:paraId="595E93D4">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（E）由支持部门和供应商提供的维护的质量；</w:t>
      </w:r>
    </w:p>
    <w:p w14:paraId="29FCFE71">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（F）IT 基础架构的弹性。</w:t>
      </w:r>
    </w:p>
    <w:p w14:paraId="4941DA1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hint="eastAsia" w:eastAsia="宋体"/>
          <w:lang w:eastAsia="zh-CN"/>
        </w:rPr>
      </w:pPr>
      <w:bookmarkStart w:id="4" w:name="bookmark9"/>
      <w:bookmarkEnd w:id="4"/>
      <w:bookmarkStart w:id="5" w:name="bookmark8"/>
      <w:bookmarkEnd w:id="5"/>
      <w:r>
        <w:rPr>
          <w:rFonts w:ascii="宋体" w:hAnsi="宋体" w:eastAsia="宋体" w:cs="宋体"/>
          <w:spacing w:val="-3"/>
          <w:sz w:val="24"/>
          <w:szCs w:val="24"/>
        </w:rPr>
        <w:t>业务连续性</w:t>
      </w:r>
      <w:r>
        <w:rPr>
          <w:rFonts w:hint="eastAsia" w:ascii="宋体" w:hAnsi="宋体" w:eastAsia="宋体" w:cs="宋体"/>
          <w:spacing w:val="-3"/>
          <w:sz w:val="24"/>
          <w:szCs w:val="24"/>
          <w:lang w:eastAsia="zh-CN"/>
        </w:rPr>
        <w:t>：</w:t>
      </w:r>
      <w:r>
        <w:rPr>
          <w:rFonts w:ascii="宋体" w:hAnsi="宋体" w:eastAsia="宋体" w:cs="宋体"/>
          <w:spacing w:val="-3"/>
          <w:sz w:val="24"/>
          <w:szCs w:val="24"/>
        </w:rPr>
        <w:t>是一个综合性的管理过程，它旨在识别组织所面临的潜在威胁，以及这些威胁一旦发生对业务运营可能带来的冲击，并为此建立有效的响应框架和恢复能力，以保护关键利益相关方的利益、保障核心业务功能的持续运作，并维护组织的声誉和品牌价值</w:t>
      </w:r>
      <w:r>
        <w:rPr>
          <w:rFonts w:hint="eastAsia" w:ascii="宋体" w:hAnsi="宋体" w:eastAsia="宋体" w:cs="宋体"/>
          <w:spacing w:val="-3"/>
          <w:sz w:val="24"/>
          <w:szCs w:val="24"/>
          <w:lang w:eastAsia="zh-CN"/>
        </w:rPr>
        <w:t>。</w:t>
      </w:r>
    </w:p>
    <w:p w14:paraId="7872A2B7">
      <w:pPr>
        <w:pStyle w:val="28"/>
        <w:bidi w:val="0"/>
      </w:pPr>
      <w:r>
        <w:t>职责</w:t>
      </w:r>
    </w:p>
    <w:p w14:paraId="6F7A2AD7">
      <w:pPr>
        <w:pStyle w:val="29"/>
        <w:bidi w:val="0"/>
      </w:pPr>
      <w:r>
        <w:t>运维</w:t>
      </w:r>
      <w:r>
        <w:rPr>
          <w:rFonts w:hint="eastAsia"/>
          <w:lang w:val="en-US" w:eastAsia="zh-CN"/>
        </w:rPr>
        <w:t>服务</w:t>
      </w:r>
      <w:r>
        <w:t>部：</w:t>
      </w:r>
    </w:p>
    <w:p w14:paraId="67496B6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1.</w:t>
      </w:r>
      <w:r>
        <w:rPr>
          <w:rFonts w:ascii="宋体" w:hAnsi="宋体" w:eastAsia="宋体" w:cs="宋体"/>
          <w:spacing w:val="-3"/>
          <w:sz w:val="24"/>
          <w:szCs w:val="24"/>
        </w:rPr>
        <w:t>确保运维服务在经过设计后，实际的服务级别（以可用性、可靠性、可服务性、</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等指标表示）能够符合约定的服务级别；制定《</w:t>
      </w:r>
      <w:r>
        <w:rPr>
          <w:rFonts w:hint="eastAsia" w:ascii="宋体" w:hAnsi="宋体" w:eastAsia="宋体" w:cs="宋体"/>
          <w:spacing w:val="-3"/>
          <w:sz w:val="24"/>
          <w:szCs w:val="24"/>
          <w:lang w:val="en-US" w:eastAsia="zh-CN"/>
        </w:rPr>
        <w:t>服务</w:t>
      </w:r>
      <w:r>
        <w:rPr>
          <w:rFonts w:ascii="宋体" w:hAnsi="宋体" w:eastAsia="宋体" w:cs="宋体"/>
          <w:spacing w:val="-3"/>
          <w:sz w:val="24"/>
          <w:szCs w:val="24"/>
        </w:rPr>
        <w:t>可用性</w:t>
      </w:r>
      <w:r>
        <w:rPr>
          <w:rFonts w:hint="eastAsia" w:ascii="宋体" w:hAnsi="宋体" w:eastAsia="宋体" w:cs="宋体"/>
          <w:spacing w:val="-3"/>
          <w:sz w:val="24"/>
          <w:szCs w:val="24"/>
          <w:lang w:val="en-US" w:eastAsia="zh-CN"/>
        </w:rPr>
        <w:t>和业务连续性</w:t>
      </w:r>
      <w:r>
        <w:rPr>
          <w:rFonts w:ascii="宋体" w:hAnsi="宋体" w:eastAsia="宋体" w:cs="宋体"/>
          <w:spacing w:val="-3"/>
          <w:sz w:val="24"/>
          <w:szCs w:val="24"/>
        </w:rPr>
        <w:t>计划》；</w:t>
      </w:r>
    </w:p>
    <w:p w14:paraId="6CB4B77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撰写可用性报告；</w:t>
      </w:r>
    </w:p>
    <w:p w14:paraId="1D94F99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3.</w:t>
      </w:r>
      <w:r>
        <w:rPr>
          <w:rFonts w:ascii="宋体" w:hAnsi="宋体" w:eastAsia="宋体" w:cs="宋体"/>
          <w:spacing w:val="-3"/>
          <w:sz w:val="24"/>
          <w:szCs w:val="24"/>
        </w:rPr>
        <w:t>优化IT基础架构的可用性，从而为提供给企业的服务实施成本合理的改进。</w:t>
      </w:r>
    </w:p>
    <w:p w14:paraId="7481A7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2"/>
          <w:sz w:val="24"/>
          <w:szCs w:val="24"/>
          <w:lang w:val="en-US" w:eastAsia="zh-CN"/>
        </w:rPr>
        <w:t>4.</w:t>
      </w:r>
      <w:r>
        <w:rPr>
          <w:rFonts w:ascii="宋体" w:hAnsi="宋体" w:eastAsia="宋体" w:cs="宋体"/>
          <w:spacing w:val="-2"/>
          <w:sz w:val="24"/>
          <w:szCs w:val="24"/>
        </w:rPr>
        <w:t>实施和维护运维服务服务过程中的连续性管理，根据风险评估结果，制定并管理连续性计划</w:t>
      </w:r>
    </w:p>
    <w:p w14:paraId="724B1A96">
      <w:pPr>
        <w:pStyle w:val="28"/>
        <w:bidi w:val="0"/>
      </w:pPr>
      <w:bookmarkStart w:id="6" w:name="bookmark11"/>
      <w:bookmarkEnd w:id="6"/>
      <w:bookmarkStart w:id="7" w:name="bookmark10"/>
      <w:bookmarkEnd w:id="7"/>
      <w:r>
        <w:t>流程</w:t>
      </w:r>
    </w:p>
    <w:p w14:paraId="0BF5B370">
      <w:pPr>
        <w:pStyle w:val="29"/>
        <w:bidi w:val="0"/>
        <w:rPr>
          <w:rFonts w:hint="default"/>
          <w:lang w:val="en-US" w:eastAsia="zh-CN"/>
        </w:rPr>
      </w:pPr>
      <w:r>
        <w:rPr>
          <w:rFonts w:hint="eastAsia"/>
          <w:lang w:val="en-US" w:eastAsia="zh-CN"/>
        </w:rPr>
        <w:t>服务可用性</w:t>
      </w:r>
    </w:p>
    <w:p w14:paraId="45238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一旦客户确定了一项服务的可用性要求，运维管理部就可以确定一系列输入要求，以满足要求的服务级别。</w:t>
      </w:r>
    </w:p>
    <w:p w14:paraId="0560D621">
      <w:pPr>
        <w:pStyle w:val="30"/>
        <w:bidi w:val="0"/>
      </w:pPr>
      <w:bookmarkStart w:id="8" w:name="bookmark12"/>
      <w:bookmarkEnd w:id="8"/>
      <w:bookmarkStart w:id="9" w:name="bookmark14"/>
      <w:bookmarkEnd w:id="9"/>
      <w:bookmarkStart w:id="10" w:name="bookmark15"/>
      <w:bookmarkEnd w:id="10"/>
      <w:bookmarkStart w:id="11" w:name="bookmark13"/>
      <w:bookmarkEnd w:id="11"/>
      <w:r>
        <w:t>识别可用性需求</w:t>
      </w:r>
    </w:p>
    <w:p w14:paraId="1915A3D4">
      <w:pPr>
        <w:pStyle w:val="5"/>
        <w:bidi w:val="0"/>
      </w:pPr>
      <w:r>
        <w:t>需求识别时间</w:t>
      </w:r>
    </w:p>
    <w:p w14:paraId="429C6388">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在签订《服务级别协议》之前进行；</w:t>
      </w:r>
    </w:p>
    <w:p w14:paraId="7589C7F4">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需考虑新的运维服务和需要对现有服务作出的变更两个方面；</w:t>
      </w:r>
    </w:p>
    <w:p w14:paraId="2D803378">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应当在尽可能早的阶段确定是否能够满足这些需求以及怎样满足这些需求。</w:t>
      </w:r>
    </w:p>
    <w:p w14:paraId="671B5B95">
      <w:pPr>
        <w:pStyle w:val="5"/>
        <w:bidi w:val="0"/>
      </w:pPr>
      <w:bookmarkStart w:id="12" w:name="bookmark18"/>
      <w:bookmarkEnd w:id="12"/>
      <w:bookmarkStart w:id="13" w:name="bookmark16"/>
      <w:bookmarkEnd w:id="13"/>
      <w:bookmarkStart w:id="14" w:name="bookmark17"/>
      <w:bookmarkEnd w:id="14"/>
      <w:bookmarkStart w:id="15" w:name="bookmark19"/>
      <w:bookmarkEnd w:id="15"/>
      <w:r>
        <w:t>需求识别应考虑内容</w:t>
      </w:r>
    </w:p>
    <w:p w14:paraId="1514EDF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关键业务功能；</w:t>
      </w:r>
    </w:p>
    <w:p w14:paraId="690187E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约定的运维服务中断时间；</w:t>
      </w:r>
    </w:p>
    <w:p w14:paraId="5B4D14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16" w:name="bookmark43"/>
      <w:bookmarkEnd w:id="16"/>
      <w:r>
        <w:rPr>
          <w:rFonts w:ascii="宋体" w:hAnsi="宋体" w:eastAsia="宋体" w:cs="宋体"/>
          <w:spacing w:val="-3"/>
          <w:sz w:val="24"/>
          <w:szCs w:val="24"/>
        </w:rPr>
        <w:t>可量化的可用性需求；</w:t>
      </w:r>
    </w:p>
    <w:p w14:paraId="76E4193B">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非计划的运维服务中断对业务功能所产生的可量化的影响；</w:t>
      </w:r>
    </w:p>
    <w:p w14:paraId="47CFDD9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客户的业务运作时段；</w:t>
      </w:r>
    </w:p>
    <w:p w14:paraId="258CAD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有关维护窗口期的约定。</w:t>
      </w:r>
    </w:p>
    <w:p w14:paraId="0E8A3D9A">
      <w:pPr>
        <w:pStyle w:val="30"/>
        <w:bidi w:val="0"/>
      </w:pPr>
      <w:r>
        <w:t>可用性设计</w:t>
      </w:r>
    </w:p>
    <w:p w14:paraId="7DCF983A">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那些影响可用性标准的薄弱环节应当尽早得到确认。有助于防止额外的开发成本、计划外的后期支出、单点故障、供应商收取的额外成本以及延迟的发布等情况发生。</w:t>
      </w:r>
    </w:p>
    <w:p w14:paraId="10AD5BC0">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基于适当的可用性标准的一个良好的可用性设计可以使得有可能与供应商签订有效的维护合同。设计过程中采用了一些技巧，如确认单点故障的组件故障影响度分析。</w:t>
      </w:r>
    </w:p>
    <w:p w14:paraId="46F9EC81">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3</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如果可用性标准不能够实现，最好的选择是确认设计是否可以进一步改进。</w:t>
      </w:r>
    </w:p>
    <w:p w14:paraId="30992ECB">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如果可用性需求特别难以达到，则应当考虑使用其它的容错技术、其它的服务流程（事件管理、问题管理和变更管理）或额外的服务管理资源。</w:t>
      </w:r>
    </w:p>
    <w:p w14:paraId="4BBEE132">
      <w:pPr>
        <w:pStyle w:val="30"/>
        <w:bidi w:val="0"/>
      </w:pPr>
      <w:bookmarkStart w:id="17" w:name="bookmark20"/>
      <w:bookmarkEnd w:id="17"/>
      <w:bookmarkStart w:id="18" w:name="bookmark21"/>
      <w:bookmarkEnd w:id="18"/>
      <w:r>
        <w:t>恢复方案设计</w:t>
      </w:r>
    </w:p>
    <w:p w14:paraId="562DBF2D">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1</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确保运维服务故障发生后，运维服务能在最短的时间内得以恢复以使正常的业务运营继续进行；</w:t>
      </w:r>
    </w:p>
    <w:p w14:paraId="068D795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2</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构建一个对故障具有高度弹性的IT基础设施即使不是不太可能，也可能会造成成本过于高昂；因此，在给定的成本约束下，IT基础设施满足可用性需求的能力常常取决于可以对运维服务故障进行及时有效恢复的能力。</w:t>
      </w:r>
    </w:p>
    <w:p w14:paraId="4A57460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设计恢复方案考虑因素：</w:t>
      </w:r>
    </w:p>
    <w:p w14:paraId="7777576C">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确保业务与技术恢复流程是正确的；</w:t>
      </w:r>
    </w:p>
    <w:p w14:paraId="6570491F">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清晰定义负责主要事件的员工的职责。</w:t>
      </w:r>
    </w:p>
    <w:p w14:paraId="2E10187E">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安全性问题</w:t>
      </w:r>
    </w:p>
    <w:p w14:paraId="12592E4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安全性和可靠性是密切相关的，一个较差的信息安全设计会直接影响到服务的可用性。</w:t>
      </w:r>
    </w:p>
    <w:p w14:paraId="2D76761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19" w:name="bookmark44"/>
      <w:bookmarkEnd w:id="19"/>
      <w:r>
        <w:rPr>
          <w:rFonts w:ascii="宋体" w:hAnsi="宋体" w:eastAsia="宋体" w:cs="宋体"/>
          <w:spacing w:val="-3"/>
          <w:sz w:val="24"/>
          <w:szCs w:val="24"/>
        </w:rPr>
        <w:t>高可用性要靠有效的信息安全来支撑。在规划阶段，应该考虑相关的安全问题，对安全问题可能给服务供应带来的影响也应当加以分析。</w:t>
      </w:r>
    </w:p>
    <w:p w14:paraId="3CECF5C2">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jc w:val="left"/>
        <w:textAlignment w:val="baseline"/>
        <w:rPr>
          <w:rFonts w:ascii="宋体" w:hAnsi="宋体" w:eastAsia="宋体" w:cs="宋体"/>
          <w:spacing w:val="-3"/>
          <w:sz w:val="24"/>
          <w:szCs w:val="24"/>
        </w:rPr>
      </w:pPr>
      <w:r>
        <w:rPr>
          <w:rFonts w:ascii="宋体" w:hAnsi="宋体" w:eastAsia="宋体" w:cs="宋体"/>
          <w:spacing w:val="-3"/>
          <w:sz w:val="24"/>
          <w:szCs w:val="24"/>
        </w:rPr>
        <w:t>与安全问题相关的活动主要有：</w:t>
      </w:r>
    </w:p>
    <w:p w14:paraId="70AA7638">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确定谁将有权访问安全区域；</w:t>
      </w:r>
    </w:p>
    <w:p w14:paraId="6013E637">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确定需要作出哪项关键授权。</w:t>
      </w:r>
    </w:p>
    <w:p w14:paraId="1E2C5A8E">
      <w:pPr>
        <w:pStyle w:val="30"/>
        <w:bidi w:val="0"/>
      </w:pPr>
      <w:bookmarkStart w:id="20" w:name="bookmark23"/>
      <w:bookmarkEnd w:id="20"/>
      <w:bookmarkStart w:id="21" w:name="bookmark22"/>
      <w:bookmarkEnd w:id="21"/>
      <w:r>
        <w:t>维护管理</w:t>
      </w:r>
    </w:p>
    <w:p w14:paraId="7BE8980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IT组件都必须按照计划进行维护活动。有计划的维护活动可以使IT支持部门能够：实施预防性维护以避免故障的发生；</w:t>
      </w:r>
    </w:p>
    <w:p w14:paraId="5112C348">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及时进行软件和硬件升级以提供新的功能和额外的服务能力；</w:t>
      </w:r>
    </w:p>
    <w:p w14:paraId="4AE876A0">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根据业务需求对IT基础设施实施必要的变更；</w:t>
      </w:r>
    </w:p>
    <w:p w14:paraId="2AFEAA2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激活IT基础设施中新增的功能。</w:t>
      </w:r>
    </w:p>
    <w:p w14:paraId="1B7DF8FB">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计划性维护活动涉及的首要问题是计划停机时间。</w:t>
      </w:r>
    </w:p>
    <w:p w14:paraId="69CE7847">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在确定新增或改进后的运维服务的可用性需求时，需要明确计划性维护所需的停机时间以及由此导致的收入方面的损失。</w:t>
      </w:r>
    </w:p>
    <w:p w14:paraId="50131C9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在运维服务1天24小时或一周7天都必须正常运作的情况下，可用性管理就必须在权衡计划停机时间需求和相应的业务损失之后确定最优的维护方案。</w:t>
      </w:r>
    </w:p>
    <w:p w14:paraId="2B726E6E">
      <w:pPr>
        <w:pStyle w:val="30"/>
        <w:bidi w:val="0"/>
      </w:pPr>
      <w:bookmarkStart w:id="22" w:name="bookmark25"/>
      <w:bookmarkEnd w:id="22"/>
      <w:bookmarkStart w:id="23" w:name="bookmark24"/>
      <w:bookmarkEnd w:id="23"/>
      <w:r>
        <w:t>制定《可用性计划》</w:t>
      </w:r>
    </w:p>
    <w:p w14:paraId="60FDF5AB">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为有效地实施有关可用性管理活动以改进IT组件及服务的可用性，必须制定明确的《可用性计划》。</w:t>
      </w:r>
    </w:p>
    <w:p w14:paraId="299D9E17">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不仅需要关注技术方面的问题，还应对可用性管理的人员、流程、工具和技巧等方面进行考虑。在可用性管理的初始阶段，可用性计划与实施通常是紧密结合进行的，但这两者却又是不同的，不能将它们混淆。</w:t>
      </w:r>
    </w:p>
    <w:p w14:paraId="1E38C0A9">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《可用性计划》的计划周期应当覆盖协议约定时长。</w:t>
      </w:r>
    </w:p>
    <w:p w14:paraId="1998F39A">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《可用性计划》应当和《能力计划》和财务预算的周期保持一致。</w:t>
      </w:r>
    </w:p>
    <w:p w14:paraId="7BD9AE0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《可用性计划》一般包括以下部分：</w:t>
      </w:r>
    </w:p>
    <w:p w14:paraId="01ED079D">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对目前状况可用性的评估；</w:t>
      </w:r>
    </w:p>
    <w:p w14:paraId="65451DE8">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改善现有服务活动的步骤；</w:t>
      </w:r>
    </w:p>
    <w:p w14:paraId="5C686A1E">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实施新服务与维护的一系列计划。</w:t>
      </w:r>
    </w:p>
    <w:p w14:paraId="3E1E80E8">
      <w:pPr>
        <w:spacing w:line="297" w:lineRule="auto"/>
        <w:rPr>
          <w:rFonts w:ascii="Arial"/>
          <w:sz w:val="21"/>
        </w:rPr>
      </w:pPr>
    </w:p>
    <w:p w14:paraId="60113343">
      <w:pPr>
        <w:pStyle w:val="30"/>
        <w:bidi w:val="0"/>
      </w:pPr>
      <w:bookmarkStart w:id="24" w:name="bookmark27"/>
      <w:bookmarkEnd w:id="24"/>
      <w:bookmarkStart w:id="25" w:name="bookmark26"/>
      <w:bookmarkEnd w:id="25"/>
      <w:r>
        <w:t xml:space="preserve"> 监控、评价和报告</w:t>
      </w:r>
    </w:p>
    <w:p w14:paraId="04D34E79">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评价和报告是重要的可用性管理活动，它们为核实服务协议，解决问题和制定改进建议提供了基础。</w:t>
      </w:r>
    </w:p>
    <w:p w14:paraId="538646BF">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可用性报告在每次服务报告中作相应说明，其中可以包括下列指标：</w:t>
      </w:r>
    </w:p>
    <w:p w14:paraId="5B960384">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以平均修复时间（MTTR）、平均无故障时间（MTBF）和平均系统事件间隔时间表示的可用率（或不可用率）；</w:t>
      </w:r>
    </w:p>
    <w:p w14:paraId="41E1C8F3">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总体正常运作时间和宕机时间；</w:t>
      </w:r>
    </w:p>
    <w:p w14:paraId="2E28F32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故障的次数；</w:t>
      </w:r>
    </w:p>
    <w:p w14:paraId="46A4EFE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有关故障可能实际或潜在地导致比约定数更高的不可用率的额外信息。</w:t>
      </w:r>
    </w:p>
    <w:p w14:paraId="44BE6199">
      <w:pPr>
        <w:pStyle w:val="29"/>
        <w:bidi w:val="0"/>
        <w:rPr>
          <w:rFonts w:hint="default"/>
          <w:lang w:val="en-US" w:eastAsia="zh-CN"/>
        </w:rPr>
      </w:pPr>
      <w:r>
        <w:rPr>
          <w:rFonts w:hint="eastAsia"/>
          <w:lang w:val="en-US" w:eastAsia="zh-CN"/>
        </w:rPr>
        <w:t>业务连续性</w:t>
      </w:r>
    </w:p>
    <w:p w14:paraId="515CD7A8">
      <w:pPr>
        <w:pStyle w:val="30"/>
        <w:bidi w:val="0"/>
      </w:pPr>
      <w:r>
        <w:t>初始化阶段</w:t>
      </w:r>
    </w:p>
    <w:p w14:paraId="58EA0FA0">
      <w:pPr>
        <w:pStyle w:val="5"/>
        <w:bidi w:val="0"/>
      </w:pPr>
      <w:bookmarkStart w:id="26" w:name="bookmark47"/>
      <w:bookmarkEnd w:id="26"/>
      <w:r>
        <w:t>定义组织策略</w:t>
      </w:r>
    </w:p>
    <w:p w14:paraId="362416D4">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有关运维服务连续性管理的政策应当尽早地制定并充分传达给组织内所</w:t>
      </w:r>
      <w:r>
        <w:rPr>
          <w:rFonts w:ascii="宋体" w:hAnsi="宋体" w:eastAsia="宋体" w:cs="宋体"/>
          <w:spacing w:val="-1"/>
          <w:sz w:val="24"/>
          <w:szCs w:val="24"/>
        </w:rPr>
        <w:t>有的相关人员，从而使他们意识到实施运维服务连续性管理的需求；</w:t>
      </w:r>
      <w:r>
        <w:rPr>
          <w:rFonts w:ascii="宋体" w:hAnsi="宋体" w:eastAsia="宋体" w:cs="宋体"/>
          <w:spacing w:val="2"/>
          <w:sz w:val="24"/>
          <w:szCs w:val="24"/>
        </w:rPr>
        <w:t>同时管理层也需要明确表达他们的承诺。</w:t>
      </w:r>
    </w:p>
    <w:p w14:paraId="63131E3C">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pacing w:val="-3"/>
          <w:sz w:val="24"/>
          <w:szCs w:val="24"/>
        </w:rPr>
        <w:t>运用风险评估方法来估计运维服务风险发生的概率，为了管理这些风险，</w:t>
      </w:r>
      <w:r>
        <w:rPr>
          <w:rFonts w:ascii="宋体" w:hAnsi="宋体" w:eastAsia="宋体" w:cs="宋体"/>
          <w:sz w:val="24"/>
          <w:szCs w:val="24"/>
        </w:rPr>
        <w:t>组织需要制定风险预防和风险恢复方案，这些措施应基于质量标准；安</w:t>
      </w:r>
      <w:r>
        <w:rPr>
          <w:rFonts w:ascii="宋体" w:hAnsi="宋体" w:eastAsia="宋体" w:cs="宋体"/>
          <w:spacing w:val="-1"/>
          <w:sz w:val="24"/>
          <w:szCs w:val="24"/>
        </w:rPr>
        <w:t>全管理指南和通用的组织策略</w:t>
      </w:r>
      <w:r>
        <w:rPr>
          <w:rFonts w:hint="eastAsia" w:ascii="宋体" w:hAnsi="宋体" w:eastAsia="宋体" w:cs="宋体"/>
          <w:spacing w:val="-1"/>
          <w:sz w:val="24"/>
          <w:szCs w:val="24"/>
          <w:lang w:eastAsia="zh-CN"/>
        </w:rPr>
        <w:t>。</w:t>
      </w:r>
    </w:p>
    <w:p w14:paraId="2C017607">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确定适当的管理架构（清楚划分职责）和应对灾</w:t>
      </w:r>
      <w:r>
        <w:rPr>
          <w:rFonts w:ascii="宋体" w:hAnsi="宋体" w:eastAsia="宋体" w:cs="宋体"/>
          <w:spacing w:val="-2"/>
          <w:sz w:val="24"/>
          <w:szCs w:val="24"/>
        </w:rPr>
        <w:t>难的流程。</w:t>
      </w:r>
    </w:p>
    <w:p w14:paraId="0BACD256">
      <w:pPr>
        <w:pStyle w:val="5"/>
        <w:bidi w:val="0"/>
      </w:pPr>
      <w:r>
        <w:t>分配资源</w:t>
      </w:r>
    </w:p>
    <w:p w14:paraId="6EB6805A">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需要投入人力和物力建立一个运维服务连续性管理环境。</w:t>
      </w:r>
    </w:p>
    <w:p w14:paraId="45F9587A">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组织需要对员工进行培训来保证员工有能力实施风险预防和灾难恢复措施。</w:t>
      </w:r>
    </w:p>
    <w:p w14:paraId="07CAC28C">
      <w:pPr>
        <w:pStyle w:val="30"/>
        <w:bidi w:val="0"/>
      </w:pPr>
      <w:r>
        <w:t>分析规划阶段</w:t>
      </w:r>
    </w:p>
    <w:p w14:paraId="7C3C743E">
      <w:pPr>
        <w:pStyle w:val="5"/>
        <w:bidi w:val="0"/>
      </w:pPr>
      <w:bookmarkStart w:id="27" w:name="bookmark48"/>
      <w:bookmarkEnd w:id="27"/>
      <w:r>
        <w:t>业务影响分析</w:t>
      </w:r>
    </w:p>
    <w:p w14:paraId="39F8BB33">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在有些情况下，服务在灾难发生后仍可以继</w:t>
      </w:r>
      <w:r>
        <w:rPr>
          <w:rFonts w:ascii="宋体" w:hAnsi="宋体" w:eastAsia="宋体" w:cs="宋体"/>
          <w:spacing w:val="2"/>
          <w:sz w:val="24"/>
          <w:szCs w:val="24"/>
        </w:rPr>
        <w:t>续运作一段时间，因而其重</w:t>
      </w:r>
      <w:bookmarkStart w:id="28" w:name="bookmark49"/>
      <w:bookmarkEnd w:id="28"/>
      <w:r>
        <w:rPr>
          <w:rFonts w:ascii="宋体" w:hAnsi="宋体" w:eastAsia="宋体" w:cs="宋体"/>
          <w:sz w:val="24"/>
          <w:szCs w:val="24"/>
        </w:rPr>
        <w:t>点是恢复服务；而在其它情况下，没有运维服务的</w:t>
      </w:r>
      <w:r>
        <w:rPr>
          <w:rFonts w:ascii="宋体" w:hAnsi="宋体" w:eastAsia="宋体" w:cs="宋体"/>
          <w:spacing w:val="-1"/>
          <w:sz w:val="24"/>
          <w:szCs w:val="24"/>
        </w:rPr>
        <w:t>支持业务将完全不能运作，因而其重点将是预防。</w:t>
      </w:r>
    </w:p>
    <w:p w14:paraId="1F6E578D">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3"/>
          <w:sz w:val="24"/>
          <w:szCs w:val="24"/>
        </w:rPr>
        <w:t>服务分析：对某些不重要的服务而言，可</w:t>
      </w:r>
      <w:r>
        <w:rPr>
          <w:rFonts w:ascii="宋体" w:hAnsi="宋体" w:eastAsia="宋体" w:cs="宋体"/>
          <w:spacing w:val="2"/>
          <w:sz w:val="24"/>
          <w:szCs w:val="24"/>
        </w:rPr>
        <w:t>以规定在灾难发生时使用能力</w:t>
      </w:r>
      <w:r>
        <w:rPr>
          <w:rFonts w:ascii="宋体" w:hAnsi="宋体" w:eastAsia="宋体" w:cs="宋体"/>
          <w:sz w:val="24"/>
          <w:szCs w:val="24"/>
        </w:rPr>
        <w:t>和可用性有限的应急服务。但需要注意的是，即便是在灾难恢复期间，服务级别也只有在与客户达成协议之后才能进行修改。对于关键性服务</w:t>
      </w:r>
      <w:r>
        <w:rPr>
          <w:rFonts w:ascii="宋体" w:hAnsi="宋体" w:eastAsia="宋体" w:cs="宋体"/>
          <w:spacing w:val="-1"/>
          <w:sz w:val="24"/>
          <w:szCs w:val="24"/>
        </w:rPr>
        <w:t>来说，必须在进行预防和制定恢复方案之间选择某种平衡</w:t>
      </w:r>
    </w:p>
    <w:p w14:paraId="108E39D6">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基础架构分析：在完成服务分析之后，需要</w:t>
      </w:r>
      <w:r>
        <w:rPr>
          <w:rFonts w:ascii="宋体" w:hAnsi="宋体" w:eastAsia="宋体" w:cs="宋体"/>
          <w:spacing w:val="-3"/>
          <w:sz w:val="24"/>
          <w:szCs w:val="24"/>
        </w:rPr>
        <w:t>评估服务和</w:t>
      </w:r>
      <w:r>
        <w:rPr>
          <w:rFonts w:ascii="宋体" w:hAnsi="宋体" w:eastAsia="宋体" w:cs="宋体"/>
          <w:spacing w:val="-38"/>
          <w:sz w:val="24"/>
          <w:szCs w:val="24"/>
        </w:rPr>
        <w:t xml:space="preserve"> </w:t>
      </w:r>
      <w:r>
        <w:rPr>
          <w:rFonts w:ascii="宋体" w:hAnsi="宋体" w:eastAsia="宋体" w:cs="宋体"/>
          <w:spacing w:val="-3"/>
          <w:sz w:val="24"/>
          <w:szCs w:val="24"/>
        </w:rPr>
        <w:t>IT</w:t>
      </w:r>
      <w:r>
        <w:rPr>
          <w:rFonts w:ascii="宋体" w:hAnsi="宋体" w:eastAsia="宋体" w:cs="宋体"/>
          <w:spacing w:val="-40"/>
          <w:sz w:val="24"/>
          <w:szCs w:val="24"/>
        </w:rPr>
        <w:t xml:space="preserve"> </w:t>
      </w:r>
      <w:r>
        <w:rPr>
          <w:rFonts w:ascii="宋体" w:hAnsi="宋体" w:eastAsia="宋体" w:cs="宋体"/>
          <w:spacing w:val="-3"/>
          <w:sz w:val="24"/>
          <w:szCs w:val="24"/>
        </w:rPr>
        <w:t>资源之间的依</w:t>
      </w:r>
      <w:r>
        <w:rPr>
          <w:rFonts w:ascii="宋体" w:hAnsi="宋体" w:eastAsia="宋体" w:cs="宋体"/>
          <w:spacing w:val="-1"/>
          <w:sz w:val="24"/>
          <w:szCs w:val="24"/>
        </w:rPr>
        <w:t>赖关系，灾难恢复服务所需要的额外资源。</w:t>
      </w:r>
    </w:p>
    <w:p w14:paraId="274DBA6B">
      <w:pPr>
        <w:pStyle w:val="5"/>
        <w:bidi w:val="0"/>
      </w:pPr>
      <w:r>
        <w:t>风险评估</w:t>
      </w:r>
    </w:p>
    <w:p w14:paraId="608539E3">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通过确认业务中存在的威胁和薄弱环节以</w:t>
      </w:r>
      <w:r>
        <w:rPr>
          <w:rFonts w:ascii="宋体" w:hAnsi="宋体" w:eastAsia="宋体" w:cs="宋体"/>
          <w:spacing w:val="2"/>
          <w:sz w:val="24"/>
          <w:szCs w:val="24"/>
        </w:rPr>
        <w:t>及相关的预防措施可以为管理</w:t>
      </w:r>
      <w:r>
        <w:rPr>
          <w:rFonts w:ascii="宋体" w:hAnsi="宋体" w:eastAsia="宋体" w:cs="宋体"/>
          <w:spacing w:val="-1"/>
          <w:sz w:val="24"/>
          <w:szCs w:val="24"/>
        </w:rPr>
        <w:t>层提供有价值的信息。</w:t>
      </w:r>
    </w:p>
    <w:p w14:paraId="66B381B8">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优先考虑使用各种预防措施。如果所有这类</w:t>
      </w:r>
      <w:r>
        <w:rPr>
          <w:rFonts w:ascii="宋体" w:hAnsi="宋体" w:eastAsia="宋体" w:cs="宋体"/>
          <w:spacing w:val="2"/>
          <w:sz w:val="24"/>
          <w:szCs w:val="24"/>
        </w:rPr>
        <w:t>预防措施全都用上了，则有</w:t>
      </w:r>
      <w:r>
        <w:rPr>
          <w:rFonts w:ascii="宋体" w:hAnsi="宋体" w:eastAsia="宋体" w:cs="宋体"/>
          <w:spacing w:val="-1"/>
          <w:sz w:val="24"/>
          <w:szCs w:val="24"/>
        </w:rPr>
        <w:t>必要进一步确定是否还存在需要制定应急计划的残余风险。</w:t>
      </w:r>
    </w:p>
    <w:p w14:paraId="7571E50F">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风险分析</w:t>
      </w:r>
    </w:p>
    <w:p w14:paraId="01BB347D">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position w:val="3"/>
          <w:sz w:val="24"/>
          <w:szCs w:val="24"/>
        </w:rPr>
        <w:t>必要确认相关的</w:t>
      </w:r>
      <w:r>
        <w:rPr>
          <w:rFonts w:ascii="宋体" w:hAnsi="宋体" w:eastAsia="宋体" w:cs="宋体"/>
          <w:spacing w:val="-38"/>
          <w:position w:val="3"/>
          <w:sz w:val="24"/>
          <w:szCs w:val="24"/>
        </w:rPr>
        <w:t xml:space="preserve"> </w:t>
      </w:r>
      <w:r>
        <w:rPr>
          <w:rFonts w:ascii="宋体" w:hAnsi="宋体" w:eastAsia="宋体" w:cs="宋体"/>
          <w:spacing w:val="-2"/>
          <w:position w:val="3"/>
          <w:sz w:val="24"/>
          <w:szCs w:val="24"/>
        </w:rPr>
        <w:t>IT</w:t>
      </w:r>
      <w:r>
        <w:rPr>
          <w:rFonts w:ascii="宋体" w:hAnsi="宋体" w:eastAsia="宋体" w:cs="宋体"/>
          <w:spacing w:val="-48"/>
          <w:position w:val="3"/>
          <w:sz w:val="24"/>
          <w:szCs w:val="24"/>
        </w:rPr>
        <w:t xml:space="preserve"> </w:t>
      </w:r>
      <w:r>
        <w:rPr>
          <w:rFonts w:ascii="宋体" w:hAnsi="宋体" w:eastAsia="宋体" w:cs="宋体"/>
          <w:spacing w:val="-2"/>
          <w:position w:val="3"/>
          <w:sz w:val="24"/>
          <w:szCs w:val="24"/>
        </w:rPr>
        <w:t>组件（资产</w:t>
      </w:r>
      <w:r>
        <w:rPr>
          <w:rFonts w:ascii="宋体" w:hAnsi="宋体" w:eastAsia="宋体" w:cs="宋体"/>
          <w:spacing w:val="-48"/>
          <w:position w:val="3"/>
          <w:sz w:val="24"/>
          <w:szCs w:val="24"/>
        </w:rPr>
        <w:t>），</w:t>
      </w:r>
      <w:r>
        <w:rPr>
          <w:rFonts w:ascii="宋体" w:hAnsi="宋体" w:eastAsia="宋体" w:cs="宋体"/>
          <w:spacing w:val="-2"/>
          <w:position w:val="3"/>
          <w:sz w:val="24"/>
          <w:szCs w:val="24"/>
        </w:rPr>
        <w:t>包括建筑物、系统和数据等；</w:t>
      </w:r>
    </w:p>
    <w:p w14:paraId="14E3534C">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88" w:firstLineChars="200"/>
        <w:textAlignment w:val="baseline"/>
        <w:rPr>
          <w:rFonts w:ascii="宋体" w:hAnsi="宋体" w:eastAsia="宋体" w:cs="宋体"/>
          <w:sz w:val="24"/>
          <w:szCs w:val="24"/>
        </w:rPr>
      </w:pPr>
      <w:r>
        <w:rPr>
          <w:rFonts w:ascii="宋体" w:hAnsi="宋体" w:eastAsia="宋体" w:cs="宋体"/>
          <w:spacing w:val="2"/>
          <w:sz w:val="24"/>
          <w:szCs w:val="24"/>
        </w:rPr>
        <w:t>分析这些资产所面临的威胁以及这些威胁之间的相关程度，并估计</w:t>
      </w:r>
      <w:r>
        <w:rPr>
          <w:rFonts w:ascii="宋体" w:hAnsi="宋体" w:eastAsia="宋体" w:cs="宋体"/>
          <w:spacing w:val="-2"/>
          <w:sz w:val="24"/>
          <w:szCs w:val="24"/>
        </w:rPr>
        <w:t>灾难发生的可能性；</w:t>
      </w:r>
    </w:p>
    <w:p w14:paraId="3E8F9845">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要确认这些资产的薄弱环节，并进</w:t>
      </w:r>
      <w:r>
        <w:rPr>
          <w:rFonts w:ascii="宋体" w:hAnsi="宋体" w:eastAsia="宋体" w:cs="宋体"/>
          <w:spacing w:val="-1"/>
          <w:position w:val="3"/>
          <w:sz w:val="24"/>
          <w:szCs w:val="24"/>
        </w:rPr>
        <w:t>行分类；</w:t>
      </w:r>
    </w:p>
    <w:p w14:paraId="4E6ED508">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68" w:firstLineChars="200"/>
        <w:textAlignment w:val="baseline"/>
        <w:rPr>
          <w:rFonts w:ascii="宋体" w:hAnsi="宋体" w:eastAsia="宋体" w:cs="宋体"/>
          <w:sz w:val="24"/>
          <w:szCs w:val="24"/>
        </w:rPr>
      </w:pPr>
      <w:r>
        <w:rPr>
          <w:rFonts w:ascii="宋体" w:hAnsi="宋体" w:eastAsia="宋体" w:cs="宋体"/>
          <w:spacing w:val="-3"/>
          <w:sz w:val="24"/>
          <w:szCs w:val="24"/>
        </w:rPr>
        <w:t>根据各</w:t>
      </w:r>
      <w:r>
        <w:rPr>
          <w:rFonts w:ascii="宋体" w:hAnsi="宋体" w:eastAsia="宋体" w:cs="宋体"/>
          <w:spacing w:val="-24"/>
          <w:sz w:val="24"/>
          <w:szCs w:val="24"/>
        </w:rPr>
        <w:t xml:space="preserve"> </w:t>
      </w:r>
      <w:r>
        <w:rPr>
          <w:rFonts w:ascii="宋体" w:hAnsi="宋体" w:eastAsia="宋体" w:cs="宋体"/>
          <w:spacing w:val="-3"/>
          <w:sz w:val="24"/>
          <w:szCs w:val="24"/>
        </w:rPr>
        <w:t>IT</w:t>
      </w:r>
      <w:r>
        <w:rPr>
          <w:rFonts w:ascii="宋体" w:hAnsi="宋体" w:eastAsia="宋体" w:cs="宋体"/>
          <w:spacing w:val="-48"/>
          <w:sz w:val="24"/>
          <w:szCs w:val="24"/>
        </w:rPr>
        <w:t xml:space="preserve"> </w:t>
      </w:r>
      <w:r>
        <w:rPr>
          <w:rFonts w:ascii="宋体" w:hAnsi="宋体" w:eastAsia="宋体" w:cs="宋体"/>
          <w:spacing w:val="-3"/>
          <w:sz w:val="24"/>
          <w:szCs w:val="24"/>
        </w:rPr>
        <w:t>组件的具体情况评估威胁和薄弱环节，从而评估风险的级</w:t>
      </w:r>
      <w:r>
        <w:rPr>
          <w:rFonts w:ascii="宋体" w:hAnsi="宋体" w:eastAsia="宋体" w:cs="宋体"/>
          <w:spacing w:val="-7"/>
          <w:sz w:val="24"/>
          <w:szCs w:val="24"/>
        </w:rPr>
        <w:t>别。</w:t>
      </w:r>
    </w:p>
    <w:p w14:paraId="273F8684">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恢复方案</w:t>
      </w:r>
    </w:p>
    <w:p w14:paraId="1FB3B356">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不采取任何措施，此方案应用于无需运维服务能独立运营</w:t>
      </w:r>
      <w:r>
        <w:rPr>
          <w:rFonts w:ascii="宋体" w:hAnsi="宋体" w:eastAsia="宋体" w:cs="宋体"/>
          <w:spacing w:val="-1"/>
          <w:position w:val="3"/>
          <w:sz w:val="24"/>
          <w:szCs w:val="24"/>
        </w:rPr>
        <w:t>的部门。</w:t>
      </w:r>
    </w:p>
    <w:p w14:paraId="62A2D1E5">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回复至手工（基于纸质的）系统-这种方案对于那些对业务有关键性</w:t>
      </w:r>
      <w:r>
        <w:rPr>
          <w:rFonts w:ascii="宋体" w:hAnsi="宋体" w:eastAsia="宋体" w:cs="宋体"/>
          <w:spacing w:val="2"/>
          <w:sz w:val="24"/>
          <w:szCs w:val="24"/>
        </w:rPr>
        <w:t>影响的服务来说是不可接受的，但对于那些不甚重要的、小的服务</w:t>
      </w:r>
      <w:r>
        <w:rPr>
          <w:rFonts w:ascii="宋体" w:hAnsi="宋体" w:eastAsia="宋体" w:cs="宋体"/>
          <w:spacing w:val="-13"/>
          <w:sz w:val="24"/>
          <w:szCs w:val="24"/>
        </w:rPr>
        <w:t>仍然是可行的。</w:t>
      </w:r>
    </w:p>
    <w:p w14:paraId="3F275802">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500" w:firstLineChars="200"/>
        <w:textAlignment w:val="baseline"/>
        <w:rPr>
          <w:rFonts w:ascii="宋体" w:hAnsi="宋体" w:eastAsia="宋体" w:cs="宋体"/>
          <w:sz w:val="24"/>
          <w:szCs w:val="24"/>
        </w:rPr>
      </w:pPr>
      <w:bookmarkStart w:id="29" w:name="bookmark50"/>
      <w:bookmarkEnd w:id="29"/>
      <w:r>
        <w:rPr>
          <w:rFonts w:ascii="宋体" w:hAnsi="宋体" w:eastAsia="宋体" w:cs="宋体"/>
          <w:spacing w:val="5"/>
          <w:sz w:val="24"/>
          <w:szCs w:val="24"/>
        </w:rPr>
        <w:t>互助协议安排-当两个组织具有类似的硬件并同意在灾难发生时互</w:t>
      </w:r>
      <w:r>
        <w:rPr>
          <w:rFonts w:ascii="宋体" w:hAnsi="宋体" w:eastAsia="宋体" w:cs="宋体"/>
          <w:spacing w:val="-1"/>
          <w:sz w:val="24"/>
          <w:szCs w:val="24"/>
        </w:rPr>
        <w:t>相提供相关设施时可以使用这种方案。</w:t>
      </w:r>
    </w:p>
    <w:p w14:paraId="04F96F51">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4" w:firstLineChars="200"/>
        <w:textAlignment w:val="baseline"/>
        <w:rPr>
          <w:rFonts w:ascii="宋体" w:hAnsi="宋体" w:eastAsia="宋体" w:cs="宋体"/>
          <w:sz w:val="24"/>
          <w:szCs w:val="24"/>
        </w:rPr>
      </w:pPr>
      <w:r>
        <w:rPr>
          <w:rFonts w:ascii="宋体" w:hAnsi="宋体" w:eastAsia="宋体" w:cs="宋体"/>
          <w:spacing w:val="1"/>
          <w:sz w:val="24"/>
          <w:szCs w:val="24"/>
        </w:rPr>
        <w:t>逐渐恢复-这种方案使用于那些在一段时间（如</w:t>
      </w:r>
      <w:r>
        <w:rPr>
          <w:rFonts w:ascii="宋体" w:hAnsi="宋体" w:eastAsia="宋体" w:cs="宋体"/>
          <w:spacing w:val="-45"/>
          <w:sz w:val="24"/>
          <w:szCs w:val="24"/>
        </w:rPr>
        <w:t xml:space="preserve"> </w:t>
      </w:r>
      <w:r>
        <w:rPr>
          <w:rFonts w:ascii="宋体" w:hAnsi="宋体" w:eastAsia="宋体" w:cs="宋体"/>
          <w:spacing w:val="1"/>
          <w:sz w:val="24"/>
          <w:szCs w:val="24"/>
        </w:rPr>
        <w:t>72</w:t>
      </w:r>
      <w:r>
        <w:rPr>
          <w:rFonts w:ascii="宋体" w:hAnsi="宋体" w:eastAsia="宋体" w:cs="宋体"/>
          <w:spacing w:val="-39"/>
          <w:sz w:val="24"/>
          <w:szCs w:val="24"/>
        </w:rPr>
        <w:t xml:space="preserve"> </w:t>
      </w:r>
      <w:r>
        <w:rPr>
          <w:rFonts w:ascii="宋体" w:hAnsi="宋体" w:eastAsia="宋体" w:cs="宋体"/>
          <w:spacing w:val="1"/>
          <w:sz w:val="24"/>
          <w:szCs w:val="24"/>
        </w:rPr>
        <w:t>小时）</w:t>
      </w:r>
      <w:r>
        <w:rPr>
          <w:rFonts w:ascii="宋体" w:hAnsi="宋体" w:eastAsia="宋体" w:cs="宋体"/>
          <w:sz w:val="24"/>
          <w:szCs w:val="24"/>
        </w:rPr>
        <w:t>内没有运</w:t>
      </w:r>
      <w:r>
        <w:rPr>
          <w:rFonts w:ascii="宋体" w:hAnsi="宋体" w:eastAsia="宋体" w:cs="宋体"/>
          <w:spacing w:val="-2"/>
          <w:sz w:val="24"/>
          <w:szCs w:val="24"/>
        </w:rPr>
        <w:t>维服务也能运作的企业。</w:t>
      </w:r>
    </w:p>
    <w:p w14:paraId="324F799F">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500" w:firstLineChars="200"/>
        <w:textAlignment w:val="baseline"/>
        <w:rPr>
          <w:rFonts w:ascii="宋体" w:hAnsi="宋体" w:eastAsia="宋体" w:cs="宋体"/>
          <w:sz w:val="24"/>
          <w:szCs w:val="24"/>
        </w:rPr>
      </w:pPr>
      <w:r>
        <w:rPr>
          <w:rFonts w:ascii="宋体" w:hAnsi="宋体" w:eastAsia="宋体" w:cs="宋体"/>
          <w:spacing w:val="5"/>
          <w:sz w:val="24"/>
          <w:szCs w:val="24"/>
        </w:rPr>
        <w:t>中期恢复-这种方案可以使服务在接入一个类似的运作环境后经历</w:t>
      </w:r>
      <w:r>
        <w:rPr>
          <w:rFonts w:ascii="宋体" w:hAnsi="宋体" w:eastAsia="宋体" w:cs="宋体"/>
          <w:spacing w:val="-1"/>
          <w:sz w:val="24"/>
          <w:szCs w:val="24"/>
        </w:rPr>
        <w:t>一段短暂的过渡期（24-72</w:t>
      </w:r>
      <w:r>
        <w:rPr>
          <w:rFonts w:ascii="宋体" w:hAnsi="宋体" w:eastAsia="宋体" w:cs="宋体"/>
          <w:spacing w:val="-44"/>
          <w:sz w:val="24"/>
          <w:szCs w:val="24"/>
        </w:rPr>
        <w:t xml:space="preserve"> </w:t>
      </w:r>
      <w:r>
        <w:rPr>
          <w:rFonts w:ascii="宋体" w:hAnsi="宋体" w:eastAsia="宋体" w:cs="宋体"/>
          <w:spacing w:val="-1"/>
          <w:sz w:val="24"/>
          <w:szCs w:val="24"/>
        </w:rPr>
        <w:t>小时）便可以继续正</w:t>
      </w:r>
      <w:r>
        <w:rPr>
          <w:rFonts w:ascii="宋体" w:hAnsi="宋体" w:eastAsia="宋体" w:cs="宋体"/>
          <w:spacing w:val="-2"/>
          <w:sz w:val="24"/>
          <w:szCs w:val="24"/>
        </w:rPr>
        <w:t>常运作。</w:t>
      </w:r>
    </w:p>
    <w:p w14:paraId="713DC7C7">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64" w:firstLineChars="200"/>
        <w:textAlignment w:val="baseline"/>
        <w:rPr>
          <w:rFonts w:ascii="宋体" w:hAnsi="宋体" w:eastAsia="宋体" w:cs="宋体"/>
          <w:sz w:val="24"/>
          <w:szCs w:val="24"/>
        </w:rPr>
      </w:pPr>
      <w:r>
        <w:rPr>
          <w:rFonts w:ascii="宋体" w:hAnsi="宋体" w:eastAsia="宋体" w:cs="宋体"/>
          <w:spacing w:val="-4"/>
          <w:sz w:val="24"/>
          <w:szCs w:val="24"/>
        </w:rPr>
        <w:t>内部式恢复（相互支撑）-如果企业有多个办公场所或可用于生产的</w:t>
      </w:r>
      <w:r>
        <w:rPr>
          <w:rFonts w:ascii="宋体" w:hAnsi="宋体" w:eastAsia="宋体" w:cs="宋体"/>
          <w:spacing w:val="-1"/>
          <w:sz w:val="24"/>
          <w:szCs w:val="24"/>
        </w:rPr>
        <w:t>专门的测试环境，可以采用这种内部式恢复方案。</w:t>
      </w:r>
    </w:p>
    <w:p w14:paraId="5C70BEFD">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外部式恢复-由第三方恢复组织提供商业服务，这些组织通常是为多个客户服务的</w:t>
      </w:r>
    </w:p>
    <w:p w14:paraId="58F6EEDA">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移动式恢复-这种方案所需的基础设施一般都是用一辆拖车</w:t>
      </w:r>
      <w:r>
        <w:rPr>
          <w:rFonts w:ascii="宋体" w:hAnsi="宋体" w:eastAsia="宋体" w:cs="宋体"/>
          <w:spacing w:val="-1"/>
          <w:position w:val="3"/>
          <w:sz w:val="24"/>
          <w:szCs w:val="24"/>
        </w:rPr>
        <w:t>装载着。</w:t>
      </w:r>
    </w:p>
    <w:p w14:paraId="38947F25">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立即恢复-这种方案提供了即时的或非常快速的恢复服务，如在不超</w:t>
      </w:r>
      <w:r>
        <w:rPr>
          <w:rFonts w:ascii="宋体" w:hAnsi="宋体" w:eastAsia="宋体" w:cs="宋体"/>
          <w:spacing w:val="-5"/>
          <w:sz w:val="24"/>
          <w:szCs w:val="24"/>
        </w:rPr>
        <w:t>过</w:t>
      </w:r>
      <w:r>
        <w:rPr>
          <w:rFonts w:ascii="宋体" w:hAnsi="宋体" w:eastAsia="宋体" w:cs="宋体"/>
          <w:spacing w:val="-48"/>
          <w:sz w:val="24"/>
          <w:szCs w:val="24"/>
        </w:rPr>
        <w:t xml:space="preserve"> </w:t>
      </w:r>
      <w:r>
        <w:rPr>
          <w:rFonts w:ascii="宋体" w:hAnsi="宋体" w:eastAsia="宋体" w:cs="宋体"/>
          <w:spacing w:val="-5"/>
          <w:sz w:val="24"/>
          <w:szCs w:val="24"/>
        </w:rPr>
        <w:t>24</w:t>
      </w:r>
      <w:r>
        <w:rPr>
          <w:rFonts w:ascii="宋体" w:hAnsi="宋体" w:eastAsia="宋体" w:cs="宋体"/>
          <w:spacing w:val="-44"/>
          <w:sz w:val="24"/>
          <w:szCs w:val="24"/>
        </w:rPr>
        <w:t xml:space="preserve"> </w:t>
      </w:r>
      <w:r>
        <w:rPr>
          <w:rFonts w:ascii="宋体" w:hAnsi="宋体" w:eastAsia="宋体" w:cs="宋体"/>
          <w:spacing w:val="-5"/>
          <w:sz w:val="24"/>
          <w:szCs w:val="24"/>
        </w:rPr>
        <w:t>小时之内</w:t>
      </w:r>
    </w:p>
    <w:p w14:paraId="6DCF5473">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针对分析结果应形成书面性的建议内容，汇总到《业务影响分析报告》</w:t>
      </w:r>
      <w:r>
        <w:rPr>
          <w:rFonts w:ascii="宋体" w:hAnsi="宋体" w:eastAsia="宋体" w:cs="宋体"/>
          <w:spacing w:val="-16"/>
          <w:sz w:val="24"/>
          <w:szCs w:val="24"/>
        </w:rPr>
        <w:t>中。</w:t>
      </w:r>
    </w:p>
    <w:p w14:paraId="41DB4AB8">
      <w:pPr>
        <w:pStyle w:val="30"/>
        <w:bidi w:val="0"/>
      </w:pPr>
      <w:r>
        <w:t>实施阶段</w:t>
      </w:r>
    </w:p>
    <w:p w14:paraId="303BA38A">
      <w:pPr>
        <w:pStyle w:val="5"/>
        <w:bidi w:val="0"/>
      </w:pPr>
      <w:bookmarkStart w:id="30" w:name="bookmark51"/>
      <w:bookmarkEnd w:id="30"/>
      <w:r>
        <w:t>组织和实施计划</w:t>
      </w:r>
    </w:p>
    <w:p w14:paraId="63EC66A5">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实施风险降低措施：故障发生直接影响服务的可用</w:t>
      </w:r>
      <w:r>
        <w:rPr>
          <w:rFonts w:ascii="宋体" w:hAnsi="宋体" w:eastAsia="宋体" w:cs="宋体"/>
          <w:spacing w:val="-3"/>
          <w:sz w:val="24"/>
          <w:szCs w:val="24"/>
        </w:rPr>
        <w:t>性，因此实施风险降</w:t>
      </w:r>
      <w:r>
        <w:rPr>
          <w:rFonts w:ascii="宋体" w:hAnsi="宋体" w:eastAsia="宋体" w:cs="宋体"/>
          <w:spacing w:val="-1"/>
          <w:sz w:val="24"/>
          <w:szCs w:val="24"/>
        </w:rPr>
        <w:t>低措施必须结合可用性管理进行。</w:t>
      </w:r>
    </w:p>
    <w:p w14:paraId="1947E423">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实施备用方案：恢复方案的实施有赖于一系列的备</w:t>
      </w:r>
      <w:r>
        <w:rPr>
          <w:rFonts w:ascii="宋体" w:hAnsi="宋体" w:eastAsia="宋体" w:cs="宋体"/>
          <w:spacing w:val="-3"/>
          <w:sz w:val="24"/>
          <w:szCs w:val="24"/>
        </w:rPr>
        <w:t>用方案，包括场所、</w:t>
      </w:r>
      <w:r>
        <w:rPr>
          <w:rFonts w:ascii="宋体" w:hAnsi="宋体" w:eastAsia="宋体" w:cs="宋体"/>
          <w:sz w:val="24"/>
          <w:szCs w:val="24"/>
        </w:rPr>
        <w:t>系统及供应商方面。对于备用方案需要进行测试、操作培训及维护以确</w:t>
      </w:r>
      <w:r>
        <w:rPr>
          <w:rFonts w:ascii="宋体" w:hAnsi="宋体" w:eastAsia="宋体" w:cs="宋体"/>
          <w:spacing w:val="-1"/>
          <w:sz w:val="24"/>
          <w:szCs w:val="24"/>
        </w:rPr>
        <w:t>保需要时可以立即启动备用方案。</w:t>
      </w:r>
    </w:p>
    <w:p w14:paraId="70CD99DE">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9"/>
          <w:sz w:val="24"/>
          <w:szCs w:val="24"/>
        </w:rPr>
        <w:t>制定《连续性管理计划》，保证实施人员可以直</w:t>
      </w:r>
      <w:r>
        <w:rPr>
          <w:rFonts w:ascii="宋体" w:hAnsi="宋体" w:eastAsia="宋体" w:cs="宋体"/>
          <w:spacing w:val="-10"/>
          <w:sz w:val="24"/>
          <w:szCs w:val="24"/>
        </w:rPr>
        <w:t>接按照流程文档实施恢复</w:t>
      </w:r>
      <w:r>
        <w:rPr>
          <w:rFonts w:ascii="宋体" w:hAnsi="宋体" w:eastAsia="宋体" w:cs="宋体"/>
          <w:sz w:val="24"/>
          <w:szCs w:val="24"/>
        </w:rPr>
        <w:t>方案：确保可以持续地提供有关关键系统、服务和设施的必要信息或在</w:t>
      </w:r>
      <w:r>
        <w:rPr>
          <w:rFonts w:ascii="宋体" w:hAnsi="宋体" w:eastAsia="宋体" w:cs="宋体"/>
          <w:spacing w:val="-1"/>
          <w:sz w:val="24"/>
          <w:szCs w:val="24"/>
        </w:rPr>
        <w:t>可接受的时段内能够恢复此类信息。</w:t>
      </w:r>
    </w:p>
    <w:p w14:paraId="32F04FE2">
      <w:pPr>
        <w:pStyle w:val="30"/>
        <w:bidi w:val="0"/>
      </w:pPr>
      <w:r>
        <w:t>运作阶段</w:t>
      </w:r>
    </w:p>
    <w:p w14:paraId="7D33C672">
      <w:pPr>
        <w:pStyle w:val="5"/>
        <w:bidi w:val="0"/>
      </w:pPr>
      <w:bookmarkStart w:id="31" w:name="bookmark52"/>
      <w:bookmarkEnd w:id="31"/>
      <w:r>
        <w:t>连续性计划测试</w:t>
      </w:r>
    </w:p>
    <w:p w14:paraId="080F4C3D">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2"/>
          <w:sz w:val="24"/>
          <w:szCs w:val="24"/>
        </w:rPr>
        <w:t>运维</w:t>
      </w:r>
      <w:r>
        <w:rPr>
          <w:rFonts w:hint="eastAsia" w:ascii="宋体" w:hAnsi="宋体" w:eastAsia="宋体" w:cs="宋体"/>
          <w:spacing w:val="-2"/>
          <w:sz w:val="24"/>
          <w:szCs w:val="24"/>
          <w:lang w:val="en-US" w:eastAsia="zh-CN"/>
        </w:rPr>
        <w:t>项目</w:t>
      </w:r>
      <w:r>
        <w:rPr>
          <w:rFonts w:ascii="宋体" w:hAnsi="宋体" w:eastAsia="宋体" w:cs="宋体"/>
          <w:spacing w:val="-2"/>
          <w:sz w:val="24"/>
          <w:szCs w:val="24"/>
        </w:rPr>
        <w:t>经理安排组织连续性计划范围内的人员编制测试</w:t>
      </w:r>
      <w:r>
        <w:rPr>
          <w:rFonts w:ascii="宋体" w:hAnsi="宋体" w:eastAsia="宋体" w:cs="宋体"/>
          <w:spacing w:val="-3"/>
          <w:sz w:val="24"/>
          <w:szCs w:val="24"/>
        </w:rPr>
        <w:t>计划并进行</w:t>
      </w:r>
      <w:r>
        <w:rPr>
          <w:rFonts w:ascii="宋体" w:hAnsi="宋体" w:eastAsia="宋体" w:cs="宋体"/>
          <w:spacing w:val="-4"/>
          <w:sz w:val="24"/>
          <w:szCs w:val="24"/>
        </w:rPr>
        <w:t>测试，测试完毕结果归并到《连续性管理计划测试报告》。</w:t>
      </w:r>
    </w:p>
    <w:p w14:paraId="7994A0F1">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根据服务需要，运维管理部经理会同公司领导对连续性管理计划</w:t>
      </w:r>
      <w:r>
        <w:rPr>
          <w:rFonts w:ascii="宋体" w:hAnsi="宋体" w:eastAsia="宋体" w:cs="宋体"/>
          <w:spacing w:val="-3"/>
          <w:sz w:val="24"/>
          <w:szCs w:val="24"/>
        </w:rPr>
        <w:t>测试结</w:t>
      </w:r>
      <w:r>
        <w:rPr>
          <w:rFonts w:ascii="宋体" w:hAnsi="宋体" w:eastAsia="宋体" w:cs="宋体"/>
          <w:spacing w:val="-6"/>
          <w:sz w:val="24"/>
          <w:szCs w:val="24"/>
        </w:rPr>
        <w:t>果进行评审，形成《连续性管理计划评审报告》，记录测试存在的问</w:t>
      </w:r>
      <w:r>
        <w:rPr>
          <w:rFonts w:ascii="宋体" w:hAnsi="宋体" w:eastAsia="宋体" w:cs="宋体"/>
          <w:spacing w:val="-7"/>
          <w:sz w:val="24"/>
          <w:szCs w:val="24"/>
        </w:rPr>
        <w:t>题，</w:t>
      </w:r>
      <w:r>
        <w:rPr>
          <w:rFonts w:ascii="宋体" w:hAnsi="宋体" w:eastAsia="宋体" w:cs="宋体"/>
          <w:spacing w:val="-6"/>
          <w:sz w:val="24"/>
          <w:szCs w:val="24"/>
        </w:rPr>
        <w:t>必要时修改《连续性管理计划》</w:t>
      </w:r>
    </w:p>
    <w:p w14:paraId="6D018D63">
      <w:r>
        <w:br w:type="page"/>
      </w:r>
    </w:p>
    <w:p w14:paraId="57822E5D">
      <w:pPr>
        <w:pStyle w:val="5"/>
        <w:bidi w:val="0"/>
      </w:pPr>
      <w:bookmarkStart w:id="48" w:name="_GoBack"/>
      <w:bookmarkEnd w:id="48"/>
      <w:r>
        <w:t>沟通和培训</w:t>
      </w:r>
    </w:p>
    <w:p w14:paraId="40F37B5A">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hint="eastAsia" w:ascii="宋体" w:hAnsi="宋体" w:eastAsia="宋体" w:cs="宋体"/>
          <w:spacing w:val="-4"/>
          <w:sz w:val="24"/>
          <w:szCs w:val="24"/>
          <w:lang w:val="en-US" w:eastAsia="zh-CN"/>
        </w:rPr>
        <w:t>运维</w:t>
      </w:r>
      <w:r>
        <w:rPr>
          <w:rFonts w:ascii="宋体" w:hAnsi="宋体" w:eastAsia="宋体" w:cs="宋体"/>
          <w:spacing w:val="-4"/>
          <w:sz w:val="24"/>
          <w:szCs w:val="24"/>
        </w:rPr>
        <w:t>项目经理组织有关人员进行沟通或培训，确保有关人员知道自己的职责和任务。</w:t>
      </w:r>
    </w:p>
    <w:p w14:paraId="520D545D">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必要时项目经理对培训的效果进行评价。</w:t>
      </w:r>
    </w:p>
    <w:p w14:paraId="04886332">
      <w:pPr>
        <w:pStyle w:val="5"/>
        <w:bidi w:val="0"/>
      </w:pPr>
      <w:r>
        <w:t>连续性计划维护</w:t>
      </w:r>
    </w:p>
    <w:p w14:paraId="524E4FF5">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对一线人员进行连续性方面的意识培养，使他们将维护连续性作为常规的工作。</w:t>
      </w:r>
    </w:p>
    <w:p w14:paraId="3C2BBCE1">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对连续性流程进行定期评审以确保经常性的更新。</w:t>
      </w:r>
    </w:p>
    <w:p w14:paraId="3931623B">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每年至少应进行必要的连续性计划测试。</w:t>
      </w:r>
    </w:p>
    <w:p w14:paraId="1A762DC4">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评审和测试以后需要进行日常的变更管理，因此也需要连续性得到及时更新。</w:t>
      </w:r>
    </w:p>
    <w:p w14:paraId="5FA21771">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进行包括维护人员和销售人员的培训，以保证在必要的时候他们有能力完成业务恢复工作</w:t>
      </w:r>
    </w:p>
    <w:p w14:paraId="17E48CB7">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保证连续性生命周期的最后程序得到市场中心经理和公司领导的确认，以保证连续性流程的运营流程得到顺利的执行。</w:t>
      </w:r>
    </w:p>
    <w:p w14:paraId="19DF08F6">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pacing w:val="-4"/>
          <w:sz w:val="24"/>
          <w:szCs w:val="24"/>
          <w:lang w:val="en-US" w:eastAsia="zh-CN"/>
        </w:rPr>
      </w:pPr>
      <w:r>
        <w:rPr>
          <w:rFonts w:ascii="宋体" w:hAnsi="宋体" w:eastAsia="宋体" w:cs="宋体"/>
          <w:spacing w:val="-4"/>
          <w:sz w:val="24"/>
          <w:szCs w:val="24"/>
        </w:rPr>
        <w:t>公司定期对连续性计划所需得到人员、技术及基础设施进行检查、评价，以确保连续性计划的有效性。</w:t>
      </w:r>
    </w:p>
    <w:p w14:paraId="57F10BFA">
      <w:pPr>
        <w:pStyle w:val="28"/>
        <w:bidi w:val="0"/>
      </w:pPr>
      <w:bookmarkStart w:id="32" w:name="bookmark29"/>
      <w:bookmarkEnd w:id="32"/>
      <w:bookmarkStart w:id="33" w:name="bookmark28"/>
      <w:bookmarkEnd w:id="33"/>
      <w:bookmarkStart w:id="34" w:name="bookmark31"/>
      <w:bookmarkEnd w:id="34"/>
      <w:bookmarkStart w:id="35" w:name="bookmark30"/>
      <w:bookmarkEnd w:id="35"/>
      <w:r>
        <w:t>与其他流程的关系</w:t>
      </w:r>
    </w:p>
    <w:p w14:paraId="7DD81E12">
      <w:pPr>
        <w:pStyle w:val="29"/>
        <w:bidi w:val="0"/>
        <w:rPr>
          <w:rFonts w:ascii="宋体" w:hAnsi="宋体" w:eastAsia="宋体" w:cs="宋体"/>
          <w:spacing w:val="-3"/>
          <w:sz w:val="24"/>
          <w:szCs w:val="24"/>
        </w:rPr>
      </w:pPr>
      <w:r>
        <w:t>与事件管理流程的关系</w:t>
      </w:r>
    </w:p>
    <w:p w14:paraId="54C59316">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中断的发生，均应在事件管理流程中得到记录。</w:t>
      </w:r>
      <w:bookmarkStart w:id="36" w:name="bookmark32"/>
      <w:bookmarkEnd w:id="36"/>
      <w:bookmarkStart w:id="37" w:name="bookmark33"/>
      <w:bookmarkEnd w:id="37"/>
    </w:p>
    <w:p w14:paraId="5FD1A83A">
      <w:pPr>
        <w:pStyle w:val="29"/>
        <w:bidi w:val="0"/>
      </w:pPr>
      <w:r>
        <w:t>与问题管理流程的关系</w:t>
      </w:r>
    </w:p>
    <w:p w14:paraId="70916CD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2"/>
          <w:sz w:val="24"/>
          <w:szCs w:val="24"/>
        </w:rPr>
      </w:pPr>
      <w:r>
        <w:rPr>
          <w:rFonts w:ascii="宋体" w:hAnsi="宋体" w:eastAsia="宋体" w:cs="宋体"/>
          <w:spacing w:val="-3"/>
          <w:sz w:val="24"/>
          <w:szCs w:val="24"/>
        </w:rPr>
        <w:t>系统相关隐患被识别，需要根源调查、处置，以提高</w:t>
      </w:r>
      <w:r>
        <w:rPr>
          <w:rFonts w:ascii="宋体" w:hAnsi="宋体" w:eastAsia="宋体" w:cs="宋体"/>
          <w:spacing w:val="-4"/>
          <w:sz w:val="24"/>
          <w:szCs w:val="24"/>
        </w:rPr>
        <w:t>可用性，可通过问题管</w:t>
      </w:r>
      <w:r>
        <w:rPr>
          <w:rFonts w:ascii="宋体" w:hAnsi="宋体" w:eastAsia="宋体" w:cs="宋体"/>
          <w:spacing w:val="-2"/>
          <w:sz w:val="24"/>
          <w:szCs w:val="24"/>
        </w:rPr>
        <w:t>理流程进行管理。</w:t>
      </w:r>
    </w:p>
    <w:p w14:paraId="62F2F17D">
      <w:pPr>
        <w:pStyle w:val="29"/>
        <w:bidi w:val="0"/>
      </w:pPr>
      <w:bookmarkStart w:id="38" w:name="bookmark35"/>
      <w:bookmarkEnd w:id="38"/>
      <w:bookmarkStart w:id="39" w:name="bookmark34"/>
      <w:bookmarkEnd w:id="39"/>
      <w:r>
        <w:t>与变更、发布管理流程的关系</w:t>
      </w:r>
    </w:p>
    <w:p w14:paraId="1D2DB3D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为提高系统可用性</w:t>
      </w:r>
      <w:r>
        <w:rPr>
          <w:rFonts w:hint="eastAsia" w:ascii="宋体" w:hAnsi="宋体" w:eastAsia="宋体" w:cs="宋体"/>
          <w:spacing w:val="-3"/>
          <w:sz w:val="24"/>
          <w:szCs w:val="24"/>
          <w:lang w:val="en-US" w:eastAsia="zh-CN"/>
        </w:rPr>
        <w:t>和连续性</w:t>
      </w:r>
      <w:r>
        <w:rPr>
          <w:rFonts w:ascii="宋体" w:hAnsi="宋体" w:eastAsia="宋体" w:cs="宋体"/>
          <w:spacing w:val="-3"/>
          <w:sz w:val="24"/>
          <w:szCs w:val="24"/>
        </w:rPr>
        <w:t>，产生的系统变更，应通过变更、发布管理流程进管控。</w:t>
      </w:r>
    </w:p>
    <w:p w14:paraId="649728D1">
      <w:pPr>
        <w:pStyle w:val="29"/>
        <w:bidi w:val="0"/>
      </w:pPr>
      <w:bookmarkStart w:id="40" w:name="bookmark37"/>
      <w:bookmarkEnd w:id="40"/>
      <w:bookmarkStart w:id="41" w:name="bookmark36"/>
      <w:bookmarkEnd w:id="41"/>
      <w:r>
        <w:t>与配置管理流程的关系</w:t>
      </w:r>
    </w:p>
    <w:p w14:paraId="0856FE1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配置管理数据库为可用性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系统分析提供数据基础。因可用性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发生的配置变更，也应对相关的配置项进行更新。</w:t>
      </w:r>
    </w:p>
    <w:p w14:paraId="17E26687">
      <w:pPr>
        <w:pStyle w:val="28"/>
        <w:bidi w:val="0"/>
        <w:rPr>
          <w:rFonts w:hint="default"/>
          <w:lang w:val="en-US" w:eastAsia="zh-CN"/>
        </w:rPr>
      </w:pPr>
      <w:bookmarkStart w:id="42" w:name="_Toc21434"/>
      <w:r>
        <w:rPr>
          <w:rFonts w:hint="default"/>
          <w:lang w:val="en-US" w:eastAsia="zh-CN"/>
        </w:rPr>
        <w:t>关键指标</w:t>
      </w:r>
      <w:bookmarkEnd w:id="42"/>
    </w:p>
    <w:tbl>
      <w:tblPr>
        <w:tblStyle w:val="26"/>
        <w:tblW w:w="8504" w:type="dxa"/>
        <w:tblInd w:w="13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7"/>
        <w:gridCol w:w="1337"/>
        <w:gridCol w:w="3545"/>
        <w:gridCol w:w="2895"/>
      </w:tblGrid>
      <w:tr w14:paraId="709F666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727" w:type="dxa"/>
            <w:tcBorders>
              <w:top w:val="single" w:color="000000" w:sz="6" w:space="0"/>
              <w:left w:val="single" w:color="000000" w:sz="6" w:space="0"/>
              <w:bottom w:val="single" w:color="000000" w:sz="6" w:space="0"/>
            </w:tcBorders>
            <w:shd w:val="clear" w:color="auto" w:fill="C0C0C0"/>
            <w:vAlign w:val="top"/>
          </w:tcPr>
          <w:p w14:paraId="6D9A89A2">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序号</w:t>
            </w:r>
          </w:p>
        </w:tc>
        <w:tc>
          <w:tcPr>
            <w:tcW w:w="1337" w:type="dxa"/>
            <w:tcBorders>
              <w:top w:val="single" w:color="000000" w:sz="6" w:space="0"/>
              <w:bottom w:val="single" w:color="000000" w:sz="6" w:space="0"/>
            </w:tcBorders>
            <w:shd w:val="clear" w:color="auto" w:fill="C0C0C0"/>
            <w:vAlign w:val="top"/>
          </w:tcPr>
          <w:p w14:paraId="7D755B0C">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衡量指标</w:t>
            </w:r>
          </w:p>
        </w:tc>
        <w:tc>
          <w:tcPr>
            <w:tcW w:w="3545" w:type="dxa"/>
            <w:tcBorders>
              <w:top w:val="single" w:color="000000" w:sz="6" w:space="0"/>
              <w:bottom w:val="single" w:color="000000" w:sz="6" w:space="0"/>
              <w:right w:val="single" w:color="000000" w:sz="6" w:space="0"/>
            </w:tcBorders>
            <w:shd w:val="clear" w:color="auto" w:fill="C0C0C0"/>
            <w:vAlign w:val="top"/>
          </w:tcPr>
          <w:p w14:paraId="74643268">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指标计算说明</w:t>
            </w:r>
          </w:p>
        </w:tc>
        <w:tc>
          <w:tcPr>
            <w:tcW w:w="2895" w:type="dxa"/>
            <w:tcBorders>
              <w:top w:val="single" w:color="000000" w:sz="6" w:space="0"/>
              <w:bottom w:val="single" w:color="000000" w:sz="6" w:space="0"/>
              <w:right w:val="single" w:color="000000" w:sz="6" w:space="0"/>
            </w:tcBorders>
            <w:shd w:val="clear" w:color="auto" w:fill="C0C0C0"/>
            <w:vAlign w:val="top"/>
          </w:tcPr>
          <w:p w14:paraId="3473BD9E">
            <w:pPr>
              <w:spacing w:before="205" w:line="221" w:lineRule="auto"/>
              <w:ind w:left="195"/>
              <w:rPr>
                <w:rFonts w:hint="default" w:ascii="宋体" w:hAnsi="宋体" w:eastAsia="宋体" w:cs="宋体"/>
                <w:b/>
                <w:bCs/>
                <w:spacing w:val="-7"/>
                <w:sz w:val="24"/>
                <w:szCs w:val="24"/>
                <w:lang w:val="en-US" w:eastAsia="zh-CN"/>
              </w:rPr>
            </w:pPr>
            <w:r>
              <w:rPr>
                <w:rFonts w:hint="eastAsia" w:ascii="宋体" w:hAnsi="宋体" w:eastAsia="宋体" w:cs="宋体"/>
                <w:b/>
                <w:bCs/>
                <w:spacing w:val="-7"/>
                <w:sz w:val="24"/>
                <w:szCs w:val="24"/>
                <w:lang w:val="en-US" w:eastAsia="zh-CN"/>
              </w:rPr>
              <w:t>考核频次</w:t>
            </w:r>
          </w:p>
        </w:tc>
      </w:tr>
      <w:tr w14:paraId="7EE4ACC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bottom w:val="single" w:color="000000" w:sz="6" w:space="0"/>
            </w:tcBorders>
            <w:vAlign w:val="top"/>
          </w:tcPr>
          <w:p w14:paraId="42108D35">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1</w:t>
            </w:r>
          </w:p>
        </w:tc>
        <w:tc>
          <w:tcPr>
            <w:tcW w:w="1337" w:type="dxa"/>
            <w:tcBorders>
              <w:top w:val="single" w:color="000000" w:sz="6" w:space="0"/>
              <w:bottom w:val="single" w:color="000000" w:sz="6" w:space="0"/>
            </w:tcBorders>
            <w:vAlign w:val="top"/>
          </w:tcPr>
          <w:p w14:paraId="12E8E777">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业务可用性</w:t>
            </w:r>
          </w:p>
        </w:tc>
        <w:tc>
          <w:tcPr>
            <w:tcW w:w="3545" w:type="dxa"/>
            <w:tcBorders>
              <w:top w:val="single" w:color="000000" w:sz="6" w:space="0"/>
              <w:bottom w:val="single" w:color="000000" w:sz="6" w:space="0"/>
              <w:right w:val="single" w:color="000000" w:sz="6" w:space="0"/>
            </w:tcBorders>
            <w:vAlign w:val="top"/>
          </w:tcPr>
          <w:p w14:paraId="4A42F54D">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可用时间/整体运行时间*100%</w:t>
            </w:r>
          </w:p>
        </w:tc>
        <w:tc>
          <w:tcPr>
            <w:tcW w:w="2895" w:type="dxa"/>
            <w:tcBorders>
              <w:top w:val="single" w:color="000000" w:sz="6" w:space="0"/>
              <w:bottom w:val="single" w:color="000000" w:sz="6" w:space="0"/>
              <w:right w:val="single" w:color="000000" w:sz="6" w:space="0"/>
            </w:tcBorders>
            <w:vAlign w:val="top"/>
          </w:tcPr>
          <w:p w14:paraId="5F59C04A">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季度</w:t>
            </w:r>
          </w:p>
        </w:tc>
      </w:tr>
      <w:tr w14:paraId="11BA532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tcBorders>
            <w:vAlign w:val="top"/>
          </w:tcPr>
          <w:p w14:paraId="6CBF3AE9">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2</w:t>
            </w:r>
          </w:p>
        </w:tc>
        <w:tc>
          <w:tcPr>
            <w:tcW w:w="1337" w:type="dxa"/>
            <w:tcBorders>
              <w:top w:val="single" w:color="000000" w:sz="6" w:space="0"/>
            </w:tcBorders>
            <w:shd w:val="clear" w:color="auto" w:fill="auto"/>
            <w:vAlign w:val="center"/>
          </w:tcPr>
          <w:p w14:paraId="00AAA77F">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服务连续性</w:t>
            </w:r>
          </w:p>
        </w:tc>
        <w:tc>
          <w:tcPr>
            <w:tcW w:w="3545" w:type="dxa"/>
            <w:tcBorders>
              <w:top w:val="single" w:color="000000" w:sz="6" w:space="0"/>
              <w:right w:val="single" w:color="000000" w:sz="6" w:space="0"/>
            </w:tcBorders>
            <w:shd w:val="clear" w:color="auto" w:fill="auto"/>
            <w:vAlign w:val="center"/>
          </w:tcPr>
          <w:p w14:paraId="423C46CC">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由于突发事件导致故障的次数</w:t>
            </w:r>
          </w:p>
        </w:tc>
        <w:tc>
          <w:tcPr>
            <w:tcW w:w="2895" w:type="dxa"/>
            <w:tcBorders>
              <w:top w:val="single" w:color="000000" w:sz="6" w:space="0"/>
              <w:right w:val="single" w:color="000000" w:sz="6" w:space="0"/>
            </w:tcBorders>
            <w:vAlign w:val="top"/>
          </w:tcPr>
          <w:p w14:paraId="6EFBE3C4">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季度</w:t>
            </w:r>
          </w:p>
        </w:tc>
      </w:tr>
    </w:tbl>
    <w:p w14:paraId="431ABEE0">
      <w:pPr>
        <w:pStyle w:val="28"/>
        <w:bidi w:val="0"/>
      </w:pPr>
      <w:bookmarkStart w:id="43" w:name="bookmark38"/>
      <w:bookmarkEnd w:id="43"/>
      <w:bookmarkStart w:id="44" w:name="bookmark39"/>
      <w:bookmarkEnd w:id="44"/>
      <w:r>
        <w:t>相关文件</w:t>
      </w:r>
    </w:p>
    <w:p w14:paraId="5D5C39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bookmarkStart w:id="45" w:name="bookmark45"/>
      <w:bookmarkEnd w:id="45"/>
      <w:r>
        <w:rPr>
          <w:rFonts w:ascii="宋体" w:hAnsi="宋体" w:eastAsia="宋体" w:cs="宋体"/>
          <w:spacing w:val="-3"/>
          <w:sz w:val="24"/>
          <w:szCs w:val="24"/>
        </w:rPr>
        <w:t>《</w:t>
      </w:r>
      <w:r>
        <w:rPr>
          <w:rFonts w:hint="eastAsia" w:ascii="宋体" w:hAnsi="宋体" w:eastAsia="宋体" w:cs="宋体"/>
          <w:spacing w:val="-3"/>
          <w:sz w:val="24"/>
          <w:szCs w:val="24"/>
          <w:lang w:val="en-US" w:eastAsia="zh-CN"/>
        </w:rPr>
        <w:t>服务可用性和业务</w:t>
      </w:r>
      <w:r>
        <w:rPr>
          <w:rFonts w:ascii="宋体" w:hAnsi="宋体" w:eastAsia="宋体" w:cs="宋体"/>
          <w:spacing w:val="-3"/>
          <w:sz w:val="24"/>
          <w:szCs w:val="24"/>
        </w:rPr>
        <w:t>连续性管理程序》</w:t>
      </w:r>
    </w:p>
    <w:p w14:paraId="32987E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《信息安全管理程序》</w:t>
      </w:r>
    </w:p>
    <w:p w14:paraId="25E0A67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 xml:space="preserve"> 《</w:t>
      </w:r>
      <w:r>
        <w:rPr>
          <w:rFonts w:hint="eastAsia" w:ascii="宋体" w:hAnsi="宋体" w:eastAsia="宋体" w:cs="宋体"/>
          <w:spacing w:val="-3"/>
          <w:sz w:val="24"/>
          <w:szCs w:val="24"/>
        </w:rPr>
        <w:t>运维服务能力管理制度</w:t>
      </w:r>
      <w:r>
        <w:rPr>
          <w:rFonts w:ascii="宋体" w:hAnsi="宋体" w:eastAsia="宋体" w:cs="宋体"/>
          <w:spacing w:val="-3"/>
          <w:sz w:val="24"/>
          <w:szCs w:val="24"/>
        </w:rPr>
        <w:t>》</w:t>
      </w:r>
    </w:p>
    <w:p w14:paraId="5C7915E6">
      <w:pPr>
        <w:pStyle w:val="28"/>
        <w:bidi w:val="0"/>
      </w:pPr>
      <w:bookmarkStart w:id="46" w:name="bookmark41"/>
      <w:bookmarkEnd w:id="46"/>
      <w:bookmarkStart w:id="47" w:name="bookmark40"/>
      <w:bookmarkEnd w:id="47"/>
      <w:r>
        <w:t>记录</w:t>
      </w:r>
    </w:p>
    <w:p w14:paraId="0BC3415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eastAsia"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《服务可用性和业务连续性管理计划》</w:t>
      </w:r>
    </w:p>
    <w:p w14:paraId="5CF3FE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《可用性分析报告》</w:t>
      </w:r>
    </w:p>
    <w:p w14:paraId="45EF2F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《连续性测试报告》</w:t>
      </w:r>
    </w:p>
    <w:p w14:paraId="29B916DC">
      <w:pPr>
        <w:bidi w:val="0"/>
        <w:rPr>
          <w:rFonts w:hint="default"/>
          <w:lang w:val="en-US" w:eastAsia="zh-CN"/>
        </w:rPr>
      </w:pPr>
    </w:p>
    <w:sectPr>
      <w:headerReference r:id="rId5" w:type="default"/>
      <w:footerReference r:id="rId6" w:type="default"/>
      <w:pgSz w:w="11906" w:h="16838"/>
      <w:pgMar w:top="1440" w:right="1800" w:bottom="1440" w:left="85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8F28D0">
    <w:pPr>
      <w:spacing w:line="176" w:lineRule="auto"/>
      <w:ind w:left="5919"/>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A3C70">
    <w:pPr>
      <w:spacing w:before="45" w:line="239" w:lineRule="auto"/>
      <w:ind w:left="8325" w:right="373" w:hanging="1268"/>
      <w:rPr>
        <w:rFonts w:ascii="仿宋" w:hAnsi="仿宋" w:eastAsia="仿宋" w:cs="仿宋"/>
        <w:sz w:val="18"/>
        <w:szCs w:val="18"/>
      </w:rPr>
    </w:pPr>
    <w:r>
      <mc:AlternateContent>
        <mc:Choice Requires="wps">
          <w:drawing>
            <wp:anchor distT="0" distB="0" distL="114300" distR="114300" simplePos="0" relativeHeight="251659264" behindDoc="0" locked="0" layoutInCell="0" allowOverlap="1">
              <wp:simplePos x="0" y="0"/>
              <wp:positionH relativeFrom="page">
                <wp:posOffset>1143000</wp:posOffset>
              </wp:positionH>
              <wp:positionV relativeFrom="page">
                <wp:posOffset>848995</wp:posOffset>
              </wp:positionV>
              <wp:extent cx="5274310" cy="9525"/>
              <wp:effectExtent l="0" t="0" r="0" b="0"/>
              <wp:wrapNone/>
              <wp:docPr id="9" name="任意多边形 9"/>
              <wp:cNvGraphicFramePr/>
              <a:graphic xmlns:a="http://schemas.openxmlformats.org/drawingml/2006/main">
                <a:graphicData uri="http://schemas.microsoft.com/office/word/2010/wordprocessingShape">
                  <wps:wsp>
                    <wps:cNvSpPr/>
                    <wps:spPr>
                      <a:xfrm>
                        <a:off x="0" y="0"/>
                        <a:ext cx="5274310" cy="9525"/>
                      </a:xfrm>
                      <a:custGeom>
                        <a:avLst/>
                        <a:gdLst/>
                        <a:ahLst/>
                        <a:cxnLst/>
                        <a:pathLst>
                          <a:path w="8305" h="15">
                            <a:moveTo>
                              <a:pt x="0" y="0"/>
                            </a:moveTo>
                            <a:lnTo>
                              <a:pt x="8305" y="0"/>
                            </a:lnTo>
                            <a:lnTo>
                              <a:pt x="8305"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90pt;margin-top:66.85pt;height:0.75pt;width:415.3pt;mso-position-horizontal-relative:page;mso-position-vertical-relative:page;z-index:251659264;mso-width-relative:page;mso-height-relative:page;" fillcolor="#000000" filled="t" stroked="f" coordsize="8305,15" o:allowincell="f" o:gfxdata="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c+9e2gAAAAwBAAAPAAAA&#10;AAAAAAEAIAAAACIAAABkcnMvZG93bnJldi54bWxQSwECFAAUAAAACACHTuJAwP5VBRMCAAB7BAAA&#10;DgAAAAAAAAABACAAAAApAQAAZHJzL2Uyb0RvYy54bWxQSwUGAAAAAAYABgBZAQAArgUAAAAA&#10;" path="m0,0l8305,0,8305,14,0,14,0,0xe">
              <v:fill on="t" focussize="0,0"/>
              <v:stroke on="f"/>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C164E"/>
    <w:multiLevelType w:val="singleLevel"/>
    <w:tmpl w:val="852C164E"/>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96488839"/>
    <w:multiLevelType w:val="singleLevel"/>
    <w:tmpl w:val="96488839"/>
    <w:lvl w:ilvl="0" w:tentative="0">
      <w:start w:val="1"/>
      <w:numFmt w:val="decimal"/>
      <w:lvlText w:val="(%1)"/>
      <w:lvlJc w:val="left"/>
      <w:pPr>
        <w:ind w:left="425" w:hanging="425"/>
      </w:pPr>
      <w:rPr>
        <w:rFonts w:hint="default"/>
      </w:rPr>
    </w:lvl>
  </w:abstractNum>
  <w:abstractNum w:abstractNumId="3">
    <w:nsid w:val="A7FD779A"/>
    <w:multiLevelType w:val="singleLevel"/>
    <w:tmpl w:val="A7FD779A"/>
    <w:lvl w:ilvl="0" w:tentative="0">
      <w:start w:val="1"/>
      <w:numFmt w:val="decimalEnclosedCircleChinese"/>
      <w:suff w:val="nothing"/>
      <w:lvlText w:val="%1　"/>
      <w:lvlJc w:val="left"/>
      <w:pPr>
        <w:ind w:left="0" w:firstLine="400"/>
      </w:pPr>
      <w:rPr>
        <w:rFonts w:hint="eastAsia"/>
      </w:rPr>
    </w:lvl>
  </w:abstractNum>
  <w:abstractNum w:abstractNumId="4">
    <w:nsid w:val="AB9AC1A6"/>
    <w:multiLevelType w:val="singleLevel"/>
    <w:tmpl w:val="AB9AC1A6"/>
    <w:lvl w:ilvl="0" w:tentative="0">
      <w:start w:val="1"/>
      <w:numFmt w:val="decimal"/>
      <w:lvlText w:val="(%1)"/>
      <w:lvlJc w:val="left"/>
      <w:pPr>
        <w:ind w:left="425" w:hanging="425"/>
      </w:pPr>
      <w:rPr>
        <w:rFonts w:hint="default"/>
      </w:rPr>
    </w:lvl>
  </w:abstractNum>
  <w:abstractNum w:abstractNumId="5">
    <w:nsid w:val="AF02BB87"/>
    <w:multiLevelType w:val="singleLevel"/>
    <w:tmpl w:val="AF02BB87"/>
    <w:lvl w:ilvl="0" w:tentative="0">
      <w:start w:val="1"/>
      <w:numFmt w:val="decimalEnclosedCircleChinese"/>
      <w:suff w:val="nothing"/>
      <w:lvlText w:val="%1　"/>
      <w:lvlJc w:val="left"/>
      <w:pPr>
        <w:ind w:left="0" w:firstLine="400"/>
      </w:pPr>
      <w:rPr>
        <w:rFonts w:hint="eastAsia"/>
      </w:rPr>
    </w:lvl>
  </w:abstractNum>
  <w:abstractNum w:abstractNumId="6">
    <w:nsid w:val="BCBCB86F"/>
    <w:multiLevelType w:val="singleLevel"/>
    <w:tmpl w:val="BCBCB86F"/>
    <w:lvl w:ilvl="0" w:tentative="0">
      <w:start w:val="1"/>
      <w:numFmt w:val="decimalEnclosedCircleChinese"/>
      <w:suff w:val="nothing"/>
      <w:lvlText w:val="%1　"/>
      <w:lvlJc w:val="left"/>
      <w:pPr>
        <w:ind w:left="0" w:firstLine="400"/>
      </w:pPr>
      <w:rPr>
        <w:rFonts w:hint="eastAsia"/>
      </w:rPr>
    </w:lvl>
  </w:abstractNum>
  <w:abstractNum w:abstractNumId="7">
    <w:nsid w:val="C3712584"/>
    <w:multiLevelType w:val="singleLevel"/>
    <w:tmpl w:val="C3712584"/>
    <w:lvl w:ilvl="0" w:tentative="0">
      <w:start w:val="1"/>
      <w:numFmt w:val="decimal"/>
      <w:lvlText w:val="(%1)"/>
      <w:lvlJc w:val="left"/>
      <w:pPr>
        <w:ind w:left="425" w:hanging="425"/>
      </w:pPr>
      <w:rPr>
        <w:rFonts w:hint="default"/>
      </w:rPr>
    </w:lvl>
  </w:abstractNum>
  <w:abstractNum w:abstractNumId="8">
    <w:nsid w:val="C3A84987"/>
    <w:multiLevelType w:val="singleLevel"/>
    <w:tmpl w:val="C3A84987"/>
    <w:lvl w:ilvl="0" w:tentative="0">
      <w:start w:val="1"/>
      <w:numFmt w:val="decimal"/>
      <w:lvlText w:val="(%1)"/>
      <w:lvlJc w:val="left"/>
      <w:pPr>
        <w:ind w:left="425" w:hanging="425"/>
      </w:pPr>
      <w:rPr>
        <w:rFonts w:hint="default"/>
      </w:rPr>
    </w:lvl>
  </w:abstractNum>
  <w:abstractNum w:abstractNumId="9">
    <w:nsid w:val="E32467AE"/>
    <w:multiLevelType w:val="singleLevel"/>
    <w:tmpl w:val="E32467AE"/>
    <w:lvl w:ilvl="0" w:tentative="0">
      <w:start w:val="1"/>
      <w:numFmt w:val="decimal"/>
      <w:lvlText w:val="(%1)"/>
      <w:lvlJc w:val="left"/>
      <w:pPr>
        <w:ind w:left="425" w:hanging="425"/>
      </w:pPr>
      <w:rPr>
        <w:rFonts w:hint="default"/>
      </w:rPr>
    </w:lvl>
  </w:abstractNum>
  <w:abstractNum w:abstractNumId="10">
    <w:nsid w:val="E5BAB3E7"/>
    <w:multiLevelType w:val="singleLevel"/>
    <w:tmpl w:val="E5BAB3E7"/>
    <w:lvl w:ilvl="0" w:tentative="0">
      <w:start w:val="1"/>
      <w:numFmt w:val="decimal"/>
      <w:lvlText w:val="(%1)"/>
      <w:lvlJc w:val="left"/>
      <w:pPr>
        <w:ind w:left="425" w:hanging="425"/>
      </w:pPr>
      <w:rPr>
        <w:rFonts w:hint="default"/>
      </w:rPr>
    </w:lvl>
  </w:abstractNum>
  <w:abstractNum w:abstractNumId="11">
    <w:nsid w:val="EA292E68"/>
    <w:multiLevelType w:val="singleLevel"/>
    <w:tmpl w:val="EA292E68"/>
    <w:lvl w:ilvl="0" w:tentative="0">
      <w:start w:val="1"/>
      <w:numFmt w:val="decimal"/>
      <w:lvlText w:val="(%1)"/>
      <w:lvlJc w:val="left"/>
      <w:pPr>
        <w:ind w:left="425" w:hanging="425"/>
      </w:pPr>
      <w:rPr>
        <w:rFonts w:hint="default"/>
      </w:rPr>
    </w:lvl>
  </w:abstractNum>
  <w:abstractNum w:abstractNumId="12">
    <w:nsid w:val="F7D4A13F"/>
    <w:multiLevelType w:val="singleLevel"/>
    <w:tmpl w:val="F7D4A13F"/>
    <w:lvl w:ilvl="0" w:tentative="0">
      <w:start w:val="1"/>
      <w:numFmt w:val="decimal"/>
      <w:lvlText w:val="(%1)"/>
      <w:lvlJc w:val="left"/>
      <w:pPr>
        <w:ind w:left="425" w:hanging="425"/>
      </w:pPr>
      <w:rPr>
        <w:rFonts w:hint="default"/>
      </w:rPr>
    </w:lvl>
  </w:abstractNum>
  <w:abstractNum w:abstractNumId="13">
    <w:nsid w:val="069F7E99"/>
    <w:multiLevelType w:val="singleLevel"/>
    <w:tmpl w:val="069F7E99"/>
    <w:lvl w:ilvl="0" w:tentative="0">
      <w:start w:val="1"/>
      <w:numFmt w:val="decimal"/>
      <w:lvlText w:val="(%1)"/>
      <w:lvlJc w:val="left"/>
      <w:pPr>
        <w:ind w:left="425" w:hanging="425"/>
      </w:pPr>
      <w:rPr>
        <w:rFonts w:hint="default"/>
      </w:rPr>
    </w:lvl>
  </w:abstractNum>
  <w:abstractNum w:abstractNumId="14">
    <w:nsid w:val="0836B732"/>
    <w:multiLevelType w:val="singleLevel"/>
    <w:tmpl w:val="0836B732"/>
    <w:lvl w:ilvl="0" w:tentative="0">
      <w:start w:val="1"/>
      <w:numFmt w:val="decimal"/>
      <w:lvlText w:val="(%1)"/>
      <w:lvlJc w:val="left"/>
      <w:pPr>
        <w:ind w:left="425" w:hanging="425"/>
      </w:pPr>
      <w:rPr>
        <w:rFonts w:hint="default"/>
      </w:rPr>
    </w:lvl>
  </w:abstractNum>
  <w:abstractNum w:abstractNumId="15">
    <w:nsid w:val="227DBBE9"/>
    <w:multiLevelType w:val="singleLevel"/>
    <w:tmpl w:val="227DBBE9"/>
    <w:lvl w:ilvl="0" w:tentative="0">
      <w:start w:val="1"/>
      <w:numFmt w:val="decimal"/>
      <w:lvlText w:val="(%1)"/>
      <w:lvlJc w:val="left"/>
      <w:pPr>
        <w:ind w:left="425" w:hanging="425"/>
      </w:pPr>
      <w:rPr>
        <w:rFonts w:hint="default"/>
      </w:rPr>
    </w:lvl>
  </w:abstractNum>
  <w:abstractNum w:abstractNumId="16">
    <w:nsid w:val="40619590"/>
    <w:multiLevelType w:val="singleLevel"/>
    <w:tmpl w:val="40619590"/>
    <w:lvl w:ilvl="0" w:tentative="0">
      <w:start w:val="1"/>
      <w:numFmt w:val="decimal"/>
      <w:lvlText w:val="(%1)"/>
      <w:lvlJc w:val="left"/>
      <w:pPr>
        <w:ind w:left="425" w:hanging="425"/>
      </w:pPr>
      <w:rPr>
        <w:rFonts w:hint="default"/>
      </w:rPr>
    </w:lvl>
  </w:abstractNum>
  <w:abstractNum w:abstractNumId="17">
    <w:nsid w:val="52A89023"/>
    <w:multiLevelType w:val="singleLevel"/>
    <w:tmpl w:val="52A89023"/>
    <w:lvl w:ilvl="0" w:tentative="0">
      <w:start w:val="1"/>
      <w:numFmt w:val="decimal"/>
      <w:lvlText w:val="(%1)"/>
      <w:lvlJc w:val="left"/>
      <w:pPr>
        <w:ind w:left="425" w:hanging="425"/>
      </w:pPr>
      <w:rPr>
        <w:rFonts w:hint="default"/>
      </w:rPr>
    </w:lvl>
  </w:abstractNum>
  <w:abstractNum w:abstractNumId="18">
    <w:nsid w:val="56F54CE1"/>
    <w:multiLevelType w:val="singleLevel"/>
    <w:tmpl w:val="56F54CE1"/>
    <w:lvl w:ilvl="0" w:tentative="0">
      <w:start w:val="1"/>
      <w:numFmt w:val="decimal"/>
      <w:lvlText w:val="(%1)"/>
      <w:lvlJc w:val="left"/>
      <w:pPr>
        <w:ind w:left="425" w:hanging="425"/>
      </w:pPr>
      <w:rPr>
        <w:rFonts w:hint="default"/>
      </w:rPr>
    </w:lvl>
  </w:abstractNum>
  <w:abstractNum w:abstractNumId="19">
    <w:nsid w:val="5D8E8AE3"/>
    <w:multiLevelType w:val="singleLevel"/>
    <w:tmpl w:val="5D8E8AE3"/>
    <w:lvl w:ilvl="0" w:tentative="0">
      <w:start w:val="1"/>
      <w:numFmt w:val="decimal"/>
      <w:lvlText w:val="(%1)"/>
      <w:lvlJc w:val="left"/>
      <w:pPr>
        <w:ind w:left="425" w:hanging="425"/>
      </w:pPr>
      <w:rPr>
        <w:rFonts w:hint="default"/>
      </w:rPr>
    </w:lvl>
  </w:abstractNum>
  <w:abstractNum w:abstractNumId="20">
    <w:nsid w:val="66F25DA7"/>
    <w:multiLevelType w:val="singleLevel"/>
    <w:tmpl w:val="66F25DA7"/>
    <w:lvl w:ilvl="0" w:tentative="0">
      <w:start w:val="1"/>
      <w:numFmt w:val="decimal"/>
      <w:lvlText w:val="(%1)"/>
      <w:lvlJc w:val="left"/>
      <w:pPr>
        <w:ind w:left="425" w:hanging="425"/>
      </w:pPr>
      <w:rPr>
        <w:rFonts w:hint="default"/>
      </w:rPr>
    </w:lvl>
  </w:abstractNum>
  <w:num w:numId="1">
    <w:abstractNumId w:val="1"/>
  </w:num>
  <w:num w:numId="2">
    <w:abstractNumId w:val="16"/>
  </w:num>
  <w:num w:numId="3">
    <w:abstractNumId w:val="9"/>
  </w:num>
  <w:num w:numId="4">
    <w:abstractNumId w:val="17"/>
  </w:num>
  <w:num w:numId="5">
    <w:abstractNumId w:val="8"/>
  </w:num>
  <w:num w:numId="6">
    <w:abstractNumId w:val="0"/>
  </w:num>
  <w:num w:numId="7">
    <w:abstractNumId w:val="11"/>
  </w:num>
  <w:num w:numId="8">
    <w:abstractNumId w:val="10"/>
  </w:num>
  <w:num w:numId="9">
    <w:abstractNumId w:val="4"/>
  </w:num>
  <w:num w:numId="10">
    <w:abstractNumId w:val="6"/>
  </w:num>
  <w:num w:numId="11">
    <w:abstractNumId w:val="19"/>
  </w:num>
  <w:num w:numId="12">
    <w:abstractNumId w:val="13"/>
  </w:num>
  <w:num w:numId="13">
    <w:abstractNumId w:val="20"/>
  </w:num>
  <w:num w:numId="14">
    <w:abstractNumId w:val="15"/>
  </w:num>
  <w:num w:numId="15">
    <w:abstractNumId w:val="2"/>
  </w:num>
  <w:num w:numId="16">
    <w:abstractNumId w:val="3"/>
  </w:num>
  <w:num w:numId="17">
    <w:abstractNumId w:val="5"/>
  </w:num>
  <w:num w:numId="18">
    <w:abstractNumId w:val="14"/>
  </w:num>
  <w:num w:numId="19">
    <w:abstractNumId w:val="7"/>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B6D1F"/>
    <w:rsid w:val="00975D66"/>
    <w:rsid w:val="00C2346B"/>
    <w:rsid w:val="00E95ACD"/>
    <w:rsid w:val="01013CDC"/>
    <w:rsid w:val="01A95AA3"/>
    <w:rsid w:val="01B52CD2"/>
    <w:rsid w:val="01C04E49"/>
    <w:rsid w:val="01C1789B"/>
    <w:rsid w:val="01F97036"/>
    <w:rsid w:val="02071CFF"/>
    <w:rsid w:val="0241483D"/>
    <w:rsid w:val="024C2B81"/>
    <w:rsid w:val="025C1016"/>
    <w:rsid w:val="02736A74"/>
    <w:rsid w:val="02FD66B9"/>
    <w:rsid w:val="03031491"/>
    <w:rsid w:val="031E62CB"/>
    <w:rsid w:val="033E626C"/>
    <w:rsid w:val="039276DB"/>
    <w:rsid w:val="03C947C4"/>
    <w:rsid w:val="040D00EE"/>
    <w:rsid w:val="04180F6C"/>
    <w:rsid w:val="04294F58"/>
    <w:rsid w:val="043A35D9"/>
    <w:rsid w:val="045A344D"/>
    <w:rsid w:val="04A96068"/>
    <w:rsid w:val="04C133B2"/>
    <w:rsid w:val="050E6AE8"/>
    <w:rsid w:val="05600041"/>
    <w:rsid w:val="058B39C0"/>
    <w:rsid w:val="06B01930"/>
    <w:rsid w:val="06B328AD"/>
    <w:rsid w:val="07133C6D"/>
    <w:rsid w:val="07724E37"/>
    <w:rsid w:val="080C5602"/>
    <w:rsid w:val="08460D9C"/>
    <w:rsid w:val="084E1401"/>
    <w:rsid w:val="089D5EE4"/>
    <w:rsid w:val="08AE04A4"/>
    <w:rsid w:val="09842C00"/>
    <w:rsid w:val="09B75AF6"/>
    <w:rsid w:val="09C42634"/>
    <w:rsid w:val="09EF451D"/>
    <w:rsid w:val="0A326B00"/>
    <w:rsid w:val="0A421857"/>
    <w:rsid w:val="0AC67734"/>
    <w:rsid w:val="0B065FC2"/>
    <w:rsid w:val="0B0E131B"/>
    <w:rsid w:val="0B0F299D"/>
    <w:rsid w:val="0B220922"/>
    <w:rsid w:val="0B9C575C"/>
    <w:rsid w:val="0BB754CD"/>
    <w:rsid w:val="0BB96364"/>
    <w:rsid w:val="0BBC6FA9"/>
    <w:rsid w:val="0BFE313E"/>
    <w:rsid w:val="0C1666D9"/>
    <w:rsid w:val="0C27678D"/>
    <w:rsid w:val="0C2A3F33"/>
    <w:rsid w:val="0C423591"/>
    <w:rsid w:val="0C4C382C"/>
    <w:rsid w:val="0C7C4062"/>
    <w:rsid w:val="0C976C2D"/>
    <w:rsid w:val="0C9C64B3"/>
    <w:rsid w:val="0CA42D96"/>
    <w:rsid w:val="0CF8610F"/>
    <w:rsid w:val="0D0D4D4C"/>
    <w:rsid w:val="0D466B4A"/>
    <w:rsid w:val="0D7C6A10"/>
    <w:rsid w:val="0D9C21C9"/>
    <w:rsid w:val="0DFE5677"/>
    <w:rsid w:val="0E236A3E"/>
    <w:rsid w:val="0E2449B2"/>
    <w:rsid w:val="0E2F75DE"/>
    <w:rsid w:val="0E6574A4"/>
    <w:rsid w:val="0EA24254"/>
    <w:rsid w:val="0EA87391"/>
    <w:rsid w:val="0EC04B60"/>
    <w:rsid w:val="0EE03857"/>
    <w:rsid w:val="0F0071D6"/>
    <w:rsid w:val="0F1C1554"/>
    <w:rsid w:val="0F587009"/>
    <w:rsid w:val="0F9706E1"/>
    <w:rsid w:val="0FC91CB4"/>
    <w:rsid w:val="0FDE1AE9"/>
    <w:rsid w:val="101F557B"/>
    <w:rsid w:val="103E7FAD"/>
    <w:rsid w:val="10572E1C"/>
    <w:rsid w:val="10974C0A"/>
    <w:rsid w:val="11965BC6"/>
    <w:rsid w:val="11F528ED"/>
    <w:rsid w:val="12110637"/>
    <w:rsid w:val="121D0BF1"/>
    <w:rsid w:val="1243726D"/>
    <w:rsid w:val="12463148"/>
    <w:rsid w:val="134E49AB"/>
    <w:rsid w:val="13755966"/>
    <w:rsid w:val="138E05BB"/>
    <w:rsid w:val="13B30CB1"/>
    <w:rsid w:val="13B660AC"/>
    <w:rsid w:val="13BD38DE"/>
    <w:rsid w:val="13F86586"/>
    <w:rsid w:val="14045069"/>
    <w:rsid w:val="144E4536"/>
    <w:rsid w:val="147A532B"/>
    <w:rsid w:val="14996A51"/>
    <w:rsid w:val="153E61F1"/>
    <w:rsid w:val="15C0622B"/>
    <w:rsid w:val="15D83EBA"/>
    <w:rsid w:val="15E433A4"/>
    <w:rsid w:val="15F30367"/>
    <w:rsid w:val="163548CE"/>
    <w:rsid w:val="16612C47"/>
    <w:rsid w:val="16CD4493"/>
    <w:rsid w:val="16FC296F"/>
    <w:rsid w:val="17143815"/>
    <w:rsid w:val="17BE6574"/>
    <w:rsid w:val="180C0000"/>
    <w:rsid w:val="18196493"/>
    <w:rsid w:val="18E71B8F"/>
    <w:rsid w:val="19866520"/>
    <w:rsid w:val="199315E5"/>
    <w:rsid w:val="19946E8F"/>
    <w:rsid w:val="199E042C"/>
    <w:rsid w:val="19F47F2F"/>
    <w:rsid w:val="1A7F5449"/>
    <w:rsid w:val="1AAC31E9"/>
    <w:rsid w:val="1AB01AA7"/>
    <w:rsid w:val="1AC437A4"/>
    <w:rsid w:val="1B7E1BA5"/>
    <w:rsid w:val="1B882A24"/>
    <w:rsid w:val="1B8F790E"/>
    <w:rsid w:val="1BB43819"/>
    <w:rsid w:val="1C085913"/>
    <w:rsid w:val="1C3F7586"/>
    <w:rsid w:val="1C5A616E"/>
    <w:rsid w:val="1C9D605B"/>
    <w:rsid w:val="1CBF76DB"/>
    <w:rsid w:val="1CF96B9F"/>
    <w:rsid w:val="1D6131F2"/>
    <w:rsid w:val="1DB00010"/>
    <w:rsid w:val="1E0068A1"/>
    <w:rsid w:val="1E1467F1"/>
    <w:rsid w:val="1E3232E1"/>
    <w:rsid w:val="1E3B3D7D"/>
    <w:rsid w:val="1E845724"/>
    <w:rsid w:val="1EC41FC5"/>
    <w:rsid w:val="1F153A5D"/>
    <w:rsid w:val="1F3F164B"/>
    <w:rsid w:val="1F4712C6"/>
    <w:rsid w:val="1F9C6A9E"/>
    <w:rsid w:val="1FC53C27"/>
    <w:rsid w:val="200C65DB"/>
    <w:rsid w:val="203C5B8B"/>
    <w:rsid w:val="205E3D53"/>
    <w:rsid w:val="20B00A53"/>
    <w:rsid w:val="21115269"/>
    <w:rsid w:val="213351E0"/>
    <w:rsid w:val="216D06F2"/>
    <w:rsid w:val="217B78A2"/>
    <w:rsid w:val="21F9443D"/>
    <w:rsid w:val="22630065"/>
    <w:rsid w:val="229D5007"/>
    <w:rsid w:val="22CD6F6E"/>
    <w:rsid w:val="23AB5501"/>
    <w:rsid w:val="23C210A7"/>
    <w:rsid w:val="23C465C3"/>
    <w:rsid w:val="23D42CAA"/>
    <w:rsid w:val="24220FD6"/>
    <w:rsid w:val="24337556"/>
    <w:rsid w:val="24612064"/>
    <w:rsid w:val="247753E3"/>
    <w:rsid w:val="24F0352B"/>
    <w:rsid w:val="24FD0A68"/>
    <w:rsid w:val="252709A9"/>
    <w:rsid w:val="2540611D"/>
    <w:rsid w:val="255B3C04"/>
    <w:rsid w:val="25755DC7"/>
    <w:rsid w:val="258F13C6"/>
    <w:rsid w:val="25A20B86"/>
    <w:rsid w:val="263A1638"/>
    <w:rsid w:val="26557F83"/>
    <w:rsid w:val="26CD1C32"/>
    <w:rsid w:val="26D93BDE"/>
    <w:rsid w:val="26EF3957"/>
    <w:rsid w:val="27083E74"/>
    <w:rsid w:val="272B4E59"/>
    <w:rsid w:val="27821E79"/>
    <w:rsid w:val="279A1B15"/>
    <w:rsid w:val="27A94A4F"/>
    <w:rsid w:val="281D5BB3"/>
    <w:rsid w:val="286916DB"/>
    <w:rsid w:val="28BC5ABB"/>
    <w:rsid w:val="28CF1C92"/>
    <w:rsid w:val="2A2B114A"/>
    <w:rsid w:val="2A585CB7"/>
    <w:rsid w:val="2A977947"/>
    <w:rsid w:val="2AF7727E"/>
    <w:rsid w:val="2B1716CE"/>
    <w:rsid w:val="2B1971F4"/>
    <w:rsid w:val="2B7D7783"/>
    <w:rsid w:val="2BDE2AE3"/>
    <w:rsid w:val="2BEC2B5B"/>
    <w:rsid w:val="2BED60B9"/>
    <w:rsid w:val="2CB764FD"/>
    <w:rsid w:val="2CC41594"/>
    <w:rsid w:val="2CDC08C3"/>
    <w:rsid w:val="2D0068BE"/>
    <w:rsid w:val="2D690E85"/>
    <w:rsid w:val="2E185D1A"/>
    <w:rsid w:val="2E53092E"/>
    <w:rsid w:val="2E6E5AA9"/>
    <w:rsid w:val="2EAE5EA6"/>
    <w:rsid w:val="2ED718A0"/>
    <w:rsid w:val="2F1877C3"/>
    <w:rsid w:val="2F25260C"/>
    <w:rsid w:val="2F642A08"/>
    <w:rsid w:val="2F860BD0"/>
    <w:rsid w:val="2FA03FC4"/>
    <w:rsid w:val="2FC20FDD"/>
    <w:rsid w:val="2FEB500C"/>
    <w:rsid w:val="2FF26EB3"/>
    <w:rsid w:val="301461DC"/>
    <w:rsid w:val="30A752A2"/>
    <w:rsid w:val="30BB2AFC"/>
    <w:rsid w:val="30C03516"/>
    <w:rsid w:val="30D37E45"/>
    <w:rsid w:val="30EA516E"/>
    <w:rsid w:val="30EC2809"/>
    <w:rsid w:val="313E5C07"/>
    <w:rsid w:val="31682C84"/>
    <w:rsid w:val="316F1ECF"/>
    <w:rsid w:val="31717D8A"/>
    <w:rsid w:val="31A87524"/>
    <w:rsid w:val="31E247E4"/>
    <w:rsid w:val="31F44517"/>
    <w:rsid w:val="324E00CB"/>
    <w:rsid w:val="32546D64"/>
    <w:rsid w:val="32891103"/>
    <w:rsid w:val="32B92D00"/>
    <w:rsid w:val="32E97DF4"/>
    <w:rsid w:val="32FB3AD4"/>
    <w:rsid w:val="339B5C84"/>
    <w:rsid w:val="33E505BB"/>
    <w:rsid w:val="33F20F2A"/>
    <w:rsid w:val="33F7209D"/>
    <w:rsid w:val="342403A8"/>
    <w:rsid w:val="343F1167"/>
    <w:rsid w:val="346314E0"/>
    <w:rsid w:val="34A2025B"/>
    <w:rsid w:val="34BE4682"/>
    <w:rsid w:val="34BF0E0C"/>
    <w:rsid w:val="351729F7"/>
    <w:rsid w:val="3566572C"/>
    <w:rsid w:val="35B9585C"/>
    <w:rsid w:val="35EF6EE4"/>
    <w:rsid w:val="35F65032"/>
    <w:rsid w:val="361B6516"/>
    <w:rsid w:val="362545F8"/>
    <w:rsid w:val="366652B8"/>
    <w:rsid w:val="366F6FA4"/>
    <w:rsid w:val="3727713D"/>
    <w:rsid w:val="37373505"/>
    <w:rsid w:val="37503F9E"/>
    <w:rsid w:val="37D050DF"/>
    <w:rsid w:val="38041359"/>
    <w:rsid w:val="38543F62"/>
    <w:rsid w:val="386D0B7F"/>
    <w:rsid w:val="387168C2"/>
    <w:rsid w:val="38832151"/>
    <w:rsid w:val="38D95A26"/>
    <w:rsid w:val="38F512A1"/>
    <w:rsid w:val="39033292"/>
    <w:rsid w:val="394C07AA"/>
    <w:rsid w:val="395111E8"/>
    <w:rsid w:val="39693679"/>
    <w:rsid w:val="39810D86"/>
    <w:rsid w:val="399D1DD6"/>
    <w:rsid w:val="39C742BF"/>
    <w:rsid w:val="39EB4452"/>
    <w:rsid w:val="3A1439A9"/>
    <w:rsid w:val="3A575643"/>
    <w:rsid w:val="3A59015E"/>
    <w:rsid w:val="3A9126BD"/>
    <w:rsid w:val="3B337E5E"/>
    <w:rsid w:val="3BE15B0C"/>
    <w:rsid w:val="3BF257CA"/>
    <w:rsid w:val="3C127E96"/>
    <w:rsid w:val="3C5E0B3E"/>
    <w:rsid w:val="3C666012"/>
    <w:rsid w:val="3C7200EF"/>
    <w:rsid w:val="3D2739F3"/>
    <w:rsid w:val="3D483969"/>
    <w:rsid w:val="3D5F13DF"/>
    <w:rsid w:val="3DA54918"/>
    <w:rsid w:val="3DD63C16"/>
    <w:rsid w:val="3DDA05E5"/>
    <w:rsid w:val="3DF53AF1"/>
    <w:rsid w:val="3ECF60F0"/>
    <w:rsid w:val="3EF677E2"/>
    <w:rsid w:val="3F5150F2"/>
    <w:rsid w:val="3F626F64"/>
    <w:rsid w:val="3F7D78FA"/>
    <w:rsid w:val="3F95733A"/>
    <w:rsid w:val="3FA255B3"/>
    <w:rsid w:val="3FFD4EDF"/>
    <w:rsid w:val="40185875"/>
    <w:rsid w:val="40503261"/>
    <w:rsid w:val="40A67324"/>
    <w:rsid w:val="40AA687D"/>
    <w:rsid w:val="40E439A9"/>
    <w:rsid w:val="41163267"/>
    <w:rsid w:val="411E7700"/>
    <w:rsid w:val="41B45A71"/>
    <w:rsid w:val="41CB242A"/>
    <w:rsid w:val="42CC3B2C"/>
    <w:rsid w:val="42DC702D"/>
    <w:rsid w:val="42E67071"/>
    <w:rsid w:val="432E715D"/>
    <w:rsid w:val="43374264"/>
    <w:rsid w:val="43805C0B"/>
    <w:rsid w:val="438D1DAF"/>
    <w:rsid w:val="43DE6DD5"/>
    <w:rsid w:val="44406DAA"/>
    <w:rsid w:val="444C2BC0"/>
    <w:rsid w:val="44CB735A"/>
    <w:rsid w:val="44D677B2"/>
    <w:rsid w:val="45264590"/>
    <w:rsid w:val="45623D63"/>
    <w:rsid w:val="45996EB8"/>
    <w:rsid w:val="461245A8"/>
    <w:rsid w:val="461E795D"/>
    <w:rsid w:val="462E5E6E"/>
    <w:rsid w:val="464E6A92"/>
    <w:rsid w:val="46767799"/>
    <w:rsid w:val="46C73B51"/>
    <w:rsid w:val="46DD5122"/>
    <w:rsid w:val="46F57C53"/>
    <w:rsid w:val="47643C7B"/>
    <w:rsid w:val="482F5E51"/>
    <w:rsid w:val="48455675"/>
    <w:rsid w:val="486874D5"/>
    <w:rsid w:val="48743864"/>
    <w:rsid w:val="48A56114"/>
    <w:rsid w:val="48FE5479"/>
    <w:rsid w:val="492E435B"/>
    <w:rsid w:val="49764365"/>
    <w:rsid w:val="49CC0FB2"/>
    <w:rsid w:val="49E95DD2"/>
    <w:rsid w:val="49F92273"/>
    <w:rsid w:val="4A8633B5"/>
    <w:rsid w:val="4B35552D"/>
    <w:rsid w:val="4B375749"/>
    <w:rsid w:val="4B761187"/>
    <w:rsid w:val="4B7F5343"/>
    <w:rsid w:val="4B906C07"/>
    <w:rsid w:val="4BE33F9B"/>
    <w:rsid w:val="4C123AC0"/>
    <w:rsid w:val="4C2D3C9F"/>
    <w:rsid w:val="4C8A2770"/>
    <w:rsid w:val="4CE64AC4"/>
    <w:rsid w:val="4CF3569F"/>
    <w:rsid w:val="4CF51418"/>
    <w:rsid w:val="4CF669CB"/>
    <w:rsid w:val="4D2E492A"/>
    <w:rsid w:val="4DB52955"/>
    <w:rsid w:val="4DCE3305"/>
    <w:rsid w:val="4E0F6509"/>
    <w:rsid w:val="4E141B5F"/>
    <w:rsid w:val="4E320449"/>
    <w:rsid w:val="4EC56BC8"/>
    <w:rsid w:val="4ECC43FA"/>
    <w:rsid w:val="4EFB6A8D"/>
    <w:rsid w:val="4F8545A9"/>
    <w:rsid w:val="4FD77DC0"/>
    <w:rsid w:val="4FDD63B1"/>
    <w:rsid w:val="50396934"/>
    <w:rsid w:val="5060304C"/>
    <w:rsid w:val="506D5769"/>
    <w:rsid w:val="50E0152B"/>
    <w:rsid w:val="51786173"/>
    <w:rsid w:val="5181771E"/>
    <w:rsid w:val="51A46042"/>
    <w:rsid w:val="51D0115E"/>
    <w:rsid w:val="52302970"/>
    <w:rsid w:val="52595FA5"/>
    <w:rsid w:val="52DF0F1F"/>
    <w:rsid w:val="52FC24BF"/>
    <w:rsid w:val="53051C89"/>
    <w:rsid w:val="53B13BBE"/>
    <w:rsid w:val="54334068"/>
    <w:rsid w:val="543842E0"/>
    <w:rsid w:val="546463D8"/>
    <w:rsid w:val="54C73B0D"/>
    <w:rsid w:val="54CB6F02"/>
    <w:rsid w:val="54D758A7"/>
    <w:rsid w:val="559D0A05"/>
    <w:rsid w:val="55A3573C"/>
    <w:rsid w:val="55CA674D"/>
    <w:rsid w:val="55DD513F"/>
    <w:rsid w:val="55EA0003"/>
    <w:rsid w:val="56204B57"/>
    <w:rsid w:val="562543F0"/>
    <w:rsid w:val="56B37C4E"/>
    <w:rsid w:val="570E0518"/>
    <w:rsid w:val="578B0416"/>
    <w:rsid w:val="57F95B34"/>
    <w:rsid w:val="58207565"/>
    <w:rsid w:val="590A14DD"/>
    <w:rsid w:val="594B7688"/>
    <w:rsid w:val="59894B9F"/>
    <w:rsid w:val="59C3464B"/>
    <w:rsid w:val="59C4289D"/>
    <w:rsid w:val="59CF35C4"/>
    <w:rsid w:val="5A3442E8"/>
    <w:rsid w:val="5A655FE2"/>
    <w:rsid w:val="5A74483E"/>
    <w:rsid w:val="5AA61FA3"/>
    <w:rsid w:val="5AE96334"/>
    <w:rsid w:val="5AFC6067"/>
    <w:rsid w:val="5AFC7E15"/>
    <w:rsid w:val="5B3A2716"/>
    <w:rsid w:val="5B832808"/>
    <w:rsid w:val="5B9A6F48"/>
    <w:rsid w:val="5BEA3E7B"/>
    <w:rsid w:val="5C7210C9"/>
    <w:rsid w:val="5CF402CC"/>
    <w:rsid w:val="5D691C96"/>
    <w:rsid w:val="5D9C3D56"/>
    <w:rsid w:val="5DAB2539"/>
    <w:rsid w:val="5DB1138B"/>
    <w:rsid w:val="5DC170F4"/>
    <w:rsid w:val="5E6A32E8"/>
    <w:rsid w:val="5F553840"/>
    <w:rsid w:val="5F874378"/>
    <w:rsid w:val="5F922AF6"/>
    <w:rsid w:val="5F9A4E71"/>
    <w:rsid w:val="5FA52946"/>
    <w:rsid w:val="5FB32A6C"/>
    <w:rsid w:val="5FCA4645"/>
    <w:rsid w:val="5FCA6734"/>
    <w:rsid w:val="5FFA037E"/>
    <w:rsid w:val="6085265B"/>
    <w:rsid w:val="61375910"/>
    <w:rsid w:val="61457E1B"/>
    <w:rsid w:val="6166423A"/>
    <w:rsid w:val="61B70C1F"/>
    <w:rsid w:val="61BA27D8"/>
    <w:rsid w:val="61CA2A1B"/>
    <w:rsid w:val="61CB0541"/>
    <w:rsid w:val="628506F0"/>
    <w:rsid w:val="62C51434"/>
    <w:rsid w:val="62D6504E"/>
    <w:rsid w:val="62F728DD"/>
    <w:rsid w:val="62FB4E56"/>
    <w:rsid w:val="63557541"/>
    <w:rsid w:val="63974B7F"/>
    <w:rsid w:val="63B7355E"/>
    <w:rsid w:val="63DC4C88"/>
    <w:rsid w:val="63EA57DA"/>
    <w:rsid w:val="64031FD2"/>
    <w:rsid w:val="64065150"/>
    <w:rsid w:val="64151F48"/>
    <w:rsid w:val="64161DA3"/>
    <w:rsid w:val="644F0FB6"/>
    <w:rsid w:val="649D35AC"/>
    <w:rsid w:val="64A4784A"/>
    <w:rsid w:val="64BB489D"/>
    <w:rsid w:val="64CF659A"/>
    <w:rsid w:val="64D771FD"/>
    <w:rsid w:val="64EF4F26"/>
    <w:rsid w:val="64F46001"/>
    <w:rsid w:val="65A65A24"/>
    <w:rsid w:val="65DA0D53"/>
    <w:rsid w:val="65F75DA9"/>
    <w:rsid w:val="66017845"/>
    <w:rsid w:val="66044022"/>
    <w:rsid w:val="663743F7"/>
    <w:rsid w:val="66680C67"/>
    <w:rsid w:val="668533B4"/>
    <w:rsid w:val="66E85FF5"/>
    <w:rsid w:val="670378F6"/>
    <w:rsid w:val="671D6C79"/>
    <w:rsid w:val="67803B7C"/>
    <w:rsid w:val="67966EFB"/>
    <w:rsid w:val="67C577E1"/>
    <w:rsid w:val="67DF08A2"/>
    <w:rsid w:val="68224C33"/>
    <w:rsid w:val="68684D3A"/>
    <w:rsid w:val="6885769C"/>
    <w:rsid w:val="688650A3"/>
    <w:rsid w:val="68CF26D3"/>
    <w:rsid w:val="68EC0BDC"/>
    <w:rsid w:val="69554FCC"/>
    <w:rsid w:val="696574CD"/>
    <w:rsid w:val="6A273964"/>
    <w:rsid w:val="6A2D7FEB"/>
    <w:rsid w:val="6A794FDE"/>
    <w:rsid w:val="6A8E035E"/>
    <w:rsid w:val="6AA61B4B"/>
    <w:rsid w:val="6B252A70"/>
    <w:rsid w:val="6B5B4159"/>
    <w:rsid w:val="6BC14A92"/>
    <w:rsid w:val="6C077E75"/>
    <w:rsid w:val="6C1C0317"/>
    <w:rsid w:val="6CA1081C"/>
    <w:rsid w:val="6CAB3449"/>
    <w:rsid w:val="6CBF6EF4"/>
    <w:rsid w:val="6CFB08C4"/>
    <w:rsid w:val="6D317DF2"/>
    <w:rsid w:val="6D4573FA"/>
    <w:rsid w:val="6DDB5FB0"/>
    <w:rsid w:val="6DFA1AA7"/>
    <w:rsid w:val="6E4C0C5C"/>
    <w:rsid w:val="6E9F2B3A"/>
    <w:rsid w:val="6EC627BC"/>
    <w:rsid w:val="6ED76777"/>
    <w:rsid w:val="6F35524C"/>
    <w:rsid w:val="6F3E6B90"/>
    <w:rsid w:val="6F8B07EA"/>
    <w:rsid w:val="6FC54822"/>
    <w:rsid w:val="70027824"/>
    <w:rsid w:val="705D1091"/>
    <w:rsid w:val="705D2F4A"/>
    <w:rsid w:val="70622071"/>
    <w:rsid w:val="710B6BAC"/>
    <w:rsid w:val="71662034"/>
    <w:rsid w:val="71D13952"/>
    <w:rsid w:val="72141A90"/>
    <w:rsid w:val="72233A82"/>
    <w:rsid w:val="7238577F"/>
    <w:rsid w:val="728A45F4"/>
    <w:rsid w:val="728C1627"/>
    <w:rsid w:val="72C94629"/>
    <w:rsid w:val="72F01BB6"/>
    <w:rsid w:val="72FC1311"/>
    <w:rsid w:val="73274B12"/>
    <w:rsid w:val="73724CC1"/>
    <w:rsid w:val="73801F1C"/>
    <w:rsid w:val="7386076C"/>
    <w:rsid w:val="73E536E4"/>
    <w:rsid w:val="73E641AE"/>
    <w:rsid w:val="74B03CF2"/>
    <w:rsid w:val="74C925A6"/>
    <w:rsid w:val="75197A63"/>
    <w:rsid w:val="75701C77"/>
    <w:rsid w:val="759C7DD3"/>
    <w:rsid w:val="75B07D22"/>
    <w:rsid w:val="75EB2B08"/>
    <w:rsid w:val="75FD6934"/>
    <w:rsid w:val="76DE7412"/>
    <w:rsid w:val="76FF686B"/>
    <w:rsid w:val="775557EE"/>
    <w:rsid w:val="77994137"/>
    <w:rsid w:val="77E141C3"/>
    <w:rsid w:val="780D28D6"/>
    <w:rsid w:val="7822050D"/>
    <w:rsid w:val="78896E24"/>
    <w:rsid w:val="78CC3CF7"/>
    <w:rsid w:val="78D76B8F"/>
    <w:rsid w:val="78DB6E64"/>
    <w:rsid w:val="79102FB2"/>
    <w:rsid w:val="79C43D9C"/>
    <w:rsid w:val="7A097A01"/>
    <w:rsid w:val="7A342CD0"/>
    <w:rsid w:val="7A817EAD"/>
    <w:rsid w:val="7AB756AF"/>
    <w:rsid w:val="7ADE6B49"/>
    <w:rsid w:val="7B072192"/>
    <w:rsid w:val="7B0A41E6"/>
    <w:rsid w:val="7B2C7E4B"/>
    <w:rsid w:val="7B767318"/>
    <w:rsid w:val="7BA06143"/>
    <w:rsid w:val="7BCC6F38"/>
    <w:rsid w:val="7BE10C35"/>
    <w:rsid w:val="7BE35A96"/>
    <w:rsid w:val="7C240B22"/>
    <w:rsid w:val="7C297A9E"/>
    <w:rsid w:val="7C2D3E7B"/>
    <w:rsid w:val="7C484810"/>
    <w:rsid w:val="7C661E25"/>
    <w:rsid w:val="7CA413CC"/>
    <w:rsid w:val="7CA57EB5"/>
    <w:rsid w:val="7CEE5DFF"/>
    <w:rsid w:val="7CFF06D7"/>
    <w:rsid w:val="7D0A41BC"/>
    <w:rsid w:val="7D504147"/>
    <w:rsid w:val="7D5E522E"/>
    <w:rsid w:val="7D692C90"/>
    <w:rsid w:val="7E3F7E95"/>
    <w:rsid w:val="7E7E6C0F"/>
    <w:rsid w:val="7F3F6373"/>
    <w:rsid w:val="7F477001"/>
    <w:rsid w:val="7F780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4662</Words>
  <Characters>4752</Characters>
  <Lines>0</Lines>
  <Paragraphs>0</Paragraphs>
  <TotalTime>18</TotalTime>
  <ScaleCrop>false</ScaleCrop>
  <LinksUpToDate>false</LinksUpToDate>
  <CharactersWithSpaces>4770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2025-09-11T13:15:47Z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