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-10</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容量管理制度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7F102365">
      <w:pPr>
        <w:pStyle w:val="29"/>
        <w:bidi w:val="0"/>
      </w:pPr>
      <w:r>
        <w:rPr>
          <w:rFonts w:hint="eastAsia"/>
          <w:lang w:val="en-US" w:eastAsia="zh-CN"/>
        </w:rPr>
        <w:t>为</w:t>
      </w:r>
      <w:r>
        <w:t>确保维护服务过程的涉及到的处理、存储和网络以最经济和及时的方式与发展中的业务需求相匹配，特制定此</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CFC599E">
      <w:pPr>
        <w:pStyle w:val="29"/>
        <w:numPr>
          <w:ilvl w:val="0"/>
          <w:numId w:val="2"/>
        </w:numPr>
        <w:ind w:left="425" w:leftChars="0" w:hanging="425" w:firstLineChars="0"/>
        <w:rPr>
          <w:rFonts w:hint="eastAsia"/>
          <w:lang w:val="en-US" w:eastAsia="zh-CN"/>
        </w:rPr>
      </w:pPr>
      <w:r>
        <w:rPr>
          <w:rFonts w:hint="eastAsia"/>
          <w:lang w:val="en-US" w:eastAsia="zh-CN"/>
        </w:rPr>
        <w:t>业务导向：所有规划围绕业务需求和用户体验展开。</w:t>
      </w:r>
    </w:p>
    <w:p w14:paraId="7358F6FA">
      <w:pPr>
        <w:pStyle w:val="29"/>
        <w:numPr>
          <w:ilvl w:val="0"/>
          <w:numId w:val="2"/>
        </w:numPr>
        <w:ind w:left="425" w:leftChars="0" w:hanging="425" w:firstLineChars="0"/>
        <w:rPr>
          <w:rFonts w:hint="eastAsia"/>
          <w:lang w:val="en-US" w:eastAsia="zh-CN"/>
        </w:rPr>
      </w:pPr>
      <w:r>
        <w:rPr>
          <w:rFonts w:hint="eastAsia"/>
          <w:lang w:val="en-US" w:eastAsia="zh-CN"/>
        </w:rPr>
        <w:t>主动预防：提前预测风险并扩容，而非事后补救。</w:t>
      </w:r>
    </w:p>
    <w:p w14:paraId="088BAC17">
      <w:pPr>
        <w:pStyle w:val="29"/>
        <w:numPr>
          <w:ilvl w:val="0"/>
          <w:numId w:val="2"/>
        </w:numPr>
        <w:ind w:left="425" w:leftChars="0" w:hanging="425" w:firstLineChars="0"/>
        <w:rPr>
          <w:rFonts w:hint="eastAsia"/>
          <w:lang w:val="en-US" w:eastAsia="zh-CN"/>
        </w:rPr>
      </w:pPr>
      <w:r>
        <w:rPr>
          <w:rFonts w:hint="eastAsia"/>
          <w:lang w:val="en-US" w:eastAsia="zh-CN"/>
        </w:rPr>
        <w:t>数据驱动：依据监控数据做决策，而非凭感觉。</w:t>
      </w:r>
    </w:p>
    <w:p w14:paraId="5F473E0A">
      <w:pPr>
        <w:pStyle w:val="29"/>
        <w:numPr>
          <w:ilvl w:val="0"/>
          <w:numId w:val="2"/>
        </w:numPr>
        <w:ind w:left="425" w:leftChars="0" w:hanging="425" w:firstLineChars="0"/>
        <w:rPr>
          <w:rFonts w:hint="eastAsia"/>
          <w:lang w:val="en-US" w:eastAsia="zh-CN"/>
        </w:rPr>
      </w:pPr>
      <w:r>
        <w:rPr>
          <w:rFonts w:hint="eastAsia"/>
          <w:lang w:val="en-US" w:eastAsia="zh-CN"/>
        </w:rPr>
        <w:t>成本优化：在保障性能的前提下，追求资源最高性价比。</w:t>
      </w:r>
    </w:p>
    <w:p w14:paraId="4BB3B1E9">
      <w:pPr>
        <w:pStyle w:val="29"/>
        <w:numPr>
          <w:ilvl w:val="0"/>
          <w:numId w:val="2"/>
        </w:numPr>
        <w:ind w:left="425" w:leftChars="0" w:hanging="425" w:firstLineChars="0"/>
        <w:rPr>
          <w:rFonts w:hint="eastAsia"/>
          <w:lang w:val="en-US" w:eastAsia="zh-CN"/>
        </w:rPr>
      </w:pPr>
      <w:r>
        <w:rPr>
          <w:rFonts w:hint="eastAsia"/>
          <w:lang w:val="en-US" w:eastAsia="zh-CN"/>
        </w:rPr>
        <w:t>闭环管理：持续监控、评估和调整，形成改进循环。</w:t>
      </w:r>
    </w:p>
    <w:p w14:paraId="6BD52D84">
      <w:pPr>
        <w:pStyle w:val="28"/>
        <w:bidi w:val="0"/>
      </w:pPr>
      <w:bookmarkStart w:id="3" w:name="_Toc17591"/>
      <w:r>
        <w:rPr>
          <w:rFonts w:hint="eastAsia"/>
          <w:lang w:val="en-US" w:eastAsia="zh-CN"/>
        </w:rPr>
        <w:t>适用</w:t>
      </w:r>
      <w:r>
        <w:t>范围</w:t>
      </w:r>
      <w:bookmarkEnd w:id="3"/>
    </w:p>
    <w:p w14:paraId="52CE3788">
      <w:pPr>
        <w:pStyle w:val="29"/>
        <w:bidi w:val="0"/>
      </w:pPr>
      <w:r>
        <w:t>用于公司通过对维护服务过程及信息安全管理体系涉及的容量的规划、改进和管理，提供满足容量需求的维护服务活动。</w:t>
      </w:r>
    </w:p>
    <w:p w14:paraId="72F6781A">
      <w:pPr>
        <w:pStyle w:val="28"/>
        <w:bidi w:val="0"/>
        <w:rPr>
          <w:rFonts w:hint="eastAsia"/>
          <w:lang w:val="en-US" w:eastAsia="zh-CN"/>
        </w:rPr>
      </w:pPr>
      <w:r>
        <w:rPr>
          <w:rFonts w:hint="eastAsia"/>
          <w:lang w:val="en-US" w:eastAsia="zh-CN"/>
        </w:rPr>
        <w:t>岗位职责</w:t>
      </w:r>
    </w:p>
    <w:p w14:paraId="254C0F96">
      <w:pPr>
        <w:pStyle w:val="30"/>
        <w:bidi w:val="0"/>
        <w:rPr>
          <w:rFonts w:hint="default"/>
          <w:lang w:val="en-US" w:eastAsia="zh-CN"/>
        </w:rPr>
      </w:pPr>
      <w:r>
        <w:rPr>
          <w:rFonts w:hint="eastAsia"/>
          <w:lang w:val="en-US" w:eastAsia="zh-CN"/>
        </w:rPr>
        <w:t>运维部</w:t>
      </w:r>
    </w:p>
    <w:p w14:paraId="459A4BE9">
      <w:pPr>
        <w:pStyle w:val="39"/>
        <w:numPr>
          <w:ilvl w:val="0"/>
          <w:numId w:val="3"/>
        </w:numPr>
        <w:bidi w:val="0"/>
        <w:ind w:left="425" w:leftChars="0" w:hanging="425" w:firstLineChars="0"/>
      </w:pPr>
      <w:r>
        <w:t>负责从技术层面对项目容量</w:t>
      </w:r>
      <w:r>
        <w:rPr>
          <w:rFonts w:hint="eastAsia"/>
          <w:lang w:val="en-US" w:eastAsia="zh-CN"/>
        </w:rPr>
        <w:t>管理</w:t>
      </w:r>
      <w:r>
        <w:t>计划、容量优化方案进行审批。</w:t>
      </w:r>
    </w:p>
    <w:p w14:paraId="2A311F68">
      <w:pPr>
        <w:pStyle w:val="39"/>
        <w:numPr>
          <w:ilvl w:val="0"/>
          <w:numId w:val="3"/>
        </w:numPr>
        <w:bidi w:val="0"/>
        <w:ind w:left="425" w:leftChars="0" w:hanging="425" w:firstLineChars="0"/>
      </w:pPr>
      <w:r>
        <w:t>负责指导项目容量监控与优化工作</w:t>
      </w:r>
    </w:p>
    <w:p w14:paraId="383B0CA0">
      <w:pPr>
        <w:pStyle w:val="39"/>
        <w:numPr>
          <w:ilvl w:val="0"/>
          <w:numId w:val="3"/>
        </w:numPr>
        <w:bidi w:val="0"/>
        <w:ind w:left="425" w:leftChars="0" w:hanging="425" w:firstLineChars="0"/>
      </w:pPr>
      <w:r>
        <w:t>负责收集客户业务需求，调查业务系统现状，开展项目容量规划相关工作。</w:t>
      </w:r>
    </w:p>
    <w:p w14:paraId="3FA1F1D8">
      <w:pPr>
        <w:pStyle w:val="39"/>
        <w:numPr>
          <w:ilvl w:val="0"/>
          <w:numId w:val="3"/>
        </w:numPr>
        <w:bidi w:val="0"/>
        <w:ind w:left="425" w:leftChars="0" w:hanging="425" w:firstLineChars="0"/>
      </w:pPr>
      <w:r>
        <w:t>按照规划开展项目的容量监控工作，收集客户业务需求、业务系统容量数据、项目资源容量数据，必要情况下采取临时措施应对系统容量不足的风险。</w:t>
      </w:r>
    </w:p>
    <w:p w14:paraId="69A7E548">
      <w:pPr>
        <w:pStyle w:val="39"/>
        <w:numPr>
          <w:ilvl w:val="0"/>
          <w:numId w:val="3"/>
        </w:numPr>
        <w:bidi w:val="0"/>
        <w:ind w:left="425" w:leftChars="0" w:hanging="425" w:firstLineChars="0"/>
      </w:pPr>
      <w:r>
        <w:t>定期开展容量分析和评估工作，判断系统容量趋势和风险，提出并实施项目容量优化方案。</w:t>
      </w:r>
    </w:p>
    <w:p w14:paraId="00E0CAA2">
      <w:pPr>
        <w:pStyle w:val="30"/>
        <w:bidi w:val="0"/>
        <w:rPr>
          <w:rFonts w:hint="default"/>
          <w:lang w:val="en-US" w:eastAsia="zh-CN"/>
        </w:rPr>
      </w:pPr>
      <w:r>
        <w:rPr>
          <w:rFonts w:hint="eastAsia"/>
          <w:lang w:val="en-US" w:eastAsia="zh-CN"/>
        </w:rPr>
        <w:t>运维项目经理</w:t>
      </w:r>
    </w:p>
    <w:p w14:paraId="31BAFD4A">
      <w:pPr>
        <w:pStyle w:val="39"/>
        <w:numPr>
          <w:ilvl w:val="0"/>
          <w:numId w:val="4"/>
        </w:numPr>
        <w:bidi w:val="0"/>
        <w:ind w:left="425" w:leftChars="0" w:hanging="425" w:firstLineChars="0"/>
      </w:pPr>
      <w:r>
        <w:t>负责从业务、成本层面对项目</w:t>
      </w:r>
      <w:r>
        <w:rPr>
          <w:rFonts w:hint="eastAsia"/>
          <w:lang w:eastAsia="zh-CN"/>
        </w:rPr>
        <w:t>容量管理计划</w:t>
      </w:r>
      <w:r>
        <w:t>与优化方案进行审批。</w:t>
      </w:r>
    </w:p>
    <w:p w14:paraId="32F6DA11">
      <w:pPr>
        <w:pStyle w:val="39"/>
        <w:numPr>
          <w:ilvl w:val="0"/>
          <w:numId w:val="4"/>
        </w:numPr>
        <w:bidi w:val="0"/>
        <w:ind w:left="425" w:leftChars="0" w:hanging="425" w:firstLineChars="0"/>
        <w:rPr>
          <w:rFonts w:hint="default"/>
          <w:lang w:val="en-US" w:eastAsia="zh-CN"/>
        </w:rPr>
      </w:pPr>
      <w:r>
        <w:t>负责定期对容量管理过程的持续改进工作</w:t>
      </w:r>
    </w:p>
    <w:p w14:paraId="4CF84230">
      <w:pPr>
        <w:pStyle w:val="28"/>
        <w:bidi w:val="0"/>
        <w:rPr>
          <w:rStyle w:val="38"/>
          <w:rFonts w:hint="default" w:eastAsia="宋体"/>
          <w:lang w:val="en-US" w:eastAsia="zh-CN"/>
        </w:rPr>
      </w:pPr>
      <w:bookmarkStart w:id="4" w:name="bookmark3"/>
      <w:bookmarkEnd w:id="4"/>
      <w:bookmarkStart w:id="5" w:name="_Toc17424"/>
      <w:r>
        <w:rPr>
          <w:rFonts w:hint="eastAsia"/>
          <w:lang w:val="en-US" w:eastAsia="zh-CN"/>
        </w:rPr>
        <w:t>容量管理流程</w:t>
      </w:r>
    </w:p>
    <w:p w14:paraId="5640BAE7">
      <w:pPr>
        <w:pStyle w:val="30"/>
        <w:bidi w:val="0"/>
        <w:rPr>
          <w:rFonts w:hint="eastAsia"/>
          <w:lang w:val="en-US" w:eastAsia="zh-CN"/>
        </w:rPr>
      </w:pPr>
      <w:r>
        <w:rPr>
          <w:rFonts w:hint="eastAsia"/>
          <w:lang w:val="en-US" w:eastAsia="zh-CN"/>
        </w:rPr>
        <w:t>容量规划</w:t>
      </w:r>
    </w:p>
    <w:p w14:paraId="0D71E163">
      <w:pPr>
        <w:pStyle w:val="29"/>
        <w:bidi w:val="0"/>
      </w:pPr>
      <w:r>
        <w:rPr>
          <w:rFonts w:hint="eastAsia"/>
          <w:lang w:val="en-US" w:eastAsia="zh-CN"/>
        </w:rPr>
        <w:t>运维</w:t>
      </w:r>
      <w:r>
        <w:t>项目经理在项目签订后根据系统现状、客户业务需求制定项目《系统</w:t>
      </w:r>
      <w:bookmarkStart w:id="7" w:name="_GoBack"/>
      <w:bookmarkEnd w:id="7"/>
      <w:r>
        <w:rPr>
          <w:rFonts w:hint="eastAsia"/>
          <w:lang w:eastAsia="zh-CN"/>
        </w:rPr>
        <w:t>容量管理计划</w:t>
      </w:r>
      <w:r>
        <w:t>》，包含资产接入标准、性能监控标准等方面。</w:t>
      </w:r>
    </w:p>
    <w:p w14:paraId="2D34BA8A">
      <w:pPr>
        <w:pStyle w:val="29"/>
        <w:bidi w:val="0"/>
      </w:pPr>
      <w:r>
        <w:rPr>
          <w:rFonts w:hint="eastAsia"/>
          <w:lang w:val="en-US" w:eastAsia="zh-CN"/>
        </w:rPr>
        <w:t>运维</w:t>
      </w:r>
      <w:r>
        <w:t>项目经理协同运维工程师从技术、成本、业务的角度对项目《</w:t>
      </w:r>
      <w:r>
        <w:rPr>
          <w:rFonts w:hint="eastAsia"/>
          <w:lang w:eastAsia="zh-CN"/>
        </w:rPr>
        <w:t>容量管理计划</w:t>
      </w:r>
      <w:r>
        <w:t>》进行评审，确保项目具备足够的容量。</w:t>
      </w:r>
    </w:p>
    <w:p w14:paraId="4B7F0B4D">
      <w:pPr>
        <w:pStyle w:val="30"/>
        <w:bidi w:val="0"/>
        <w:rPr>
          <w:rFonts w:hint="eastAsia"/>
          <w:lang w:val="en-US" w:eastAsia="zh-CN"/>
        </w:rPr>
      </w:pPr>
      <w:r>
        <w:rPr>
          <w:rFonts w:hint="eastAsia"/>
          <w:lang w:val="en-US" w:eastAsia="zh-CN"/>
        </w:rPr>
        <w:t>容量监控</w:t>
      </w:r>
    </w:p>
    <w:p w14:paraId="0B69042A">
      <w:pPr>
        <w:pStyle w:val="29"/>
        <w:rPr>
          <w:rFonts w:hint="eastAsia"/>
          <w:lang w:val="en-US" w:eastAsia="zh-CN"/>
        </w:rPr>
      </w:pPr>
      <w:r>
        <w:rPr>
          <w:rFonts w:ascii="宋体" w:hAnsi="宋体" w:eastAsia="宋体" w:cs="宋体"/>
          <w:spacing w:val="-3"/>
          <w:sz w:val="24"/>
          <w:szCs w:val="24"/>
        </w:rPr>
        <w:t>项目《</w:t>
      </w:r>
      <w:r>
        <w:rPr>
          <w:rFonts w:hint="eastAsia" w:ascii="宋体" w:hAnsi="宋体" w:cs="宋体"/>
          <w:spacing w:val="-3"/>
          <w:sz w:val="24"/>
          <w:szCs w:val="24"/>
          <w:lang w:eastAsia="zh-CN"/>
        </w:rPr>
        <w:t>容量管理计划</w:t>
      </w:r>
      <w:r>
        <w:rPr>
          <w:rFonts w:ascii="宋体" w:hAnsi="宋体" w:eastAsia="宋体" w:cs="宋体"/>
          <w:spacing w:val="-3"/>
          <w:sz w:val="24"/>
          <w:szCs w:val="24"/>
        </w:rPr>
        <w:t>》评审通过后，</w:t>
      </w:r>
      <w:r>
        <w:rPr>
          <w:rFonts w:hint="eastAsia" w:ascii="宋体" w:hAnsi="宋体" w:eastAsia="宋体" w:cs="宋体"/>
          <w:spacing w:val="-3"/>
          <w:sz w:val="24"/>
          <w:szCs w:val="24"/>
          <w:lang w:val="en-US" w:eastAsia="zh-CN"/>
        </w:rPr>
        <w:t>运维</w:t>
      </w:r>
      <w:r>
        <w:rPr>
          <w:rFonts w:ascii="宋体" w:hAnsi="宋体" w:eastAsia="宋体" w:cs="宋体"/>
          <w:spacing w:val="-3"/>
          <w:sz w:val="24"/>
          <w:szCs w:val="24"/>
        </w:rPr>
        <w:t>项目经理立即按照规划</w:t>
      </w:r>
      <w:r>
        <w:rPr>
          <w:rFonts w:ascii="宋体" w:hAnsi="宋体" w:eastAsia="宋体" w:cs="宋体"/>
          <w:spacing w:val="-4"/>
          <w:sz w:val="24"/>
          <w:szCs w:val="24"/>
        </w:rPr>
        <w:t>开展容量监控工作，配置相</w:t>
      </w:r>
      <w:r>
        <w:rPr>
          <w:rFonts w:ascii="宋体" w:hAnsi="宋体" w:eastAsia="宋体" w:cs="宋体"/>
          <w:spacing w:val="-1"/>
          <w:sz w:val="24"/>
          <w:szCs w:val="24"/>
        </w:rPr>
        <w:t>应的资源，安排业务系统容量数据和客户业务需求的收集</w:t>
      </w:r>
    </w:p>
    <w:p w14:paraId="1AF11971">
      <w:pPr>
        <w:pStyle w:val="30"/>
        <w:bidi w:val="0"/>
        <w:rPr>
          <w:rFonts w:hint="eastAsia"/>
          <w:lang w:val="en-US" w:eastAsia="zh-CN"/>
        </w:rPr>
      </w:pPr>
      <w:r>
        <w:rPr>
          <w:rFonts w:hint="eastAsia"/>
          <w:lang w:val="en-US" w:eastAsia="zh-CN"/>
        </w:rPr>
        <w:t>容量分析和评估</w:t>
      </w:r>
    </w:p>
    <w:p w14:paraId="36C2F82B">
      <w:pPr>
        <w:pStyle w:val="29"/>
        <w:bidi w:val="0"/>
      </w:pPr>
      <w:r>
        <w:t>项目经理定期对客户业务需求、业务系统容量数据、项目资源容量数据、进行分析和评估，分析容量趋势和变化，识别容量风险。必要情况下采取临时措施应对容量不足的问题。</w:t>
      </w:r>
    </w:p>
    <w:p w14:paraId="4FA7FF0E">
      <w:pPr>
        <w:pStyle w:val="30"/>
        <w:bidi w:val="0"/>
        <w:rPr>
          <w:rFonts w:hint="eastAsia"/>
          <w:lang w:val="en-US" w:eastAsia="zh-CN"/>
        </w:rPr>
      </w:pPr>
      <w:r>
        <w:rPr>
          <w:rFonts w:hint="eastAsia"/>
          <w:lang w:val="en-US" w:eastAsia="zh-CN"/>
        </w:rPr>
        <w:t>容量优化</w:t>
      </w:r>
    </w:p>
    <w:p w14:paraId="3FE96DDF">
      <w:pPr>
        <w:pStyle w:val="29"/>
        <w:bidi w:val="0"/>
      </w:pPr>
      <w:r>
        <w:t>针对容量风险，</w:t>
      </w:r>
      <w:r>
        <w:rPr>
          <w:rFonts w:hint="eastAsia"/>
          <w:lang w:val="en-US" w:eastAsia="zh-CN"/>
        </w:rPr>
        <w:t>运维</w:t>
      </w:r>
      <w:r>
        <w:t>项目经理制定相应的《容量优化方案》，明确优化措施和实施计划。</w:t>
      </w:r>
    </w:p>
    <w:p w14:paraId="25873EF6">
      <w:pPr>
        <w:pStyle w:val="29"/>
        <w:bidi w:val="0"/>
      </w:pPr>
      <w:r>
        <w:rPr>
          <w:rFonts w:hint="eastAsia"/>
          <w:lang w:val="en-US" w:eastAsia="zh-CN"/>
        </w:rPr>
        <w:t>运维</w:t>
      </w:r>
      <w:r>
        <w:t>项目经理协同运维工程师从业务、技术、成本的角度对项目《容量优化方案》进行评审，在可控的成本范围内提升项目容量。必要情况下，客户服务工程师应当在容量优化后重新评估和更新项目《</w:t>
      </w:r>
      <w:r>
        <w:rPr>
          <w:rFonts w:hint="eastAsia"/>
          <w:lang w:eastAsia="zh-CN"/>
        </w:rPr>
        <w:t>容量管理计划</w:t>
      </w:r>
      <w:r>
        <w:t>》。</w:t>
      </w:r>
    </w:p>
    <w:p w14:paraId="1292F1DE">
      <w:pPr>
        <w:pStyle w:val="28"/>
        <w:bidi w:val="0"/>
        <w:rPr>
          <w:rStyle w:val="38"/>
          <w:rFonts w:hint="default" w:eastAsia="宋体"/>
          <w:lang w:val="en-US" w:eastAsia="zh-CN"/>
        </w:rPr>
      </w:pPr>
      <w:r>
        <w:rPr>
          <w:rStyle w:val="38"/>
          <w:rFonts w:hint="eastAsia" w:eastAsia="宋体"/>
          <w:lang w:val="en-US" w:eastAsia="zh-CN"/>
        </w:rPr>
        <w:t>附则</w:t>
      </w:r>
      <w:bookmarkEnd w:id="5"/>
    </w:p>
    <w:p w14:paraId="17535BAC">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5"/>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 w:name="bookmark14"/>
      <w:bookmarkEnd w:id="6"/>
      <w:r>
        <w:rPr>
          <w:rFonts w:hint="eastAsia"/>
          <w:lang w:val="en-US" w:eastAsia="zh-CN"/>
        </w:rPr>
        <w:t>附件</w:t>
      </w:r>
    </w:p>
    <w:p w14:paraId="380B3068">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18CECA7E">
      <w:pPr>
        <w:pStyle w:val="39"/>
        <w:bidi w:val="0"/>
      </w:pPr>
      <w:r>
        <w:rPr>
          <w:rFonts w:hint="eastAsia"/>
          <w:lang w:eastAsia="zh-CN"/>
        </w:rPr>
        <w:t>《</w:t>
      </w:r>
      <w:r>
        <w:t>容量</w:t>
      </w:r>
      <w:r>
        <w:rPr>
          <w:rFonts w:hint="eastAsia"/>
          <w:lang w:val="en-US" w:eastAsia="zh-CN"/>
        </w:rPr>
        <w:t>管理</w:t>
      </w:r>
      <w:r>
        <w:t>计划》</w:t>
      </w:r>
    </w:p>
    <w:p w14:paraId="3E89B104">
      <w:pPr>
        <w:pStyle w:val="39"/>
        <w:bidi w:val="0"/>
      </w:pPr>
      <w:r>
        <w:t>《容量监控表》</w:t>
      </w:r>
    </w:p>
    <w:p w14:paraId="7A801ED9">
      <w:pPr>
        <w:pStyle w:val="39"/>
        <w:bidi w:val="0"/>
      </w:pPr>
      <w:r>
        <w:t>《容量分析和评估报告》</w:t>
      </w:r>
    </w:p>
    <w:p w14:paraId="4D05B5F3">
      <w:pPr>
        <w:pStyle w:val="39"/>
        <w:bidi w:val="0"/>
        <w:rPr>
          <w:rFonts w:hint="eastAsia"/>
          <w:lang w:val="en-US" w:eastAsia="zh-CN"/>
        </w:rPr>
      </w:pPr>
      <w:r>
        <w:t>《容量优化方案》</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3A59115"/>
    <w:multiLevelType w:val="singleLevel"/>
    <w:tmpl w:val="B3A59115"/>
    <w:lvl w:ilvl="0" w:tentative="0">
      <w:start w:val="1"/>
      <w:numFmt w:val="decimal"/>
      <w:lvlText w:val="%1."/>
      <w:lvlJc w:val="left"/>
      <w:pPr>
        <w:ind w:left="425" w:hanging="425"/>
      </w:pPr>
      <w:rPr>
        <w:rFonts w:hint="default"/>
      </w:rPr>
    </w:lvl>
  </w:abstractNum>
  <w:abstractNum w:abstractNumId="2">
    <w:nsid w:val="F9539CF3"/>
    <w:multiLevelType w:val="singleLevel"/>
    <w:tmpl w:val="F9539CF3"/>
    <w:lvl w:ilvl="0" w:tentative="0">
      <w:start w:val="1"/>
      <w:numFmt w:val="decimal"/>
      <w:lvlText w:val="%1."/>
      <w:lvlJc w:val="left"/>
      <w:pPr>
        <w:ind w:left="425" w:hanging="425"/>
      </w:pPr>
      <w:rPr>
        <w:rFonts w:hint="default"/>
      </w:rPr>
    </w:lvl>
  </w:abstractNum>
  <w:abstractNum w:abstractNumId="3">
    <w:nsid w:val="0725BF6B"/>
    <w:multiLevelType w:val="singleLevel"/>
    <w:tmpl w:val="0725BF6B"/>
    <w:lvl w:ilvl="0" w:tentative="0">
      <w:start w:val="1"/>
      <w:numFmt w:val="decimal"/>
      <w:lvlText w:val="%1."/>
      <w:lvlJc w:val="left"/>
      <w:pPr>
        <w:ind w:left="425" w:hanging="425"/>
      </w:pPr>
      <w:rPr>
        <w:rFonts w:hint="default"/>
      </w:rPr>
    </w:lvl>
  </w:abstractNum>
  <w:abstractNum w:abstractNumId="4">
    <w:nsid w:val="11683D91"/>
    <w:multiLevelType w:val="singleLevel"/>
    <w:tmpl w:val="11683D91"/>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8F4C90"/>
    <w:rsid w:val="02105DD0"/>
    <w:rsid w:val="037F0228"/>
    <w:rsid w:val="05353DA0"/>
    <w:rsid w:val="05404C1F"/>
    <w:rsid w:val="05573D16"/>
    <w:rsid w:val="05C8669A"/>
    <w:rsid w:val="077F1302"/>
    <w:rsid w:val="08055CAB"/>
    <w:rsid w:val="09615163"/>
    <w:rsid w:val="0B13248D"/>
    <w:rsid w:val="0B930577"/>
    <w:rsid w:val="0CA84E57"/>
    <w:rsid w:val="0D471FF6"/>
    <w:rsid w:val="0DC14423"/>
    <w:rsid w:val="0E4869E6"/>
    <w:rsid w:val="100912AD"/>
    <w:rsid w:val="104D4694"/>
    <w:rsid w:val="10FB7C4C"/>
    <w:rsid w:val="112A43FB"/>
    <w:rsid w:val="119775A7"/>
    <w:rsid w:val="13B642FE"/>
    <w:rsid w:val="13BB263F"/>
    <w:rsid w:val="160F7CF5"/>
    <w:rsid w:val="167A1613"/>
    <w:rsid w:val="16C265E3"/>
    <w:rsid w:val="170C7BDF"/>
    <w:rsid w:val="17B148E8"/>
    <w:rsid w:val="183103F7"/>
    <w:rsid w:val="1A264519"/>
    <w:rsid w:val="1AC27A2C"/>
    <w:rsid w:val="1B8D153C"/>
    <w:rsid w:val="1BCB6238"/>
    <w:rsid w:val="1CFA72C7"/>
    <w:rsid w:val="1D7B4B8F"/>
    <w:rsid w:val="1DAD0520"/>
    <w:rsid w:val="1E360515"/>
    <w:rsid w:val="209179EB"/>
    <w:rsid w:val="21613B53"/>
    <w:rsid w:val="21617F9F"/>
    <w:rsid w:val="22C72083"/>
    <w:rsid w:val="23D412DC"/>
    <w:rsid w:val="23E66539"/>
    <w:rsid w:val="24AF0E42"/>
    <w:rsid w:val="25626B9F"/>
    <w:rsid w:val="25757B75"/>
    <w:rsid w:val="262C093B"/>
    <w:rsid w:val="26747E2C"/>
    <w:rsid w:val="27363334"/>
    <w:rsid w:val="279B1602"/>
    <w:rsid w:val="28277120"/>
    <w:rsid w:val="28862099"/>
    <w:rsid w:val="296511D8"/>
    <w:rsid w:val="2A0635A2"/>
    <w:rsid w:val="2B141C1D"/>
    <w:rsid w:val="2B9C4A12"/>
    <w:rsid w:val="2BC0763F"/>
    <w:rsid w:val="2D381E44"/>
    <w:rsid w:val="2E516CA5"/>
    <w:rsid w:val="2E9D013C"/>
    <w:rsid w:val="2F135073"/>
    <w:rsid w:val="2F4A02C4"/>
    <w:rsid w:val="2FF80E15"/>
    <w:rsid w:val="301D1535"/>
    <w:rsid w:val="32C13470"/>
    <w:rsid w:val="32E301CB"/>
    <w:rsid w:val="338910C0"/>
    <w:rsid w:val="33896EE1"/>
    <w:rsid w:val="34034EE6"/>
    <w:rsid w:val="34BA0374"/>
    <w:rsid w:val="366559E4"/>
    <w:rsid w:val="36785717"/>
    <w:rsid w:val="36F25E64"/>
    <w:rsid w:val="36FA4FFE"/>
    <w:rsid w:val="375D490D"/>
    <w:rsid w:val="379E73FF"/>
    <w:rsid w:val="37BF1626"/>
    <w:rsid w:val="384A559C"/>
    <w:rsid w:val="39431617"/>
    <w:rsid w:val="3A3D6832"/>
    <w:rsid w:val="3B6E533A"/>
    <w:rsid w:val="3C28373B"/>
    <w:rsid w:val="3C634773"/>
    <w:rsid w:val="3D0F5E15"/>
    <w:rsid w:val="3D156FFD"/>
    <w:rsid w:val="3D695DB9"/>
    <w:rsid w:val="3E7C0C45"/>
    <w:rsid w:val="3EAB0654"/>
    <w:rsid w:val="3F5A203E"/>
    <w:rsid w:val="40D70BE6"/>
    <w:rsid w:val="410A1661"/>
    <w:rsid w:val="41566655"/>
    <w:rsid w:val="426B25D4"/>
    <w:rsid w:val="429D0A4E"/>
    <w:rsid w:val="43A318F9"/>
    <w:rsid w:val="442D371B"/>
    <w:rsid w:val="4613720A"/>
    <w:rsid w:val="461865CE"/>
    <w:rsid w:val="4642189D"/>
    <w:rsid w:val="471A69C9"/>
    <w:rsid w:val="47432D89"/>
    <w:rsid w:val="47E81FD1"/>
    <w:rsid w:val="48033727"/>
    <w:rsid w:val="4893018E"/>
    <w:rsid w:val="48B87BF5"/>
    <w:rsid w:val="4A512E43"/>
    <w:rsid w:val="4AA3483E"/>
    <w:rsid w:val="4AC42881"/>
    <w:rsid w:val="4AD909E8"/>
    <w:rsid w:val="4B644252"/>
    <w:rsid w:val="4C013661"/>
    <w:rsid w:val="4D343593"/>
    <w:rsid w:val="4ECA2430"/>
    <w:rsid w:val="4ED176DC"/>
    <w:rsid w:val="4F540134"/>
    <w:rsid w:val="515415A9"/>
    <w:rsid w:val="52B74209"/>
    <w:rsid w:val="533A0CB4"/>
    <w:rsid w:val="54B725CE"/>
    <w:rsid w:val="54CD67D6"/>
    <w:rsid w:val="553C1274"/>
    <w:rsid w:val="57AC16EE"/>
    <w:rsid w:val="5859544B"/>
    <w:rsid w:val="58956A46"/>
    <w:rsid w:val="589B4034"/>
    <w:rsid w:val="58C8202C"/>
    <w:rsid w:val="59D04644"/>
    <w:rsid w:val="5A241579"/>
    <w:rsid w:val="5ADC59C5"/>
    <w:rsid w:val="5BBB7799"/>
    <w:rsid w:val="5BC619FD"/>
    <w:rsid w:val="5C717B35"/>
    <w:rsid w:val="5CD174FC"/>
    <w:rsid w:val="5E133B7E"/>
    <w:rsid w:val="5E3B2A02"/>
    <w:rsid w:val="5E8425FB"/>
    <w:rsid w:val="5E9D546B"/>
    <w:rsid w:val="608C7E04"/>
    <w:rsid w:val="60FF797D"/>
    <w:rsid w:val="62364D94"/>
    <w:rsid w:val="62853344"/>
    <w:rsid w:val="637B1AF3"/>
    <w:rsid w:val="6457120A"/>
    <w:rsid w:val="65F22540"/>
    <w:rsid w:val="667D31C4"/>
    <w:rsid w:val="67931B01"/>
    <w:rsid w:val="689A2A1B"/>
    <w:rsid w:val="68C450C7"/>
    <w:rsid w:val="69862A24"/>
    <w:rsid w:val="69B61AD7"/>
    <w:rsid w:val="69D9062E"/>
    <w:rsid w:val="6ADC556D"/>
    <w:rsid w:val="6B6421C7"/>
    <w:rsid w:val="6B947BF6"/>
    <w:rsid w:val="6BCE07B8"/>
    <w:rsid w:val="6C7C0DB6"/>
    <w:rsid w:val="6D392803"/>
    <w:rsid w:val="6DA615B2"/>
    <w:rsid w:val="711710AD"/>
    <w:rsid w:val="7148395C"/>
    <w:rsid w:val="71D074AE"/>
    <w:rsid w:val="72895FDA"/>
    <w:rsid w:val="72AC7F1B"/>
    <w:rsid w:val="72DC0914"/>
    <w:rsid w:val="747E1443"/>
    <w:rsid w:val="748527D2"/>
    <w:rsid w:val="7695113D"/>
    <w:rsid w:val="77020109"/>
    <w:rsid w:val="781C51FB"/>
    <w:rsid w:val="78CC6D3B"/>
    <w:rsid w:val="78DC469B"/>
    <w:rsid w:val="79EC57CF"/>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1160</Words>
  <Characters>1237</Characters>
  <Lines>0</Lines>
  <Paragraphs>0</Paragraphs>
  <TotalTime>1</TotalTime>
  <ScaleCrop>false</ScaleCrop>
  <LinksUpToDate>false</LinksUpToDate>
  <CharactersWithSpaces>1263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2025-09-11T13:18:18Z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