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容量管理制度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7F102365">
      <w:pPr>
        <w:pStyle w:val="29"/>
        <w:bidi w:val="0"/>
      </w:pPr>
      <w:r>
        <w:rPr>
          <w:rFonts w:hint="eastAsia"/>
          <w:lang w:val="en-US" w:eastAsia="zh-CN"/>
        </w:rPr>
        <w:t>为</w:t>
      </w:r>
      <w:r>
        <w:t>确保维护服务过程的涉及到的处理、存储和网络以最经济和及时的方式与发展中的业务需求相匹配，特制定此程序。</w:t>
      </w:r>
    </w:p>
    <w:p w14:paraId="2D240536">
      <w:pPr>
        <w:pStyle w:val="28"/>
        <w:bidi w:val="0"/>
        <w:rPr>
          <w:rFonts w:hint="eastAsia"/>
          <w:lang w:val="en-US" w:eastAsia="zh-CN"/>
        </w:rPr>
      </w:pPr>
      <w:r>
        <w:rPr>
          <w:rFonts w:hint="eastAsia"/>
          <w:lang w:val="en-US" w:eastAsia="zh-CN"/>
        </w:rPr>
        <w:t>原则</w:t>
      </w:r>
    </w:p>
    <w:p w14:paraId="0CFC599E">
      <w:pPr>
        <w:pStyle w:val="29"/>
        <w:numPr>
          <w:ilvl w:val="0"/>
          <w:numId w:val="2"/>
        </w:numPr>
        <w:ind w:left="425" w:leftChars="0" w:hanging="425" w:firstLineChars="0"/>
        <w:rPr>
          <w:rFonts w:hint="eastAsia"/>
          <w:lang w:val="en-US" w:eastAsia="zh-CN"/>
        </w:rPr>
      </w:pPr>
      <w:r>
        <w:rPr>
          <w:rFonts w:hint="eastAsia"/>
          <w:lang w:val="en-US" w:eastAsia="zh-CN"/>
        </w:rPr>
        <w:t>业务导向：所有规划围绕业务需求和用户体验展开。</w:t>
      </w:r>
    </w:p>
    <w:p w14:paraId="7358F6FA">
      <w:pPr>
        <w:pStyle w:val="29"/>
        <w:numPr>
          <w:ilvl w:val="0"/>
          <w:numId w:val="2"/>
        </w:numPr>
        <w:ind w:left="425" w:leftChars="0" w:hanging="425" w:firstLineChars="0"/>
        <w:rPr>
          <w:rFonts w:hint="eastAsia"/>
          <w:lang w:val="en-US" w:eastAsia="zh-CN"/>
        </w:rPr>
      </w:pPr>
      <w:r>
        <w:rPr>
          <w:rFonts w:hint="eastAsia"/>
          <w:lang w:val="en-US" w:eastAsia="zh-CN"/>
        </w:rPr>
        <w:t>主动预防：提前预测风险并扩容，而非事后补救。</w:t>
      </w:r>
    </w:p>
    <w:p w14:paraId="088BAC17">
      <w:pPr>
        <w:pStyle w:val="29"/>
        <w:numPr>
          <w:ilvl w:val="0"/>
          <w:numId w:val="2"/>
        </w:numPr>
        <w:ind w:left="425" w:leftChars="0" w:hanging="425" w:firstLineChars="0"/>
        <w:rPr>
          <w:rFonts w:hint="eastAsia"/>
          <w:lang w:val="en-US" w:eastAsia="zh-CN"/>
        </w:rPr>
      </w:pPr>
      <w:r>
        <w:rPr>
          <w:rFonts w:hint="eastAsia"/>
          <w:lang w:val="en-US" w:eastAsia="zh-CN"/>
        </w:rPr>
        <w:t>数据驱动：依据监控数</w:t>
      </w:r>
      <w:bookmarkStart w:id="7" w:name="_GoBack"/>
      <w:bookmarkEnd w:id="7"/>
      <w:r>
        <w:rPr>
          <w:rFonts w:hint="eastAsia"/>
          <w:lang w:val="en-US" w:eastAsia="zh-CN"/>
        </w:rPr>
        <w:t>据做决策，而非凭感觉。</w:t>
      </w:r>
    </w:p>
    <w:p w14:paraId="5F473E0A">
      <w:pPr>
        <w:pStyle w:val="29"/>
        <w:numPr>
          <w:ilvl w:val="0"/>
          <w:numId w:val="2"/>
        </w:numPr>
        <w:ind w:left="425" w:leftChars="0" w:hanging="425" w:firstLineChars="0"/>
        <w:rPr>
          <w:rFonts w:hint="eastAsia"/>
          <w:lang w:val="en-US" w:eastAsia="zh-CN"/>
        </w:rPr>
      </w:pPr>
      <w:r>
        <w:rPr>
          <w:rFonts w:hint="eastAsia"/>
          <w:lang w:val="en-US" w:eastAsia="zh-CN"/>
        </w:rPr>
        <w:t>成本优化：在保障性能的前提下，追求资源最高性价比。</w:t>
      </w:r>
    </w:p>
    <w:p w14:paraId="4BB3B1E9">
      <w:pPr>
        <w:pStyle w:val="29"/>
        <w:numPr>
          <w:ilvl w:val="0"/>
          <w:numId w:val="2"/>
        </w:numPr>
        <w:ind w:left="425" w:leftChars="0" w:hanging="425" w:firstLineChars="0"/>
        <w:rPr>
          <w:rFonts w:hint="eastAsia"/>
          <w:lang w:val="en-US" w:eastAsia="zh-CN"/>
        </w:rPr>
      </w:pPr>
      <w:r>
        <w:rPr>
          <w:rFonts w:hint="eastAsia"/>
          <w:lang w:val="en-US" w:eastAsia="zh-CN"/>
        </w:rPr>
        <w:t>闭环管理：持续监控、评估和调整，形成改进循环。</w:t>
      </w:r>
    </w:p>
    <w:p w14:paraId="6BD52D84">
      <w:pPr>
        <w:pStyle w:val="28"/>
        <w:bidi w:val="0"/>
      </w:pPr>
      <w:bookmarkStart w:id="3" w:name="_Toc17591"/>
      <w:r>
        <w:rPr>
          <w:rFonts w:hint="eastAsia"/>
          <w:lang w:val="en-US" w:eastAsia="zh-CN"/>
        </w:rPr>
        <w:t>适用</w:t>
      </w:r>
      <w:r>
        <w:t>范围</w:t>
      </w:r>
      <w:bookmarkEnd w:id="3"/>
    </w:p>
    <w:p w14:paraId="52CE3788">
      <w:pPr>
        <w:pStyle w:val="29"/>
        <w:bidi w:val="0"/>
      </w:pPr>
      <w:r>
        <w:t>用于公司通过对维护服务过程及信息安全管理体系涉及的容量的规划、改进和管理，提供满足容量需求的维护服务活动。</w:t>
      </w:r>
    </w:p>
    <w:p w14:paraId="72F6781A">
      <w:pPr>
        <w:pStyle w:val="28"/>
        <w:bidi w:val="0"/>
        <w:rPr>
          <w:rFonts w:hint="eastAsia"/>
          <w:lang w:val="en-US" w:eastAsia="zh-CN"/>
        </w:rPr>
      </w:pPr>
      <w:r>
        <w:rPr>
          <w:rFonts w:hint="eastAsia"/>
          <w:lang w:val="en-US" w:eastAsia="zh-CN"/>
        </w:rPr>
        <w:t>岗位职责</w:t>
      </w:r>
    </w:p>
    <w:p w14:paraId="7E6E312E">
      <w:pPr>
        <w:pStyle w:val="28"/>
        <w:bidi w:val="0"/>
        <w:rPr>
          <w:rFonts w:hint="default"/>
          <w:lang w:val="en-US" w:eastAsia="zh-CN"/>
        </w:rPr>
      </w:pPr>
      <w:r>
        <w:rPr>
          <w:rFonts w:hint="eastAsia"/>
          <w:lang w:val="en-US" w:eastAsia="zh-CN"/>
        </w:rPr>
        <w:t>工作交接实施</w:t>
      </w:r>
    </w:p>
    <w:p w14:paraId="1292F1DE">
      <w:pPr>
        <w:pStyle w:val="28"/>
        <w:bidi w:val="0"/>
        <w:rPr>
          <w:rStyle w:val="38"/>
          <w:rFonts w:hint="default" w:eastAsia="宋体"/>
          <w:lang w:val="en-US" w:eastAsia="zh-CN"/>
        </w:rPr>
      </w:pPr>
      <w:bookmarkStart w:id="4" w:name="bookmark3"/>
      <w:bookmarkEnd w:id="4"/>
      <w:bookmarkStart w:id="5" w:name="_Toc17424"/>
      <w:r>
        <w:rPr>
          <w:rStyle w:val="38"/>
          <w:rFonts w:hint="eastAsia" w:eastAsia="宋体"/>
          <w:lang w:val="en-US" w:eastAsia="zh-CN"/>
        </w:rPr>
        <w:t>附则</w:t>
      </w:r>
      <w:bookmarkEnd w:id="5"/>
    </w:p>
    <w:p w14:paraId="17535BAC">
      <w:pPr>
        <w:keepNext w:val="0"/>
        <w:keepLines w:val="0"/>
        <w:pageBreakBefore w:val="0"/>
        <w:widowControl/>
        <w:numPr>
          <w:ilvl w:val="0"/>
          <w:numId w:val="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6" w:name="bookmark14"/>
      <w:bookmarkEnd w:id="6"/>
      <w:r>
        <w:rPr>
          <w:rFonts w:hint="eastAsia"/>
          <w:lang w:val="en-US" w:eastAsia="zh-CN"/>
        </w:rPr>
        <w:t>附件</w:t>
      </w:r>
    </w:p>
    <w:p w14:paraId="3B578C70">
      <w:pPr>
        <w:pStyle w:val="28"/>
        <w:bidi w:val="0"/>
        <w:rPr>
          <w:rFonts w:hint="eastAsia"/>
          <w:lang w:val="en-US" w:eastAsia="zh-CN"/>
        </w:rPr>
      </w:pPr>
      <w:r>
        <w:rPr>
          <w:rFonts w:hint="eastAsia"/>
          <w:lang w:val="en-US" w:eastAsia="zh-CN"/>
        </w:rPr>
        <w:t>记录</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9539CF3"/>
    <w:multiLevelType w:val="singleLevel"/>
    <w:tmpl w:val="F9539CF3"/>
    <w:lvl w:ilvl="0" w:tentative="0">
      <w:start w:val="1"/>
      <w:numFmt w:val="decimal"/>
      <w:lvlText w:val="%1."/>
      <w:lvlJc w:val="left"/>
      <w:pPr>
        <w:ind w:left="425" w:hanging="425"/>
      </w:pPr>
      <w:rPr>
        <w:rFonts w:hint="default"/>
      </w:rPr>
    </w:lvl>
  </w:abstractNum>
  <w:abstractNum w:abstractNumId="2">
    <w:nsid w:val="11683D91"/>
    <w:multiLevelType w:val="singleLevel"/>
    <w:tmpl w:val="11683D91"/>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2105DD0"/>
    <w:rsid w:val="05573D16"/>
    <w:rsid w:val="05C8669A"/>
    <w:rsid w:val="08055CAB"/>
    <w:rsid w:val="09615163"/>
    <w:rsid w:val="0B13248D"/>
    <w:rsid w:val="0B930577"/>
    <w:rsid w:val="0CA84E57"/>
    <w:rsid w:val="0DC14423"/>
    <w:rsid w:val="0E4869E6"/>
    <w:rsid w:val="100912AD"/>
    <w:rsid w:val="104D4694"/>
    <w:rsid w:val="112A43FB"/>
    <w:rsid w:val="119775A7"/>
    <w:rsid w:val="160F7CF5"/>
    <w:rsid w:val="167A1613"/>
    <w:rsid w:val="16C265E3"/>
    <w:rsid w:val="170C7BDF"/>
    <w:rsid w:val="1A264519"/>
    <w:rsid w:val="1AC27A2C"/>
    <w:rsid w:val="1B8D153C"/>
    <w:rsid w:val="1CFA72C7"/>
    <w:rsid w:val="1D7B4B8F"/>
    <w:rsid w:val="1E360515"/>
    <w:rsid w:val="209179EB"/>
    <w:rsid w:val="21617F9F"/>
    <w:rsid w:val="25626B9F"/>
    <w:rsid w:val="262C093B"/>
    <w:rsid w:val="26747E2C"/>
    <w:rsid w:val="27363334"/>
    <w:rsid w:val="279B1602"/>
    <w:rsid w:val="28862099"/>
    <w:rsid w:val="296511D8"/>
    <w:rsid w:val="2A0635A2"/>
    <w:rsid w:val="2B141C1D"/>
    <w:rsid w:val="2B9C4A12"/>
    <w:rsid w:val="2BC0763F"/>
    <w:rsid w:val="2D381E44"/>
    <w:rsid w:val="2E516CA5"/>
    <w:rsid w:val="2E9D013C"/>
    <w:rsid w:val="2F135073"/>
    <w:rsid w:val="2F4A02C4"/>
    <w:rsid w:val="2FF80E15"/>
    <w:rsid w:val="301D1535"/>
    <w:rsid w:val="32C13470"/>
    <w:rsid w:val="33896EE1"/>
    <w:rsid w:val="34034EE6"/>
    <w:rsid w:val="366559E4"/>
    <w:rsid w:val="36785717"/>
    <w:rsid w:val="36F25E64"/>
    <w:rsid w:val="36FA4FFE"/>
    <w:rsid w:val="37BF1626"/>
    <w:rsid w:val="384A559C"/>
    <w:rsid w:val="39431617"/>
    <w:rsid w:val="3A3D6832"/>
    <w:rsid w:val="3B6E533A"/>
    <w:rsid w:val="3C28373B"/>
    <w:rsid w:val="3C634773"/>
    <w:rsid w:val="3D156FFD"/>
    <w:rsid w:val="3D695DB9"/>
    <w:rsid w:val="3E7C0C45"/>
    <w:rsid w:val="3EAB0654"/>
    <w:rsid w:val="3F5A203E"/>
    <w:rsid w:val="410A1661"/>
    <w:rsid w:val="41566655"/>
    <w:rsid w:val="426B25D4"/>
    <w:rsid w:val="429D0A4E"/>
    <w:rsid w:val="43A318F9"/>
    <w:rsid w:val="442D371B"/>
    <w:rsid w:val="4613720A"/>
    <w:rsid w:val="461865CE"/>
    <w:rsid w:val="4642189D"/>
    <w:rsid w:val="471A69C9"/>
    <w:rsid w:val="47432D89"/>
    <w:rsid w:val="47E81FD1"/>
    <w:rsid w:val="48033727"/>
    <w:rsid w:val="4893018E"/>
    <w:rsid w:val="4AA3483E"/>
    <w:rsid w:val="4AC42881"/>
    <w:rsid w:val="4AD909E8"/>
    <w:rsid w:val="4B644252"/>
    <w:rsid w:val="4C013661"/>
    <w:rsid w:val="4D343593"/>
    <w:rsid w:val="4ECA2430"/>
    <w:rsid w:val="4F540134"/>
    <w:rsid w:val="515415A9"/>
    <w:rsid w:val="533A0CB4"/>
    <w:rsid w:val="54B725CE"/>
    <w:rsid w:val="54CD67D6"/>
    <w:rsid w:val="57AC16EE"/>
    <w:rsid w:val="5859544B"/>
    <w:rsid w:val="58956A46"/>
    <w:rsid w:val="58C8202C"/>
    <w:rsid w:val="5ADC59C5"/>
    <w:rsid w:val="5BBB7799"/>
    <w:rsid w:val="5BC619FD"/>
    <w:rsid w:val="5C717B35"/>
    <w:rsid w:val="5E133B7E"/>
    <w:rsid w:val="5E3B2A02"/>
    <w:rsid w:val="5E8425FB"/>
    <w:rsid w:val="608C7E04"/>
    <w:rsid w:val="60FF797D"/>
    <w:rsid w:val="62364D94"/>
    <w:rsid w:val="62853344"/>
    <w:rsid w:val="637B1AF3"/>
    <w:rsid w:val="6457120A"/>
    <w:rsid w:val="65F22540"/>
    <w:rsid w:val="67931B01"/>
    <w:rsid w:val="689A2A1B"/>
    <w:rsid w:val="69862A24"/>
    <w:rsid w:val="69B61AD7"/>
    <w:rsid w:val="69D9062E"/>
    <w:rsid w:val="6ADC556D"/>
    <w:rsid w:val="6B6421C7"/>
    <w:rsid w:val="6B947BF6"/>
    <w:rsid w:val="6BCE07B8"/>
    <w:rsid w:val="6C7C0DB6"/>
    <w:rsid w:val="6D392803"/>
    <w:rsid w:val="6DA615B2"/>
    <w:rsid w:val="711710AD"/>
    <w:rsid w:val="7148395C"/>
    <w:rsid w:val="71D074AE"/>
    <w:rsid w:val="72895FDA"/>
    <w:rsid w:val="72DC0914"/>
    <w:rsid w:val="747E1443"/>
    <w:rsid w:val="7695113D"/>
    <w:rsid w:val="77020109"/>
    <w:rsid w:val="78CC6D3B"/>
    <w:rsid w:val="78DC469B"/>
    <w:rsid w:val="7A147095"/>
    <w:rsid w:val="7AF366E7"/>
    <w:rsid w:val="7B734B9C"/>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275</Words>
  <Characters>352</Characters>
  <Lines>0</Lines>
  <Paragraphs>0</Paragraphs>
  <TotalTime>0</TotalTime>
  <ScaleCrop>false</ScaleCrop>
  <LinksUpToDate>false</LinksUpToDate>
  <CharactersWithSpaces>378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2025-09-09T11:06:21Z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