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2595AC">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w:t>
      </w:r>
      <w:r>
        <w:rPr>
          <w:rFonts w:hint="eastAsia" w:ascii="宋体" w:hAnsi="宋体" w:cs="宋体"/>
          <w:b/>
          <w:bCs/>
          <w:spacing w:val="-3"/>
          <w:sz w:val="24"/>
          <w:szCs w:val="24"/>
          <w:lang w:val="en-US" w:eastAsia="zh-CN"/>
        </w:rPr>
        <w:t>11</w:t>
      </w:r>
    </w:p>
    <w:p w14:paraId="4CF19B9F">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5F806D64">
      <w:pPr>
        <w:pStyle w:val="24"/>
        <w:bidi w:val="0"/>
      </w:pPr>
      <w:bookmarkStart w:id="0" w:name="_Toc13957"/>
      <w:r>
        <w:rPr>
          <w:rFonts w:hint="eastAsia"/>
          <w:lang w:val="en-US" w:eastAsia="zh-CN"/>
        </w:rPr>
        <w:t>万洲奇智（青岛）信息科技有限</w:t>
      </w:r>
      <w:r>
        <w:t>公司</w:t>
      </w:r>
      <w:bookmarkEnd w:id="0"/>
    </w:p>
    <w:p w14:paraId="5B6F3A73">
      <w:pPr>
        <w:pStyle w:val="25"/>
        <w:bidi w:val="0"/>
        <w:rPr>
          <w:rFonts w:hint="default"/>
          <w:lang w:val="en-US"/>
        </w:rPr>
      </w:pPr>
      <w:bookmarkStart w:id="1" w:name="_Toc5894"/>
      <w:r>
        <w:rPr>
          <w:rFonts w:hint="eastAsia"/>
          <w:lang w:val="en-US" w:eastAsia="zh-CN"/>
        </w:rPr>
        <w:t>信息安全管理制度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74F83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73A3EA7B">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3D1878A0">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31608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86AFF16">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7B21A1FB">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4BE3E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68168B0">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60AE824">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746F4081">
      <w:r>
        <w:br w:type="page"/>
      </w:r>
    </w:p>
    <w:p w14:paraId="4878D580">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D5B99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3FFA0E1A">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0DAE10B4">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5DE84AEF">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9B08F02">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043DA518">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7F3FED81">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D80A6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CC917E4">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7258D7A4">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A5D9322">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412A1FEC">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4A14C073">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7A2BB355">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232E353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A3167D7">
            <w:pPr>
              <w:pStyle w:val="27"/>
            </w:pPr>
          </w:p>
        </w:tc>
        <w:tc>
          <w:tcPr>
            <w:tcW w:w="919" w:type="dxa"/>
          </w:tcPr>
          <w:p w14:paraId="6B62EC7B">
            <w:pPr>
              <w:pStyle w:val="27"/>
            </w:pPr>
          </w:p>
        </w:tc>
        <w:tc>
          <w:tcPr>
            <w:tcW w:w="2289" w:type="dxa"/>
          </w:tcPr>
          <w:p w14:paraId="0A272CDC">
            <w:pPr>
              <w:pStyle w:val="27"/>
            </w:pPr>
          </w:p>
        </w:tc>
        <w:tc>
          <w:tcPr>
            <w:tcW w:w="1148" w:type="dxa"/>
          </w:tcPr>
          <w:p w14:paraId="37F56567">
            <w:pPr>
              <w:spacing w:before="172" w:line="228" w:lineRule="auto"/>
              <w:ind w:left="313"/>
            </w:pPr>
          </w:p>
        </w:tc>
        <w:tc>
          <w:tcPr>
            <w:tcW w:w="1150" w:type="dxa"/>
          </w:tcPr>
          <w:p w14:paraId="3495829A">
            <w:pPr>
              <w:spacing w:before="172" w:line="228" w:lineRule="auto"/>
              <w:ind w:left="313"/>
            </w:pPr>
          </w:p>
        </w:tc>
        <w:tc>
          <w:tcPr>
            <w:tcW w:w="1240" w:type="dxa"/>
          </w:tcPr>
          <w:p w14:paraId="5F559CE0">
            <w:pPr>
              <w:pStyle w:val="27"/>
            </w:pPr>
          </w:p>
        </w:tc>
      </w:tr>
      <w:tr w14:paraId="73BF6B8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FFF1295">
            <w:pPr>
              <w:pStyle w:val="27"/>
            </w:pPr>
          </w:p>
        </w:tc>
        <w:tc>
          <w:tcPr>
            <w:tcW w:w="919" w:type="dxa"/>
          </w:tcPr>
          <w:p w14:paraId="1F3DAA7A">
            <w:pPr>
              <w:pStyle w:val="27"/>
            </w:pPr>
          </w:p>
        </w:tc>
        <w:tc>
          <w:tcPr>
            <w:tcW w:w="2289" w:type="dxa"/>
          </w:tcPr>
          <w:p w14:paraId="00B75BFD">
            <w:pPr>
              <w:pStyle w:val="27"/>
            </w:pPr>
          </w:p>
        </w:tc>
        <w:tc>
          <w:tcPr>
            <w:tcW w:w="1148" w:type="dxa"/>
          </w:tcPr>
          <w:p w14:paraId="66BD2D01">
            <w:pPr>
              <w:spacing w:before="173" w:line="229" w:lineRule="auto"/>
              <w:ind w:left="314"/>
            </w:pPr>
          </w:p>
        </w:tc>
        <w:tc>
          <w:tcPr>
            <w:tcW w:w="1150" w:type="dxa"/>
          </w:tcPr>
          <w:p w14:paraId="456B17F6">
            <w:pPr>
              <w:spacing w:before="173" w:line="229" w:lineRule="auto"/>
              <w:ind w:left="314"/>
            </w:pPr>
          </w:p>
        </w:tc>
        <w:tc>
          <w:tcPr>
            <w:tcW w:w="1240" w:type="dxa"/>
          </w:tcPr>
          <w:p w14:paraId="51B97AB0">
            <w:pPr>
              <w:pStyle w:val="27"/>
            </w:pPr>
          </w:p>
        </w:tc>
      </w:tr>
      <w:tr w14:paraId="04FB3F3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03A819F6">
            <w:pPr>
              <w:pStyle w:val="27"/>
            </w:pPr>
          </w:p>
        </w:tc>
        <w:tc>
          <w:tcPr>
            <w:tcW w:w="919" w:type="dxa"/>
          </w:tcPr>
          <w:p w14:paraId="0B65E8F9">
            <w:pPr>
              <w:pStyle w:val="27"/>
            </w:pPr>
          </w:p>
        </w:tc>
        <w:tc>
          <w:tcPr>
            <w:tcW w:w="2289" w:type="dxa"/>
          </w:tcPr>
          <w:p w14:paraId="0D80F9D5">
            <w:pPr>
              <w:pStyle w:val="27"/>
            </w:pPr>
          </w:p>
        </w:tc>
        <w:tc>
          <w:tcPr>
            <w:tcW w:w="1148" w:type="dxa"/>
          </w:tcPr>
          <w:p w14:paraId="720F5663">
            <w:pPr>
              <w:pStyle w:val="27"/>
            </w:pPr>
          </w:p>
        </w:tc>
        <w:tc>
          <w:tcPr>
            <w:tcW w:w="1150" w:type="dxa"/>
          </w:tcPr>
          <w:p w14:paraId="16E5A1A3">
            <w:pPr>
              <w:pStyle w:val="27"/>
            </w:pPr>
          </w:p>
        </w:tc>
        <w:tc>
          <w:tcPr>
            <w:tcW w:w="1240" w:type="dxa"/>
          </w:tcPr>
          <w:p w14:paraId="253FE005">
            <w:pPr>
              <w:pStyle w:val="27"/>
            </w:pPr>
          </w:p>
        </w:tc>
      </w:tr>
      <w:tr w14:paraId="33342C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84B4FFB">
            <w:pPr>
              <w:pStyle w:val="27"/>
            </w:pPr>
          </w:p>
        </w:tc>
        <w:tc>
          <w:tcPr>
            <w:tcW w:w="919" w:type="dxa"/>
          </w:tcPr>
          <w:p w14:paraId="07D9DFE3">
            <w:pPr>
              <w:pStyle w:val="27"/>
            </w:pPr>
          </w:p>
        </w:tc>
        <w:tc>
          <w:tcPr>
            <w:tcW w:w="2289" w:type="dxa"/>
          </w:tcPr>
          <w:p w14:paraId="1A769856">
            <w:pPr>
              <w:pStyle w:val="27"/>
            </w:pPr>
          </w:p>
        </w:tc>
        <w:tc>
          <w:tcPr>
            <w:tcW w:w="1148" w:type="dxa"/>
          </w:tcPr>
          <w:p w14:paraId="3D532E0D">
            <w:pPr>
              <w:pStyle w:val="27"/>
            </w:pPr>
          </w:p>
        </w:tc>
        <w:tc>
          <w:tcPr>
            <w:tcW w:w="1150" w:type="dxa"/>
          </w:tcPr>
          <w:p w14:paraId="21541216">
            <w:pPr>
              <w:pStyle w:val="27"/>
            </w:pPr>
          </w:p>
        </w:tc>
        <w:tc>
          <w:tcPr>
            <w:tcW w:w="1240" w:type="dxa"/>
          </w:tcPr>
          <w:p w14:paraId="0E18CA09">
            <w:pPr>
              <w:pStyle w:val="27"/>
            </w:pPr>
          </w:p>
        </w:tc>
      </w:tr>
      <w:tr w14:paraId="423E71F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41A1F275">
            <w:pPr>
              <w:pStyle w:val="27"/>
            </w:pPr>
          </w:p>
        </w:tc>
        <w:tc>
          <w:tcPr>
            <w:tcW w:w="919" w:type="dxa"/>
          </w:tcPr>
          <w:p w14:paraId="6DBAAFDD">
            <w:pPr>
              <w:pStyle w:val="27"/>
            </w:pPr>
          </w:p>
        </w:tc>
        <w:tc>
          <w:tcPr>
            <w:tcW w:w="2289" w:type="dxa"/>
          </w:tcPr>
          <w:p w14:paraId="02124AD5">
            <w:pPr>
              <w:pStyle w:val="27"/>
            </w:pPr>
          </w:p>
        </w:tc>
        <w:tc>
          <w:tcPr>
            <w:tcW w:w="1148" w:type="dxa"/>
          </w:tcPr>
          <w:p w14:paraId="38609914">
            <w:pPr>
              <w:pStyle w:val="27"/>
            </w:pPr>
          </w:p>
        </w:tc>
        <w:tc>
          <w:tcPr>
            <w:tcW w:w="1150" w:type="dxa"/>
          </w:tcPr>
          <w:p w14:paraId="73D4D5FC">
            <w:pPr>
              <w:pStyle w:val="27"/>
            </w:pPr>
          </w:p>
        </w:tc>
        <w:tc>
          <w:tcPr>
            <w:tcW w:w="1240" w:type="dxa"/>
          </w:tcPr>
          <w:p w14:paraId="38D9EDF0">
            <w:pPr>
              <w:pStyle w:val="27"/>
            </w:pPr>
          </w:p>
        </w:tc>
      </w:tr>
    </w:tbl>
    <w:p w14:paraId="29D0AB77">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067EC682">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5B20AD66">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_Toc13957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_Toc13957 \h </w:instrText>
          </w:r>
          <w:r>
            <w:fldChar w:fldCharType="separate"/>
          </w:r>
          <w:r>
            <w:t>1</w:t>
          </w:r>
          <w:r>
            <w:fldChar w:fldCharType="end"/>
          </w:r>
          <w:r>
            <w:rPr>
              <w:rFonts w:hint="eastAsia" w:ascii="宋体" w:hAnsi="宋体" w:eastAsia="宋体" w:cs="宋体"/>
              <w:szCs w:val="24"/>
            </w:rPr>
            <w:fldChar w:fldCharType="end"/>
          </w:r>
        </w:p>
        <w:p w14:paraId="153EEC0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_Toc5894 </w:instrText>
          </w:r>
          <w:r>
            <w:rPr>
              <w:rFonts w:hint="eastAsia" w:ascii="宋体" w:hAnsi="宋体" w:eastAsia="宋体" w:cs="宋体"/>
              <w:szCs w:val="24"/>
            </w:rPr>
            <w:fldChar w:fldCharType="separate"/>
          </w:r>
          <w:r>
            <w:rPr>
              <w:rFonts w:hint="eastAsia"/>
              <w:lang w:val="en-US" w:eastAsia="zh-CN"/>
            </w:rPr>
            <w:t>信息安全管理制度</w:t>
          </w:r>
          <w:r>
            <w:tab/>
          </w:r>
          <w:r>
            <w:fldChar w:fldCharType="begin"/>
          </w:r>
          <w:r>
            <w:instrText xml:space="preserve"> PAGEREF _Toc5894 \h </w:instrText>
          </w:r>
          <w:r>
            <w:fldChar w:fldCharType="separate"/>
          </w:r>
          <w:r>
            <w:t>1</w:t>
          </w:r>
          <w:r>
            <w:fldChar w:fldCharType="end"/>
          </w:r>
          <w:r>
            <w:rPr>
              <w:rFonts w:hint="eastAsia" w:ascii="宋体" w:hAnsi="宋体" w:eastAsia="宋体" w:cs="宋体"/>
              <w:szCs w:val="24"/>
            </w:rPr>
            <w:fldChar w:fldCharType="end"/>
          </w:r>
        </w:p>
        <w:p w14:paraId="449C963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_Toc3099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_Toc3099 \h </w:instrText>
          </w:r>
          <w:r>
            <w:fldChar w:fldCharType="separate"/>
          </w:r>
          <w:r>
            <w:t>4</w:t>
          </w:r>
          <w:r>
            <w:fldChar w:fldCharType="end"/>
          </w:r>
          <w:r>
            <w:rPr>
              <w:rFonts w:hint="eastAsia" w:ascii="宋体" w:hAnsi="宋体" w:eastAsia="宋体" w:cs="宋体"/>
              <w:szCs w:val="24"/>
            </w:rPr>
            <w:fldChar w:fldCharType="end"/>
          </w:r>
        </w:p>
        <w:p w14:paraId="2C244B5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_Toc19392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_Toc19392 \h </w:instrText>
          </w:r>
          <w:r>
            <w:fldChar w:fldCharType="separate"/>
          </w:r>
          <w:r>
            <w:t>4</w:t>
          </w:r>
          <w:r>
            <w:fldChar w:fldCharType="end"/>
          </w:r>
          <w:r>
            <w:rPr>
              <w:rFonts w:hint="eastAsia" w:ascii="宋体" w:hAnsi="宋体" w:eastAsia="宋体" w:cs="宋体"/>
              <w:szCs w:val="24"/>
            </w:rPr>
            <w:fldChar w:fldCharType="end"/>
          </w:r>
        </w:p>
        <w:p w14:paraId="138B31E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_Toc18451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_Toc18451 \h </w:instrText>
          </w:r>
          <w:r>
            <w:fldChar w:fldCharType="separate"/>
          </w:r>
          <w:r>
            <w:t>4</w:t>
          </w:r>
          <w:r>
            <w:fldChar w:fldCharType="end"/>
          </w:r>
          <w:r>
            <w:rPr>
              <w:rFonts w:hint="eastAsia" w:ascii="宋体" w:hAnsi="宋体" w:eastAsia="宋体" w:cs="宋体"/>
              <w:szCs w:val="24"/>
            </w:rPr>
            <w:fldChar w:fldCharType="end"/>
          </w:r>
        </w:p>
        <w:p w14:paraId="0EAA4E3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_Toc6536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_Toc6536 \h </w:instrText>
          </w:r>
          <w:r>
            <w:fldChar w:fldCharType="separate"/>
          </w:r>
          <w:r>
            <w:t>4</w:t>
          </w:r>
          <w:r>
            <w:fldChar w:fldCharType="end"/>
          </w:r>
          <w:r>
            <w:rPr>
              <w:rFonts w:hint="eastAsia" w:ascii="宋体" w:hAnsi="宋体" w:eastAsia="宋体" w:cs="宋体"/>
              <w:szCs w:val="24"/>
            </w:rPr>
            <w:fldChar w:fldCharType="end"/>
          </w:r>
        </w:p>
        <w:p w14:paraId="048758E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_Toc10571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w:t>
          </w:r>
          <w:r>
            <w:tab/>
          </w:r>
          <w:r>
            <w:fldChar w:fldCharType="begin"/>
          </w:r>
          <w:r>
            <w:instrText xml:space="preserve"> PAGEREF _Toc10571 \h </w:instrText>
          </w:r>
          <w:r>
            <w:fldChar w:fldCharType="separate"/>
          </w:r>
          <w:r>
            <w:t>4</w:t>
          </w:r>
          <w:r>
            <w:fldChar w:fldCharType="end"/>
          </w:r>
          <w:r>
            <w:rPr>
              <w:rFonts w:hint="eastAsia" w:ascii="宋体" w:hAnsi="宋体" w:eastAsia="宋体" w:cs="宋体"/>
              <w:szCs w:val="24"/>
            </w:rPr>
            <w:fldChar w:fldCharType="end"/>
          </w:r>
        </w:p>
        <w:p w14:paraId="422BD62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_Toc10060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信息安全管理流程</w:t>
          </w:r>
          <w:r>
            <w:tab/>
          </w:r>
          <w:r>
            <w:fldChar w:fldCharType="begin"/>
          </w:r>
          <w:r>
            <w:instrText xml:space="preserve"> PAGEREF _Toc10060 \h </w:instrText>
          </w:r>
          <w:r>
            <w:fldChar w:fldCharType="separate"/>
          </w:r>
          <w:r>
            <w:t>5</w:t>
          </w:r>
          <w:r>
            <w:fldChar w:fldCharType="end"/>
          </w:r>
          <w:r>
            <w:rPr>
              <w:rFonts w:hint="eastAsia" w:ascii="宋体" w:hAnsi="宋体" w:eastAsia="宋体" w:cs="宋体"/>
              <w:szCs w:val="24"/>
            </w:rPr>
            <w:fldChar w:fldCharType="end"/>
          </w:r>
        </w:p>
        <w:p w14:paraId="15FF444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_Toc14433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过程描述</w:t>
          </w:r>
          <w:r>
            <w:tab/>
          </w:r>
          <w:r>
            <w:fldChar w:fldCharType="begin"/>
          </w:r>
          <w:r>
            <w:instrText xml:space="preserve"> PAGEREF _Toc14433 \h </w:instrText>
          </w:r>
          <w:r>
            <w:fldChar w:fldCharType="separate"/>
          </w:r>
          <w:r>
            <w:t>5</w:t>
          </w:r>
          <w:r>
            <w:fldChar w:fldCharType="end"/>
          </w:r>
          <w:r>
            <w:rPr>
              <w:rFonts w:hint="eastAsia" w:ascii="宋体" w:hAnsi="宋体" w:eastAsia="宋体" w:cs="宋体"/>
              <w:szCs w:val="24"/>
            </w:rPr>
            <w:fldChar w:fldCharType="end"/>
          </w:r>
        </w:p>
        <w:p w14:paraId="7A1B3ED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_Toc27401 </w:instrText>
          </w:r>
          <w:r>
            <w:rPr>
              <w:rFonts w:hint="eastAsia" w:ascii="宋体" w:hAnsi="宋体" w:eastAsia="宋体" w:cs="宋体"/>
              <w:szCs w:val="24"/>
            </w:rPr>
            <w:fldChar w:fldCharType="separate"/>
          </w:r>
          <w:r>
            <w:rPr>
              <w:rFonts w:hint="default"/>
            </w:rPr>
            <w:t xml:space="preserve">5.1.1. </w:t>
          </w:r>
          <w:r>
            <w:t>需求识别和分析</w:t>
          </w:r>
          <w:r>
            <w:tab/>
          </w:r>
          <w:r>
            <w:fldChar w:fldCharType="begin"/>
          </w:r>
          <w:r>
            <w:instrText xml:space="preserve"> PAGEREF _Toc27401 \h </w:instrText>
          </w:r>
          <w:r>
            <w:fldChar w:fldCharType="separate"/>
          </w:r>
          <w:r>
            <w:t>5</w:t>
          </w:r>
          <w:r>
            <w:fldChar w:fldCharType="end"/>
          </w:r>
          <w:r>
            <w:rPr>
              <w:rFonts w:hint="eastAsia" w:ascii="宋体" w:hAnsi="宋体" w:eastAsia="宋体" w:cs="宋体"/>
              <w:szCs w:val="24"/>
            </w:rPr>
            <w:fldChar w:fldCharType="end"/>
          </w:r>
        </w:p>
        <w:p w14:paraId="503D0E4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_Toc19401 </w:instrText>
          </w:r>
          <w:r>
            <w:rPr>
              <w:rFonts w:hint="eastAsia" w:ascii="宋体" w:hAnsi="宋体" w:eastAsia="宋体" w:cs="宋体"/>
              <w:szCs w:val="24"/>
            </w:rPr>
            <w:fldChar w:fldCharType="separate"/>
          </w:r>
          <w:r>
            <w:rPr>
              <w:rFonts w:hint="default"/>
            </w:rPr>
            <w:t xml:space="preserve">5.1.2. </w:t>
          </w:r>
          <w:r>
            <w:t>确定安全实施范围</w:t>
          </w:r>
          <w:r>
            <w:tab/>
          </w:r>
          <w:r>
            <w:fldChar w:fldCharType="begin"/>
          </w:r>
          <w:r>
            <w:instrText xml:space="preserve"> PAGEREF _Toc19401 \h </w:instrText>
          </w:r>
          <w:r>
            <w:fldChar w:fldCharType="separate"/>
          </w:r>
          <w:r>
            <w:t>6</w:t>
          </w:r>
          <w:r>
            <w:fldChar w:fldCharType="end"/>
          </w:r>
          <w:r>
            <w:rPr>
              <w:rFonts w:hint="eastAsia" w:ascii="宋体" w:hAnsi="宋体" w:eastAsia="宋体" w:cs="宋体"/>
              <w:szCs w:val="24"/>
            </w:rPr>
            <w:fldChar w:fldCharType="end"/>
          </w:r>
        </w:p>
        <w:p w14:paraId="0A23D8B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 </w:instrText>
          </w:r>
          <w:r>
            <w:rPr>
              <w:rFonts w:hint="eastAsia" w:ascii="宋体" w:hAnsi="宋体" w:eastAsia="宋体" w:cs="宋体"/>
              <w:szCs w:val="24"/>
            </w:rPr>
            <w:fldChar w:fldCharType="separate"/>
          </w:r>
          <w:r>
            <w:rPr>
              <w:rFonts w:hint="default"/>
            </w:rPr>
            <w:t xml:space="preserve">5.1.3. </w:t>
          </w:r>
          <w:r>
            <w:t>5.3 信息安全风险评估</w:t>
          </w:r>
          <w:r>
            <w:tab/>
          </w:r>
          <w:r>
            <w:fldChar w:fldCharType="begin"/>
          </w:r>
          <w:r>
            <w:instrText xml:space="preserve"> PAGEREF _Toc16 \h </w:instrText>
          </w:r>
          <w:r>
            <w:fldChar w:fldCharType="separate"/>
          </w:r>
          <w:r>
            <w:t>6</w:t>
          </w:r>
          <w:r>
            <w:fldChar w:fldCharType="end"/>
          </w:r>
          <w:r>
            <w:rPr>
              <w:rFonts w:hint="eastAsia" w:ascii="宋体" w:hAnsi="宋体" w:eastAsia="宋体" w:cs="宋体"/>
              <w:szCs w:val="24"/>
            </w:rPr>
            <w:fldChar w:fldCharType="end"/>
          </w:r>
        </w:p>
        <w:p w14:paraId="43B1D31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_Toc23960 </w:instrText>
          </w:r>
          <w:r>
            <w:rPr>
              <w:rFonts w:hint="eastAsia" w:ascii="宋体" w:hAnsi="宋体" w:eastAsia="宋体" w:cs="宋体"/>
              <w:szCs w:val="24"/>
            </w:rPr>
            <w:fldChar w:fldCharType="separate"/>
          </w:r>
          <w:r>
            <w:rPr>
              <w:rFonts w:hint="default"/>
            </w:rPr>
            <w:t xml:space="preserve">5.1.4. </w:t>
          </w:r>
          <w:r>
            <w:t>设计安全规范</w:t>
          </w:r>
          <w:r>
            <w:tab/>
          </w:r>
          <w:r>
            <w:fldChar w:fldCharType="begin"/>
          </w:r>
          <w:r>
            <w:instrText xml:space="preserve"> PAGEREF _Toc23960 \h </w:instrText>
          </w:r>
          <w:r>
            <w:fldChar w:fldCharType="separate"/>
          </w:r>
          <w:r>
            <w:t>6</w:t>
          </w:r>
          <w:r>
            <w:fldChar w:fldCharType="end"/>
          </w:r>
          <w:r>
            <w:rPr>
              <w:rFonts w:hint="eastAsia" w:ascii="宋体" w:hAnsi="宋体" w:eastAsia="宋体" w:cs="宋体"/>
              <w:szCs w:val="24"/>
            </w:rPr>
            <w:fldChar w:fldCharType="end"/>
          </w:r>
        </w:p>
        <w:p w14:paraId="5DE0F7D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_Toc7195 </w:instrText>
          </w:r>
          <w:r>
            <w:rPr>
              <w:rFonts w:hint="eastAsia" w:ascii="宋体" w:hAnsi="宋体" w:eastAsia="宋体" w:cs="宋体"/>
              <w:szCs w:val="24"/>
            </w:rPr>
            <w:fldChar w:fldCharType="separate"/>
          </w:r>
          <w:r>
            <w:rPr>
              <w:rFonts w:hint="default"/>
            </w:rPr>
            <w:t xml:space="preserve">5.1.5. </w:t>
          </w:r>
          <w:r>
            <w:t>实施安全规范</w:t>
          </w:r>
          <w:r>
            <w:tab/>
          </w:r>
          <w:r>
            <w:fldChar w:fldCharType="begin"/>
          </w:r>
          <w:r>
            <w:instrText xml:space="preserve"> PAGEREF _Toc7195 \h </w:instrText>
          </w:r>
          <w:r>
            <w:fldChar w:fldCharType="separate"/>
          </w:r>
          <w:r>
            <w:t>6</w:t>
          </w:r>
          <w:r>
            <w:fldChar w:fldCharType="end"/>
          </w:r>
          <w:r>
            <w:rPr>
              <w:rFonts w:hint="eastAsia" w:ascii="宋体" w:hAnsi="宋体" w:eastAsia="宋体" w:cs="宋体"/>
              <w:szCs w:val="24"/>
            </w:rPr>
            <w:fldChar w:fldCharType="end"/>
          </w:r>
        </w:p>
        <w:p w14:paraId="66A7A17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_Toc18604 </w:instrText>
          </w:r>
          <w:r>
            <w:rPr>
              <w:rFonts w:hint="eastAsia" w:ascii="宋体" w:hAnsi="宋体" w:eastAsia="宋体" w:cs="宋体"/>
              <w:szCs w:val="24"/>
            </w:rPr>
            <w:fldChar w:fldCharType="separate"/>
          </w:r>
          <w:r>
            <w:rPr>
              <w:rFonts w:hint="default"/>
            </w:rPr>
            <w:t xml:space="preserve">5.1.6. </w:t>
          </w:r>
          <w:r>
            <w:t>监控安全状况</w:t>
          </w:r>
          <w:r>
            <w:tab/>
          </w:r>
          <w:r>
            <w:fldChar w:fldCharType="begin"/>
          </w:r>
          <w:r>
            <w:instrText xml:space="preserve"> PAGEREF _Toc18604 \h </w:instrText>
          </w:r>
          <w:r>
            <w:fldChar w:fldCharType="separate"/>
          </w:r>
          <w:r>
            <w:t>7</w:t>
          </w:r>
          <w:r>
            <w:fldChar w:fldCharType="end"/>
          </w:r>
          <w:r>
            <w:rPr>
              <w:rFonts w:hint="eastAsia" w:ascii="宋体" w:hAnsi="宋体" w:eastAsia="宋体" w:cs="宋体"/>
              <w:szCs w:val="24"/>
            </w:rPr>
            <w:fldChar w:fldCharType="end"/>
          </w:r>
        </w:p>
        <w:p w14:paraId="029F269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_Toc602 </w:instrText>
          </w:r>
          <w:r>
            <w:rPr>
              <w:rFonts w:hint="eastAsia" w:ascii="宋体" w:hAnsi="宋体" w:eastAsia="宋体" w:cs="宋体"/>
              <w:szCs w:val="24"/>
            </w:rPr>
            <w:fldChar w:fldCharType="separate"/>
          </w:r>
          <w:r>
            <w:rPr>
              <w:rFonts w:hint="default"/>
            </w:rPr>
            <w:t xml:space="preserve">5.1.7. </w:t>
          </w:r>
          <w:r>
            <w:t>维护安全规范</w:t>
          </w:r>
          <w:r>
            <w:tab/>
          </w:r>
          <w:r>
            <w:fldChar w:fldCharType="begin"/>
          </w:r>
          <w:r>
            <w:instrText xml:space="preserve"> PAGEREF _Toc602 \h </w:instrText>
          </w:r>
          <w:r>
            <w:fldChar w:fldCharType="separate"/>
          </w:r>
          <w:r>
            <w:t>7</w:t>
          </w:r>
          <w:r>
            <w:fldChar w:fldCharType="end"/>
          </w:r>
          <w:r>
            <w:rPr>
              <w:rFonts w:hint="eastAsia" w:ascii="宋体" w:hAnsi="宋体" w:eastAsia="宋体" w:cs="宋体"/>
              <w:szCs w:val="24"/>
            </w:rPr>
            <w:fldChar w:fldCharType="end"/>
          </w:r>
        </w:p>
        <w:p w14:paraId="719E32F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_Toc28699 </w:instrText>
          </w:r>
          <w:r>
            <w:rPr>
              <w:rFonts w:hint="eastAsia" w:ascii="宋体" w:hAnsi="宋体" w:eastAsia="宋体" w:cs="宋体"/>
              <w:szCs w:val="24"/>
            </w:rPr>
            <w:fldChar w:fldCharType="separate"/>
          </w:r>
          <w:r>
            <w:rPr>
              <w:rFonts w:hint="default"/>
            </w:rPr>
            <w:t xml:space="preserve">5.1.8. </w:t>
          </w:r>
          <w:r>
            <w:t>信息安全报告</w:t>
          </w:r>
          <w:r>
            <w:tab/>
          </w:r>
          <w:r>
            <w:fldChar w:fldCharType="begin"/>
          </w:r>
          <w:r>
            <w:instrText xml:space="preserve"> PAGEREF _Toc28699 \h </w:instrText>
          </w:r>
          <w:r>
            <w:fldChar w:fldCharType="separate"/>
          </w:r>
          <w:r>
            <w:t>7</w:t>
          </w:r>
          <w:r>
            <w:fldChar w:fldCharType="end"/>
          </w:r>
          <w:r>
            <w:rPr>
              <w:rFonts w:hint="eastAsia" w:ascii="宋体" w:hAnsi="宋体" w:eastAsia="宋体" w:cs="宋体"/>
              <w:szCs w:val="24"/>
            </w:rPr>
            <w:fldChar w:fldCharType="end"/>
          </w:r>
        </w:p>
        <w:p w14:paraId="5820658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_Toc2982 </w:instrText>
          </w:r>
          <w:r>
            <w:rPr>
              <w:rFonts w:hint="eastAsia" w:ascii="宋体" w:hAnsi="宋体" w:eastAsia="宋体" w:cs="宋体"/>
              <w:szCs w:val="24"/>
            </w:rPr>
            <w:fldChar w:fldCharType="separate"/>
          </w:r>
          <w:r>
            <w:rPr>
              <w:rFonts w:hint="default"/>
            </w:rPr>
            <w:t xml:space="preserve">5.2. </w:t>
          </w:r>
          <w:r>
            <w:t>考核指标</w:t>
          </w:r>
          <w:r>
            <w:tab/>
          </w:r>
          <w:r>
            <w:fldChar w:fldCharType="begin"/>
          </w:r>
          <w:r>
            <w:instrText xml:space="preserve"> PAGEREF _Toc2982 \h </w:instrText>
          </w:r>
          <w:r>
            <w:fldChar w:fldCharType="separate"/>
          </w:r>
          <w:r>
            <w:t>8</w:t>
          </w:r>
          <w:r>
            <w:fldChar w:fldCharType="end"/>
          </w:r>
          <w:r>
            <w:rPr>
              <w:rFonts w:hint="eastAsia" w:ascii="宋体" w:hAnsi="宋体" w:eastAsia="宋体" w:cs="宋体"/>
              <w:szCs w:val="24"/>
            </w:rPr>
            <w:fldChar w:fldCharType="end"/>
          </w:r>
        </w:p>
        <w:p w14:paraId="2645030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_Toc11021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_Toc11021 \h </w:instrText>
          </w:r>
          <w:r>
            <w:fldChar w:fldCharType="separate"/>
          </w:r>
          <w:r>
            <w:t>8</w:t>
          </w:r>
          <w:r>
            <w:fldChar w:fldCharType="end"/>
          </w:r>
          <w:r>
            <w:rPr>
              <w:rFonts w:hint="eastAsia" w:ascii="宋体" w:hAnsi="宋体" w:eastAsia="宋体" w:cs="宋体"/>
              <w:szCs w:val="24"/>
            </w:rPr>
            <w:fldChar w:fldCharType="end"/>
          </w:r>
        </w:p>
        <w:p w14:paraId="213866A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_Toc21874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_Toc21874 \h </w:instrText>
          </w:r>
          <w:r>
            <w:fldChar w:fldCharType="separate"/>
          </w:r>
          <w:r>
            <w:t>8</w:t>
          </w:r>
          <w:r>
            <w:fldChar w:fldCharType="end"/>
          </w:r>
          <w:r>
            <w:rPr>
              <w:rFonts w:hint="eastAsia" w:ascii="宋体" w:hAnsi="宋体" w:eastAsia="宋体" w:cs="宋体"/>
              <w:szCs w:val="24"/>
            </w:rPr>
            <w:fldChar w:fldCharType="end"/>
          </w:r>
        </w:p>
        <w:p w14:paraId="373C8EB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_Toc24682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_Toc24682 \h </w:instrText>
          </w:r>
          <w:r>
            <w:fldChar w:fldCharType="separate"/>
          </w:r>
          <w:r>
            <w:t>8</w:t>
          </w:r>
          <w:r>
            <w:fldChar w:fldCharType="end"/>
          </w:r>
          <w:r>
            <w:rPr>
              <w:rFonts w:hint="eastAsia" w:ascii="宋体" w:hAnsi="宋体" w:eastAsia="宋体" w:cs="宋体"/>
              <w:szCs w:val="24"/>
            </w:rPr>
            <w:fldChar w:fldCharType="end"/>
          </w:r>
        </w:p>
        <w:p w14:paraId="5B1050DD">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DF157E5">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6998A951">
      <w:pPr>
        <w:pStyle w:val="28"/>
        <w:bidi w:val="0"/>
      </w:pPr>
      <w:bookmarkStart w:id="2" w:name="_Toc3099"/>
      <w:r>
        <w:t>目的</w:t>
      </w:r>
      <w:bookmarkEnd w:id="2"/>
    </w:p>
    <w:p w14:paraId="7CDD7FED">
      <w:pPr>
        <w:pStyle w:val="29"/>
        <w:bidi w:val="0"/>
      </w:pPr>
      <w:r>
        <w:t>本</w:t>
      </w:r>
      <w:r>
        <w:rPr>
          <w:rFonts w:hint="eastAsia"/>
          <w:lang w:val="en-US" w:eastAsia="zh-CN"/>
        </w:rPr>
        <w:t>制度</w:t>
      </w:r>
      <w:r>
        <w:t>的目的是在客户服务工作中有效管理信息安全。</w:t>
      </w:r>
    </w:p>
    <w:p w14:paraId="5965C64A">
      <w:pPr>
        <w:pStyle w:val="29"/>
        <w:numPr>
          <w:ilvl w:val="0"/>
          <w:numId w:val="2"/>
        </w:numPr>
        <w:bidi w:val="0"/>
        <w:ind w:left="425" w:leftChars="0" w:hanging="425" w:firstLineChars="0"/>
      </w:pPr>
      <w:r>
        <w:t>满足信息系统集成、软件运维项目运行和客户服务中的安全性需求以及合同、法律和外部政策等外部要求；</w:t>
      </w:r>
    </w:p>
    <w:p w14:paraId="51FDC322">
      <w:pPr>
        <w:pStyle w:val="29"/>
        <w:numPr>
          <w:ilvl w:val="0"/>
          <w:numId w:val="2"/>
        </w:numPr>
        <w:bidi w:val="0"/>
        <w:ind w:left="425" w:leftChars="0" w:hanging="425" w:firstLineChars="0"/>
      </w:pPr>
      <w:r>
        <w:t>提供一个满足需求的基本的信息系统安全基线；</w:t>
      </w:r>
    </w:p>
    <w:p w14:paraId="39C1CF81">
      <w:pPr>
        <w:pStyle w:val="29"/>
        <w:numPr>
          <w:ilvl w:val="0"/>
          <w:numId w:val="2"/>
        </w:numPr>
        <w:bidi w:val="0"/>
        <w:ind w:left="425" w:leftChars="0" w:hanging="425" w:firstLineChars="0"/>
      </w:pPr>
      <w:r>
        <w:t>确保有效的信息安全措施在公司、运维部与</w:t>
      </w:r>
      <w:r>
        <w:rPr>
          <w:rFonts w:hint="eastAsia"/>
          <w:lang w:val="en-US" w:eastAsia="zh-CN"/>
        </w:rPr>
        <w:t>研发部</w:t>
      </w:r>
      <w:r>
        <w:t>和</w:t>
      </w:r>
      <w:r>
        <w:rPr>
          <w:rFonts w:hint="eastAsia"/>
          <w:lang w:val="en-US" w:eastAsia="zh-CN"/>
        </w:rPr>
        <w:t>服务台</w:t>
      </w:r>
      <w:r>
        <w:t>三个层面都得到贯彻。</w:t>
      </w:r>
    </w:p>
    <w:p w14:paraId="1BE95505">
      <w:pPr>
        <w:pStyle w:val="28"/>
        <w:bidi w:val="0"/>
        <w:rPr>
          <w:rFonts w:hint="eastAsia"/>
          <w:lang w:val="en-US" w:eastAsia="zh-CN"/>
        </w:rPr>
      </w:pPr>
      <w:bookmarkStart w:id="3" w:name="_Toc19392"/>
      <w:r>
        <w:rPr>
          <w:rFonts w:hint="eastAsia"/>
          <w:lang w:val="en-US" w:eastAsia="zh-CN"/>
        </w:rPr>
        <w:t>原则</w:t>
      </w:r>
      <w:bookmarkEnd w:id="3"/>
    </w:p>
    <w:p w14:paraId="455CD816">
      <w:pPr>
        <w:pStyle w:val="29"/>
        <w:bidi w:val="0"/>
        <w:rPr>
          <w:rFonts w:hint="eastAsia"/>
          <w:lang w:val="en-US" w:eastAsia="zh-CN"/>
        </w:rPr>
      </w:pPr>
      <w:r>
        <w:t>在保障可用性的前提下，保护信息的机密性与完整性，并基于风险实施全面、持续、闭环的管理。</w:t>
      </w:r>
    </w:p>
    <w:p w14:paraId="2F3976A1">
      <w:pPr>
        <w:pStyle w:val="28"/>
        <w:bidi w:val="0"/>
      </w:pPr>
      <w:bookmarkStart w:id="4" w:name="_Toc18451"/>
      <w:r>
        <w:rPr>
          <w:rFonts w:hint="eastAsia"/>
          <w:lang w:val="en-US" w:eastAsia="zh-CN"/>
        </w:rPr>
        <w:t>适用</w:t>
      </w:r>
      <w:r>
        <w:t>范围</w:t>
      </w:r>
      <w:bookmarkEnd w:id="4"/>
    </w:p>
    <w:p w14:paraId="2470C0DC">
      <w:pPr>
        <w:pStyle w:val="29"/>
        <w:bidi w:val="0"/>
      </w:pPr>
      <w:r>
        <w:t>适用于</w:t>
      </w:r>
      <w:r>
        <w:rPr>
          <w:rFonts w:hint="eastAsia"/>
          <w:lang w:val="en-US" w:eastAsia="zh-CN"/>
        </w:rPr>
        <w:t>运维服务过程中</w:t>
      </w:r>
      <w:r>
        <w:t>所有部门</w:t>
      </w:r>
    </w:p>
    <w:p w14:paraId="08AB65FA">
      <w:pPr>
        <w:pStyle w:val="28"/>
        <w:bidi w:val="0"/>
        <w:rPr>
          <w:rFonts w:hint="eastAsia"/>
          <w:lang w:val="en-US" w:eastAsia="zh-CN"/>
        </w:rPr>
      </w:pPr>
      <w:bookmarkStart w:id="5" w:name="_Toc6536"/>
      <w:r>
        <w:rPr>
          <w:rFonts w:hint="eastAsia"/>
          <w:lang w:val="en-US" w:eastAsia="zh-CN"/>
        </w:rPr>
        <w:t>岗位职责</w:t>
      </w:r>
      <w:bookmarkEnd w:id="5"/>
    </w:p>
    <w:p w14:paraId="11EFBC44">
      <w:pPr>
        <w:pStyle w:val="30"/>
        <w:bidi w:val="0"/>
        <w:rPr>
          <w:rFonts w:hint="eastAsia"/>
          <w:lang w:val="en-US" w:eastAsia="zh-CN"/>
        </w:rPr>
      </w:pPr>
      <w:bookmarkStart w:id="6" w:name="_Toc10571"/>
      <w:r>
        <w:rPr>
          <w:rFonts w:hint="eastAsia"/>
          <w:lang w:val="en-US" w:eastAsia="zh-CN"/>
        </w:rPr>
        <w:t>运维部</w:t>
      </w:r>
      <w:bookmarkEnd w:id="6"/>
    </w:p>
    <w:p w14:paraId="32B14180">
      <w:pPr>
        <w:pStyle w:val="39"/>
        <w:numPr>
          <w:ilvl w:val="0"/>
          <w:numId w:val="3"/>
        </w:numPr>
        <w:bidi w:val="0"/>
      </w:pPr>
      <w:r>
        <w:t>监控安全管理流程；</w:t>
      </w:r>
    </w:p>
    <w:p w14:paraId="0AB4D404">
      <w:pPr>
        <w:pStyle w:val="39"/>
        <w:numPr>
          <w:ilvl w:val="0"/>
          <w:numId w:val="3"/>
        </w:numPr>
        <w:bidi w:val="0"/>
      </w:pPr>
      <w:r>
        <w:t>根据组织安全需求，开发与维护安全计划；</w:t>
      </w:r>
    </w:p>
    <w:p w14:paraId="124249F9">
      <w:pPr>
        <w:pStyle w:val="39"/>
        <w:numPr>
          <w:ilvl w:val="0"/>
          <w:numId w:val="3"/>
        </w:numPr>
        <w:bidi w:val="0"/>
      </w:pPr>
      <w:r>
        <w:t>处理与安全相关的问题和事件；</w:t>
      </w:r>
    </w:p>
    <w:p w14:paraId="3CB89483">
      <w:pPr>
        <w:pStyle w:val="39"/>
        <w:numPr>
          <w:ilvl w:val="0"/>
          <w:numId w:val="3"/>
        </w:numPr>
        <w:bidi w:val="0"/>
      </w:pPr>
      <w:r>
        <w:t>确保满足SLA中指定的安全需求；</w:t>
      </w:r>
    </w:p>
    <w:p w14:paraId="59497C7E">
      <w:pPr>
        <w:pStyle w:val="39"/>
        <w:numPr>
          <w:ilvl w:val="0"/>
          <w:numId w:val="3"/>
        </w:numPr>
        <w:bidi w:val="0"/>
      </w:pPr>
      <w:r>
        <w:t>完成包含流程结果， 自评估及内部审计的信息安全风险评估报告；</w:t>
      </w:r>
    </w:p>
    <w:p w14:paraId="7AE5A03D">
      <w:pPr>
        <w:pStyle w:val="39"/>
        <w:numPr>
          <w:ilvl w:val="0"/>
          <w:numId w:val="3"/>
        </w:numPr>
        <w:bidi w:val="0"/>
      </w:pPr>
      <w:r>
        <w:t>负责制定运维安全范围和规范、表格。</w:t>
      </w:r>
    </w:p>
    <w:p w14:paraId="2621BCD5">
      <w:pPr>
        <w:pStyle w:val="39"/>
        <w:numPr>
          <w:ilvl w:val="0"/>
          <w:numId w:val="3"/>
        </w:numPr>
        <w:bidi w:val="0"/>
      </w:pPr>
      <w:r>
        <w:t>负责安排项目中的信息安全风险评估；</w:t>
      </w:r>
    </w:p>
    <w:p w14:paraId="044819C8">
      <w:pPr>
        <w:pStyle w:val="39"/>
        <w:numPr>
          <w:ilvl w:val="0"/>
          <w:numId w:val="3"/>
        </w:numPr>
        <w:bidi w:val="0"/>
      </w:pPr>
      <w:r>
        <w:t>做好用户的沟通，协调关于信息安全的问题。</w:t>
      </w:r>
    </w:p>
    <w:p w14:paraId="2B0D26A4">
      <w:pPr>
        <w:pStyle w:val="39"/>
        <w:numPr>
          <w:ilvl w:val="0"/>
          <w:numId w:val="3"/>
        </w:numPr>
        <w:bidi w:val="0"/>
      </w:pPr>
      <w:r>
        <w:t>负责该项目安全管理的严格实施和持续监控。</w:t>
      </w:r>
    </w:p>
    <w:p w14:paraId="6B683AAD">
      <w:pPr>
        <w:pStyle w:val="39"/>
        <w:numPr>
          <w:ilvl w:val="0"/>
          <w:numId w:val="3"/>
        </w:numPr>
        <w:bidi w:val="0"/>
      </w:pPr>
      <w:r>
        <w:t>出安全报告给用户。</w:t>
      </w:r>
    </w:p>
    <w:p w14:paraId="002A6802">
      <w:pPr>
        <w:pStyle w:val="39"/>
        <w:numPr>
          <w:ilvl w:val="0"/>
          <w:numId w:val="3"/>
        </w:numPr>
        <w:bidi w:val="0"/>
      </w:pPr>
      <w:r>
        <w:t>负责记录系统运行过程中的信息安全事件记录。</w:t>
      </w:r>
    </w:p>
    <w:p w14:paraId="203F46DF">
      <w:pPr>
        <w:pStyle w:val="39"/>
        <w:numPr>
          <w:ilvl w:val="0"/>
          <w:numId w:val="3"/>
        </w:numPr>
        <w:bidi w:val="0"/>
      </w:pPr>
      <w:r>
        <w:t>负责现场处理系统运行过程中的信息安全事件。</w:t>
      </w:r>
    </w:p>
    <w:p w14:paraId="64F4B72B">
      <w:pPr>
        <w:pStyle w:val="28"/>
        <w:bidi w:val="0"/>
        <w:rPr>
          <w:rFonts w:hint="default"/>
          <w:lang w:val="en-US" w:eastAsia="zh-CN"/>
        </w:rPr>
      </w:pPr>
      <w:bookmarkStart w:id="7" w:name="_Toc10060"/>
      <w:r>
        <w:rPr>
          <w:rFonts w:hint="eastAsia"/>
          <w:lang w:val="en-US" w:eastAsia="zh-CN"/>
        </w:rPr>
        <w:t>信息安全管理流程</w:t>
      </w:r>
      <w:bookmarkEnd w:id="7"/>
    </w:p>
    <w:p w14:paraId="67EE8278">
      <w:pPr>
        <w:pStyle w:val="29"/>
        <w:rPr>
          <w:rFonts w:hint="eastAsia"/>
          <w:lang w:val="en-US" w:eastAsia="zh-CN"/>
        </w:rPr>
      </w:pPr>
      <w:r>
        <w:rPr>
          <w:rFonts w:hint="eastAsia"/>
          <w:lang w:val="en-US" w:eastAsia="zh-CN"/>
        </w:rPr>
        <w:t>信息安全管理流程，如图5-1所示</w:t>
      </w:r>
    </w:p>
    <w:p w14:paraId="648BA849">
      <w:pPr>
        <w:pStyle w:val="29"/>
        <w:jc w:val="center"/>
        <w:rPr>
          <w:rFonts w:hint="eastAsia"/>
          <w:lang w:val="en-US" w:eastAsia="zh-CN"/>
        </w:rPr>
      </w:pPr>
      <w:r>
        <w:rPr>
          <w:rFonts w:hint="eastAsia"/>
          <w:lang w:val="en-US" w:eastAsia="zh-CN"/>
        </w:rPr>
        <w:t>图</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信息安全管理流程</w:t>
      </w:r>
    </w:p>
    <w:p w14:paraId="35167EBE">
      <w:pPr>
        <w:pStyle w:val="29"/>
        <w:jc w:val="left"/>
        <w:rPr>
          <w:rFonts w:hint="default"/>
          <w:lang w:val="en-US" w:eastAsia="zh-CN"/>
        </w:rPr>
      </w:pPr>
      <w:r>
        <w:rPr>
          <w:rFonts w:hint="default"/>
          <w:lang w:val="en-US" w:eastAsia="zh-CN"/>
        </w:rPr>
        <w:object>
          <v:shape id="_x0000_i1025" o:spt="75" type="#_x0000_t75" style="height:371.3pt;width:536.4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14:paraId="224E6028">
      <w:pPr>
        <w:pStyle w:val="30"/>
        <w:bidi w:val="0"/>
        <w:rPr>
          <w:rFonts w:hint="default"/>
          <w:lang w:val="en-US" w:eastAsia="zh-CN"/>
        </w:rPr>
      </w:pPr>
      <w:bookmarkStart w:id="8" w:name="_Toc14433"/>
      <w:r>
        <w:rPr>
          <w:rStyle w:val="42"/>
          <w:rFonts w:hint="eastAsia"/>
          <w:lang w:val="en-US" w:eastAsia="zh-CN"/>
        </w:rPr>
        <w:t>过程描述</w:t>
      </w:r>
      <w:bookmarkEnd w:id="8"/>
    </w:p>
    <w:p w14:paraId="1A06400D">
      <w:pPr>
        <w:pStyle w:val="29"/>
        <w:bidi w:val="0"/>
      </w:pPr>
      <w:r>
        <w:t>信息安全活动划分为三个部分，包括规划、实施和监控。规划包括需求识别和分析、确定安全实施范围、信息安全风险评估、安全规范设计；实施包括安全规范实施；监控包括安全状况监控、维护安全规范、信息安全报告。</w:t>
      </w:r>
    </w:p>
    <w:p w14:paraId="52258686">
      <w:pPr>
        <w:pStyle w:val="31"/>
        <w:bidi w:val="0"/>
      </w:pPr>
      <w:bookmarkStart w:id="9" w:name="_Toc27401"/>
      <w:r>
        <w:t>需求识别和分析</w:t>
      </w:r>
      <w:bookmarkEnd w:id="9"/>
    </w:p>
    <w:p w14:paraId="68279FBE">
      <w:pPr>
        <w:pStyle w:val="29"/>
        <w:bidi w:val="0"/>
      </w:pPr>
      <w:r>
        <w:t>根据服务级别协议中签订的关于安全的详细说明，确定安全需求并进行分析。服务级别协议中应该定义安全需求，在可能的情况下还应该以可测度的术语进行定义。该协议的安全部分应当确保客户所有的安全需求和标准能够实现，并且实现的结果能够进行明确的验证。需求识别的范围包括人员安全、数据安全、机房环境、设备安全、系统安全等的安全需求。</w:t>
      </w:r>
    </w:p>
    <w:p w14:paraId="6C2D344B">
      <w:pPr>
        <w:pStyle w:val="31"/>
        <w:bidi w:val="0"/>
      </w:pPr>
      <w:r>
        <w:t xml:space="preserve"> </w:t>
      </w:r>
      <w:bookmarkStart w:id="10" w:name="_Toc19401"/>
      <w:r>
        <w:t>确定安全实施范围</w:t>
      </w:r>
      <w:bookmarkEnd w:id="10"/>
    </w:p>
    <w:p w14:paraId="379565F2">
      <w:pPr>
        <w:pStyle w:val="29"/>
        <w:bidi w:val="0"/>
      </w:pPr>
      <w:r>
        <w:t>根据安全需求的识别情况确定安全实施范围。安全实施范围包括列为相应安全等级的数据、人员、机房、设备、系统等。</w:t>
      </w:r>
    </w:p>
    <w:p w14:paraId="7574BC9E">
      <w:pPr>
        <w:pStyle w:val="31"/>
        <w:bidi w:val="0"/>
      </w:pPr>
      <w:bookmarkStart w:id="11" w:name="bookmark15"/>
      <w:bookmarkEnd w:id="11"/>
      <w:bookmarkStart w:id="12" w:name="_Toc16"/>
      <w:r>
        <w:t>5.3 信息安全风险评估</w:t>
      </w:r>
      <w:bookmarkEnd w:id="12"/>
    </w:p>
    <w:p w14:paraId="5B030EAE">
      <w:pPr>
        <w:pStyle w:val="29"/>
        <w:bidi w:val="0"/>
      </w:pPr>
      <w:r>
        <w:rPr>
          <w:rFonts w:hint="eastAsia"/>
          <w:lang w:val="en-US" w:eastAsia="zh-CN"/>
        </w:rPr>
        <w:t>运维服务</w:t>
      </w:r>
      <w:r>
        <w:t>人员根据确定的安全实施范围进行风险分析与评估工作，并提交风险分析与评估报告。</w:t>
      </w:r>
    </w:p>
    <w:p w14:paraId="69AC6D1A">
      <w:pPr>
        <w:pStyle w:val="29"/>
        <w:bidi w:val="0"/>
      </w:pPr>
      <w:r>
        <w:t>风险评估包括识别安全实施范围内的资产状况、资产面临的威胁，在使用的技术方法和管理规范，进行总体分析得出风险的等级，编制《风险评估报告》。</w:t>
      </w:r>
    </w:p>
    <w:p w14:paraId="43608D92">
      <w:pPr>
        <w:pStyle w:val="31"/>
        <w:bidi w:val="0"/>
      </w:pPr>
      <w:bookmarkStart w:id="13" w:name="bookmark16"/>
      <w:bookmarkEnd w:id="13"/>
      <w:bookmarkStart w:id="14" w:name="_Toc23960"/>
      <w:r>
        <w:t>设计安全规范</w:t>
      </w:r>
      <w:bookmarkEnd w:id="14"/>
    </w:p>
    <w:p w14:paraId="6436E97D">
      <w:pPr>
        <w:pStyle w:val="29"/>
        <w:bidi w:val="0"/>
      </w:pPr>
      <w:r>
        <w:t>根据《风险评估报告》，</w:t>
      </w:r>
      <w:r>
        <w:rPr>
          <w:rFonts w:hint="eastAsia"/>
          <w:lang w:val="en-US" w:eastAsia="zh-CN"/>
        </w:rPr>
        <w:t>运维服务人员</w:t>
      </w:r>
      <w:r>
        <w:t>制定和编写《信息安全管理规范》 。并根据信息安全规范制定信息安全策略、针对个人的保密协议、岗位职责说明、机房管理制度。</w:t>
      </w:r>
    </w:p>
    <w:p w14:paraId="16ECFE38">
      <w:pPr>
        <w:pStyle w:val="31"/>
        <w:bidi w:val="0"/>
      </w:pPr>
      <w:bookmarkStart w:id="15" w:name="bookmark17"/>
      <w:bookmarkEnd w:id="15"/>
      <w:bookmarkStart w:id="16" w:name="_Toc7195"/>
      <w:r>
        <w:t>实施安全规范</w:t>
      </w:r>
      <w:bookmarkEnd w:id="16"/>
    </w:p>
    <w:p w14:paraId="4D48F927">
      <w:pPr>
        <w:pStyle w:val="29"/>
        <w:bidi w:val="0"/>
      </w:pPr>
      <w:r>
        <w:t>在设计好安全规范后，日常需按照安全规范来实施安全管理。</w:t>
      </w:r>
    </w:p>
    <w:p w14:paraId="00DED770">
      <w:pPr>
        <w:pStyle w:val="29"/>
        <w:numPr>
          <w:ilvl w:val="0"/>
          <w:numId w:val="4"/>
        </w:numPr>
        <w:bidi w:val="0"/>
        <w:ind w:left="425" w:leftChars="0" w:hanging="425" w:firstLineChars="0"/>
      </w:pPr>
      <w:r>
        <w:t xml:space="preserve"> 在人员安全方面的实施：</w:t>
      </w:r>
    </w:p>
    <w:p w14:paraId="3E9F0AE2">
      <w:pPr>
        <w:pStyle w:val="29"/>
        <w:numPr>
          <w:ilvl w:val="0"/>
          <w:numId w:val="5"/>
        </w:numPr>
        <w:bidi w:val="0"/>
        <w:ind w:left="845" w:leftChars="0" w:hanging="425" w:firstLineChars="0"/>
      </w:pPr>
      <w:r>
        <w:t>职位说明中的任务和职责；</w:t>
      </w:r>
    </w:p>
    <w:p w14:paraId="3781CBA6">
      <w:pPr>
        <w:pStyle w:val="29"/>
        <w:numPr>
          <w:ilvl w:val="0"/>
          <w:numId w:val="5"/>
        </w:numPr>
        <w:bidi w:val="0"/>
        <w:ind w:left="845" w:leftChars="0" w:hanging="425" w:firstLineChars="0"/>
      </w:pPr>
      <w:r>
        <w:t>安全防护；</w:t>
      </w:r>
    </w:p>
    <w:p w14:paraId="01771A86">
      <w:pPr>
        <w:pStyle w:val="29"/>
        <w:numPr>
          <w:ilvl w:val="0"/>
          <w:numId w:val="5"/>
        </w:numPr>
        <w:bidi w:val="0"/>
        <w:ind w:left="845" w:leftChars="0" w:hanging="425" w:firstLineChars="0"/>
      </w:pPr>
      <w:r>
        <w:t>针对个人的保密协议；</w:t>
      </w:r>
    </w:p>
    <w:p w14:paraId="2EC87AF6">
      <w:pPr>
        <w:pStyle w:val="29"/>
        <w:numPr>
          <w:ilvl w:val="0"/>
          <w:numId w:val="4"/>
        </w:numPr>
        <w:bidi w:val="0"/>
        <w:ind w:left="425" w:leftChars="0" w:hanging="425" w:firstLineChars="0"/>
      </w:pPr>
      <w:r>
        <w:t>责任划分的实施，以及岗位分离的实施；</w:t>
      </w:r>
    </w:p>
    <w:p w14:paraId="172E1CDF">
      <w:pPr>
        <w:pStyle w:val="29"/>
        <w:numPr>
          <w:ilvl w:val="0"/>
          <w:numId w:val="4"/>
        </w:numPr>
        <w:bidi w:val="0"/>
        <w:ind w:left="425" w:leftChars="0" w:hanging="425" w:firstLineChars="0"/>
      </w:pPr>
      <w:r>
        <w:t>书面的操作指示，内部规章；</w:t>
      </w:r>
    </w:p>
    <w:p w14:paraId="62E7D5D7">
      <w:pPr>
        <w:pStyle w:val="29"/>
        <w:numPr>
          <w:ilvl w:val="0"/>
          <w:numId w:val="4"/>
        </w:numPr>
        <w:bidi w:val="0"/>
        <w:ind w:left="425" w:leftChars="0" w:hanging="425" w:firstLineChars="0"/>
      </w:pPr>
      <w:r>
        <w:t>安全问题涉及整个生命周期，应针对系统开发、测试、验收、运营、维护和终止制定安全指南；</w:t>
      </w:r>
    </w:p>
    <w:p w14:paraId="236C80F9">
      <w:pPr>
        <w:pStyle w:val="29"/>
        <w:numPr>
          <w:ilvl w:val="0"/>
          <w:numId w:val="4"/>
        </w:numPr>
        <w:bidi w:val="0"/>
        <w:ind w:left="425" w:leftChars="0" w:hanging="425" w:firstLineChars="0"/>
      </w:pPr>
      <w:r>
        <w:t>将开发和测试环境与实际的运营环境分离开来；</w:t>
      </w:r>
    </w:p>
    <w:p w14:paraId="24249DC2">
      <w:pPr>
        <w:pStyle w:val="29"/>
        <w:numPr>
          <w:ilvl w:val="0"/>
          <w:numId w:val="4"/>
        </w:numPr>
        <w:bidi w:val="0"/>
        <w:ind w:left="425" w:leftChars="0" w:hanging="425" w:firstLineChars="0"/>
      </w:pPr>
      <w:r>
        <w:t>处理事件的</w:t>
      </w:r>
      <w:r>
        <w:rPr>
          <w:rFonts w:hint="eastAsia"/>
          <w:lang w:val="en-US" w:eastAsia="zh-CN"/>
        </w:rPr>
        <w:t>制度</w:t>
      </w:r>
      <w:r>
        <w:t>；</w:t>
      </w:r>
    </w:p>
    <w:p w14:paraId="4624D4E8">
      <w:pPr>
        <w:pStyle w:val="29"/>
        <w:numPr>
          <w:ilvl w:val="0"/>
          <w:numId w:val="4"/>
        </w:numPr>
        <w:bidi w:val="0"/>
        <w:ind w:left="425" w:leftChars="0" w:hanging="425" w:firstLineChars="0"/>
      </w:pPr>
      <w:r>
        <w:t>恢复设施的实施；</w:t>
      </w:r>
    </w:p>
    <w:p w14:paraId="74D46928">
      <w:pPr>
        <w:pStyle w:val="29"/>
        <w:numPr>
          <w:ilvl w:val="0"/>
          <w:numId w:val="4"/>
        </w:numPr>
        <w:bidi w:val="0"/>
        <w:ind w:left="425" w:leftChars="0" w:hanging="425" w:firstLineChars="0"/>
      </w:pPr>
      <w:r>
        <w:t>为变更管理提供信息输入，病毒防护措施的实施；</w:t>
      </w:r>
    </w:p>
    <w:p w14:paraId="7AB9C1E6">
      <w:pPr>
        <w:pStyle w:val="29"/>
        <w:numPr>
          <w:ilvl w:val="0"/>
          <w:numId w:val="4"/>
        </w:numPr>
        <w:bidi w:val="0"/>
        <w:ind w:left="425" w:leftChars="0" w:hanging="425" w:firstLineChars="0"/>
      </w:pPr>
      <w:r>
        <w:t>针对计算机、操作系统、应用系统、数据、网络和网络服务的安全管理措施的实施；</w:t>
      </w:r>
    </w:p>
    <w:p w14:paraId="1D4198B8">
      <w:pPr>
        <w:pStyle w:val="29"/>
        <w:numPr>
          <w:ilvl w:val="0"/>
          <w:numId w:val="4"/>
        </w:numPr>
        <w:bidi w:val="0"/>
        <w:ind w:left="425" w:leftChars="0" w:hanging="425" w:firstLineChars="0"/>
      </w:pPr>
      <w:r>
        <w:t>数据媒介的处理和安全。</w:t>
      </w:r>
    </w:p>
    <w:p w14:paraId="6B6F98E2">
      <w:pPr>
        <w:pStyle w:val="31"/>
        <w:bidi w:val="0"/>
      </w:pPr>
      <w:bookmarkStart w:id="17" w:name="bookmark18"/>
      <w:bookmarkEnd w:id="17"/>
      <w:bookmarkStart w:id="18" w:name="bookmark28"/>
      <w:bookmarkEnd w:id="18"/>
      <w:bookmarkStart w:id="19" w:name="_Toc18604"/>
      <w:r>
        <w:t>监控安全状况</w:t>
      </w:r>
      <w:bookmarkEnd w:id="19"/>
    </w:p>
    <w:p w14:paraId="316F8F01">
      <w:pPr>
        <w:pStyle w:val="29"/>
        <w:bidi w:val="0"/>
      </w:pPr>
      <w:r>
        <w:t>对安全规范实施进行监控，在工作周报、服务月报中体现。</w:t>
      </w:r>
    </w:p>
    <w:p w14:paraId="27B7EF6D">
      <w:pPr>
        <w:pStyle w:val="29"/>
        <w:bidi w:val="0"/>
      </w:pPr>
      <w:r>
        <w:t>对发生的信息安全事件按照《事件管理</w:t>
      </w:r>
      <w:r>
        <w:rPr>
          <w:rFonts w:hint="eastAsia"/>
          <w:lang w:val="en-US" w:eastAsia="zh-CN"/>
        </w:rPr>
        <w:t>制度</w:t>
      </w:r>
      <w:r>
        <w:t>》执行。</w:t>
      </w:r>
    </w:p>
    <w:p w14:paraId="0E5376D3">
      <w:pPr>
        <w:pStyle w:val="31"/>
        <w:bidi w:val="0"/>
      </w:pPr>
      <w:bookmarkStart w:id="20" w:name="bookmark19"/>
      <w:bookmarkEnd w:id="20"/>
      <w:bookmarkStart w:id="21" w:name="_Toc602"/>
      <w:r>
        <w:t>维护安全规范</w:t>
      </w:r>
      <w:bookmarkEnd w:id="21"/>
    </w:p>
    <w:p w14:paraId="45F32D6A">
      <w:pPr>
        <w:pStyle w:val="29"/>
        <w:bidi w:val="0"/>
      </w:pPr>
      <w:r>
        <w:rPr>
          <w:rFonts w:hint="eastAsia"/>
          <w:lang w:val="en-US" w:eastAsia="zh-CN"/>
        </w:rPr>
        <w:t>运维服务人员</w:t>
      </w:r>
      <w:r>
        <w:t>根据系统运行及客户服务的风险变化，必要时对《信息安全管理</w:t>
      </w:r>
      <w:r>
        <w:rPr>
          <w:rFonts w:hint="eastAsia"/>
          <w:lang w:val="en-US" w:eastAsia="zh-CN"/>
        </w:rPr>
        <w:t>制度</w:t>
      </w:r>
      <w:r>
        <w:t>》进行修改。</w:t>
      </w:r>
    </w:p>
    <w:p w14:paraId="2F030DDF">
      <w:pPr>
        <w:pStyle w:val="29"/>
        <w:bidi w:val="0"/>
      </w:pPr>
      <w:r>
        <w:t>由于基础架构、组织和业务流程方面的变化导致相关的风险也随着发生变化，因此安全也需要进行维护。</w:t>
      </w:r>
    </w:p>
    <w:p w14:paraId="5FABEBF0">
      <w:pPr>
        <w:pStyle w:val="29"/>
        <w:bidi w:val="0"/>
      </w:pPr>
      <w:r>
        <w:t>安全维护包括服务级别协议中安全部分的维护以及详细的安全规范的维护。</w:t>
      </w:r>
    </w:p>
    <w:p w14:paraId="14C65A9F">
      <w:pPr>
        <w:pStyle w:val="29"/>
        <w:bidi w:val="0"/>
      </w:pPr>
      <w:r>
        <w:t>维护需要根据评估子系统流程的结果以及对风险变化的评估结果进行。这些建议既可以直接被计划子流程所采纳，也可以纳入总体的服务级别协议的维护中。</w:t>
      </w:r>
    </w:p>
    <w:p w14:paraId="111028C5">
      <w:pPr>
        <w:pStyle w:val="29"/>
        <w:bidi w:val="0"/>
      </w:pPr>
      <w:r>
        <w:t>安全规范更新通过变更管理实施,参照《变更管理</w:t>
      </w:r>
      <w:r>
        <w:rPr>
          <w:rFonts w:hint="eastAsia"/>
          <w:lang w:val="en-US" w:eastAsia="zh-CN"/>
        </w:rPr>
        <w:t>制度</w:t>
      </w:r>
      <w:r>
        <w:t>》。</w:t>
      </w:r>
    </w:p>
    <w:p w14:paraId="73ACCD18">
      <w:pPr>
        <w:pStyle w:val="31"/>
        <w:bidi w:val="0"/>
      </w:pPr>
      <w:bookmarkStart w:id="22" w:name="bookmark20"/>
      <w:bookmarkEnd w:id="22"/>
      <w:bookmarkStart w:id="23" w:name="_Toc28699"/>
      <w:r>
        <w:t>信息安全报告</w:t>
      </w:r>
      <w:bookmarkEnd w:id="23"/>
    </w:p>
    <w:p w14:paraId="19A3E83A">
      <w:pPr>
        <w:pStyle w:val="29"/>
        <w:bidi w:val="0"/>
      </w:pPr>
      <w:r>
        <w:rPr>
          <w:rFonts w:hint="eastAsia"/>
          <w:lang w:val="en-US" w:eastAsia="zh-CN"/>
        </w:rPr>
        <w:t>运维服务人员</w:t>
      </w:r>
      <w:r>
        <w:t>根据信息安全管理的实施状况及日常发生的安全事件等，每季一次巡检，如发生信息安全事件则编写《信息安全服务报告》。</w:t>
      </w:r>
    </w:p>
    <w:p w14:paraId="5EF960DE">
      <w:pPr>
        <w:pStyle w:val="29"/>
        <w:bidi w:val="0"/>
      </w:pPr>
      <w:r>
        <w:t>报告可以提供有关已实现安全绩效方面的信息，并可以了解有关的安全问题。</w:t>
      </w:r>
    </w:p>
    <w:p w14:paraId="71469186">
      <w:pPr>
        <w:pStyle w:val="29"/>
        <w:bidi w:val="0"/>
      </w:pPr>
      <w:r>
        <w:t>正确地了解有关</w:t>
      </w:r>
      <w:r>
        <w:rPr>
          <w:rFonts w:hint="eastAsia"/>
          <w:lang w:val="en-US" w:eastAsia="zh-CN"/>
        </w:rPr>
        <w:t>措施</w:t>
      </w:r>
      <w:bookmarkStart w:id="32" w:name="_GoBack"/>
      <w:bookmarkEnd w:id="32"/>
      <w:r>
        <w:t>（如安全措施的实施）所取得的效率以及实际被采用的安全措施。</w:t>
      </w:r>
    </w:p>
    <w:p w14:paraId="2C7ABBB7">
      <w:pPr>
        <w:pStyle w:val="29"/>
        <w:bidi w:val="0"/>
      </w:pPr>
      <w:r>
        <w:t>除了在特殊情形下的例外事项，报告都是通过</w:t>
      </w:r>
      <w:r>
        <w:rPr>
          <w:rFonts w:hint="eastAsia"/>
          <w:lang w:val="en-US" w:eastAsia="zh-CN"/>
        </w:rPr>
        <w:t>运维服务人员</w:t>
      </w:r>
      <w:r>
        <w:t>进行传达的。</w:t>
      </w:r>
    </w:p>
    <w:p w14:paraId="5540A8D8">
      <w:pPr>
        <w:pStyle w:val="29"/>
        <w:bidi w:val="0"/>
      </w:pPr>
      <w:r>
        <w:t>根据信息安全管理需要报告信息安全的实施情况，并提交给《服务报告》中。参照《服务报告管理</w:t>
      </w:r>
      <w:r>
        <w:rPr>
          <w:rFonts w:hint="eastAsia"/>
          <w:lang w:val="en-US" w:eastAsia="zh-CN"/>
        </w:rPr>
        <w:t>制度</w:t>
      </w:r>
      <w:r>
        <w:t>》</w:t>
      </w:r>
    </w:p>
    <w:p w14:paraId="4B3A849B">
      <w:pPr>
        <w:pStyle w:val="30"/>
        <w:bidi w:val="0"/>
      </w:pPr>
      <w:bookmarkStart w:id="24" w:name="_Toc6088"/>
      <w:bookmarkStart w:id="25" w:name="_Toc2982"/>
      <w:r>
        <w:t>考核指标</w:t>
      </w:r>
      <w:bookmarkEnd w:id="24"/>
      <w:bookmarkEnd w:id="25"/>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6"/>
        <w:gridCol w:w="3653"/>
        <w:gridCol w:w="1132"/>
        <w:gridCol w:w="1571"/>
      </w:tblGrid>
      <w:tr w14:paraId="1CEA9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6852E1B5">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指标度量性</w:t>
            </w:r>
          </w:p>
        </w:tc>
        <w:tc>
          <w:tcPr>
            <w:tcW w:w="3653" w:type="dxa"/>
          </w:tcPr>
          <w:p w14:paraId="11823AC9">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计算方式</w:t>
            </w:r>
          </w:p>
        </w:tc>
        <w:tc>
          <w:tcPr>
            <w:tcW w:w="1132" w:type="dxa"/>
          </w:tcPr>
          <w:p w14:paraId="34BE26B1">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频次</w:t>
            </w:r>
          </w:p>
        </w:tc>
        <w:tc>
          <w:tcPr>
            <w:tcW w:w="1571" w:type="dxa"/>
          </w:tcPr>
          <w:p w14:paraId="7C4C804A">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指标要求</w:t>
            </w:r>
          </w:p>
        </w:tc>
      </w:tr>
      <w:tr w14:paraId="6C579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66" w:type="dxa"/>
            <w:shd w:val="clear" w:color="auto" w:fill="auto"/>
          </w:tcPr>
          <w:p w14:paraId="1D17237F">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客户信息泄露次数</w:t>
            </w:r>
          </w:p>
        </w:tc>
        <w:tc>
          <w:tcPr>
            <w:tcW w:w="3653" w:type="dxa"/>
            <w:shd w:val="clear" w:color="auto" w:fill="auto"/>
          </w:tcPr>
          <w:p w14:paraId="6EEEF2A4">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服务过程中不得发生客户信息泄露</w:t>
            </w:r>
          </w:p>
        </w:tc>
        <w:tc>
          <w:tcPr>
            <w:tcW w:w="1132" w:type="dxa"/>
            <w:shd w:val="clear" w:color="auto" w:fill="auto"/>
          </w:tcPr>
          <w:p w14:paraId="70233C54">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1571" w:type="dxa"/>
            <w:shd w:val="clear" w:color="auto" w:fill="auto"/>
          </w:tcPr>
          <w:p w14:paraId="5187BB06">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0次</w:t>
            </w:r>
          </w:p>
        </w:tc>
      </w:tr>
      <w:tr w14:paraId="6C495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66" w:type="dxa"/>
            <w:shd w:val="clear" w:color="auto" w:fill="auto"/>
          </w:tcPr>
          <w:p w14:paraId="3E85D0D8">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信息安全事件客户投诉</w:t>
            </w:r>
          </w:p>
        </w:tc>
        <w:tc>
          <w:tcPr>
            <w:tcW w:w="3653" w:type="dxa"/>
            <w:shd w:val="clear" w:color="auto" w:fill="auto"/>
          </w:tcPr>
          <w:p w14:paraId="26828942">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服务过程中不得发生信息安全事件客户投诉</w:t>
            </w:r>
          </w:p>
        </w:tc>
        <w:tc>
          <w:tcPr>
            <w:tcW w:w="1132" w:type="dxa"/>
            <w:shd w:val="clear" w:color="auto" w:fill="auto"/>
          </w:tcPr>
          <w:p w14:paraId="3B936F4C">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tcPr>
          <w:p w14:paraId="36441D22">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0次</w:t>
            </w:r>
          </w:p>
        </w:tc>
      </w:tr>
    </w:tbl>
    <w:p w14:paraId="0174DC69">
      <w:pPr>
        <w:pStyle w:val="28"/>
        <w:bidi w:val="0"/>
        <w:rPr>
          <w:rStyle w:val="38"/>
          <w:rFonts w:hint="default" w:eastAsia="宋体"/>
          <w:lang w:val="en-US" w:eastAsia="zh-CN"/>
        </w:rPr>
      </w:pPr>
      <w:bookmarkStart w:id="26" w:name="bookmark3"/>
      <w:bookmarkEnd w:id="26"/>
      <w:bookmarkStart w:id="27" w:name="_Toc17424"/>
      <w:bookmarkStart w:id="28" w:name="_Toc11021"/>
      <w:r>
        <w:rPr>
          <w:rStyle w:val="38"/>
          <w:rFonts w:hint="eastAsia" w:eastAsia="宋体"/>
          <w:lang w:val="en-US" w:eastAsia="zh-CN"/>
        </w:rPr>
        <w:t>附则</w:t>
      </w:r>
      <w:bookmarkEnd w:id="27"/>
      <w:bookmarkEnd w:id="28"/>
    </w:p>
    <w:p w14:paraId="40394AB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2112D15D">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701C054A">
      <w:pPr>
        <w:pStyle w:val="28"/>
        <w:bidi w:val="0"/>
        <w:rPr>
          <w:rFonts w:hint="default"/>
          <w:lang w:val="en-US" w:eastAsia="zh-CN"/>
        </w:rPr>
      </w:pPr>
      <w:bookmarkStart w:id="29" w:name="bookmark14"/>
      <w:bookmarkEnd w:id="29"/>
      <w:bookmarkStart w:id="30" w:name="_Toc21874"/>
      <w:r>
        <w:rPr>
          <w:rFonts w:hint="eastAsia"/>
          <w:lang w:val="en-US" w:eastAsia="zh-CN"/>
        </w:rPr>
        <w:t>附件</w:t>
      </w:r>
      <w:bookmarkEnd w:id="30"/>
    </w:p>
    <w:p w14:paraId="0B352A0A">
      <w:pPr>
        <w:pStyle w:val="39"/>
        <w:bidi w:val="0"/>
      </w:pPr>
      <w:r>
        <w:t>《服务报告管理</w:t>
      </w:r>
      <w:r>
        <w:rPr>
          <w:rFonts w:hint="eastAsia"/>
          <w:lang w:val="en-US" w:eastAsia="zh-CN"/>
        </w:rPr>
        <w:t>制度</w:t>
      </w:r>
      <w:r>
        <w:t>》</w:t>
      </w:r>
    </w:p>
    <w:p w14:paraId="1F94C884">
      <w:pPr>
        <w:pStyle w:val="39"/>
        <w:bidi w:val="0"/>
      </w:pPr>
      <w:r>
        <w:t>《事件管理</w:t>
      </w:r>
      <w:r>
        <w:rPr>
          <w:rFonts w:hint="eastAsia"/>
          <w:lang w:val="en-US" w:eastAsia="zh-CN"/>
        </w:rPr>
        <w:t>制度</w:t>
      </w:r>
      <w:r>
        <w:t>》</w:t>
      </w:r>
    </w:p>
    <w:p w14:paraId="32C4173C">
      <w:pPr>
        <w:pStyle w:val="39"/>
        <w:bidi w:val="0"/>
      </w:pPr>
      <w:r>
        <w:t>《变更管理</w:t>
      </w:r>
      <w:r>
        <w:rPr>
          <w:rFonts w:hint="eastAsia"/>
          <w:lang w:val="en-US" w:eastAsia="zh-CN"/>
        </w:rPr>
        <w:t>制度</w:t>
      </w:r>
      <w:r>
        <w:t>》</w:t>
      </w:r>
    </w:p>
    <w:p w14:paraId="1BE99E28">
      <w:pPr>
        <w:pStyle w:val="28"/>
        <w:bidi w:val="0"/>
        <w:rPr>
          <w:rFonts w:hint="eastAsia"/>
          <w:lang w:val="en-US" w:eastAsia="zh-CN"/>
        </w:rPr>
      </w:pPr>
      <w:bookmarkStart w:id="31" w:name="_Toc24682"/>
      <w:r>
        <w:rPr>
          <w:rFonts w:hint="eastAsia"/>
          <w:lang w:val="en-US" w:eastAsia="zh-CN"/>
        </w:rPr>
        <w:t>记录</w:t>
      </w:r>
      <w:bookmarkEnd w:id="31"/>
    </w:p>
    <w:p w14:paraId="39FFFE91">
      <w:pPr>
        <w:pStyle w:val="39"/>
        <w:bidi w:val="0"/>
      </w:pPr>
      <w:r>
        <w:t>《风险评估报告》</w:t>
      </w:r>
    </w:p>
    <w:p w14:paraId="7672873F">
      <w:pPr>
        <w:pStyle w:val="39"/>
        <w:bidi w:val="0"/>
      </w:pPr>
      <w:r>
        <w:t>《信息安全服务报告》</w:t>
      </w:r>
    </w:p>
    <w:p w14:paraId="7E6BFBA8">
      <w:pPr>
        <w:pStyle w:val="39"/>
        <w:bidi w:val="0"/>
      </w:pPr>
      <w:r>
        <w:t>《信息安全管理</w:t>
      </w:r>
      <w:r>
        <w:rPr>
          <w:rFonts w:hint="eastAsia"/>
          <w:lang w:val="en-US" w:eastAsia="zh-CN"/>
        </w:rPr>
        <w:t>制度</w:t>
      </w:r>
      <w:r>
        <w:t>》</w:t>
      </w:r>
    </w:p>
    <w:p w14:paraId="2FE1A668">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59B9F">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39CF3"/>
    <w:multiLevelType w:val="singleLevel"/>
    <w:tmpl w:val="F9539CF3"/>
    <w:lvl w:ilvl="0" w:tentative="0">
      <w:start w:val="1"/>
      <w:numFmt w:val="decimal"/>
      <w:lvlText w:val="%1."/>
      <w:lvlJc w:val="left"/>
      <w:pPr>
        <w:ind w:left="425" w:hanging="425"/>
      </w:pPr>
      <w:rPr>
        <w:rFonts w:hint="default"/>
      </w:rPr>
    </w:lvl>
  </w:abstractNum>
  <w:abstractNum w:abstractNumId="2">
    <w:nsid w:val="088012B1"/>
    <w:multiLevelType w:val="singleLevel"/>
    <w:tmpl w:val="088012B1"/>
    <w:lvl w:ilvl="0" w:tentative="0">
      <w:start w:val="1"/>
      <w:numFmt w:val="decimal"/>
      <w:lvlText w:val="%1."/>
      <w:lvlJc w:val="left"/>
      <w:pPr>
        <w:ind w:left="425" w:hanging="425"/>
      </w:pPr>
      <w:rPr>
        <w:rFonts w:hint="default"/>
      </w:rPr>
    </w:lvl>
  </w:abstractNum>
  <w:abstractNum w:abstractNumId="3">
    <w:nsid w:val="2AF1B93E"/>
    <w:multiLevelType w:val="singleLevel"/>
    <w:tmpl w:val="2AF1B93E"/>
    <w:lvl w:ilvl="0" w:tentative="0">
      <w:start w:val="1"/>
      <w:numFmt w:val="decimal"/>
      <w:lvlText w:val="(%1)"/>
      <w:lvlJc w:val="left"/>
      <w:pPr>
        <w:tabs>
          <w:tab w:val="left" w:pos="420"/>
        </w:tabs>
        <w:ind w:left="845" w:hanging="425"/>
      </w:pPr>
      <w:rPr>
        <w:rFonts w:hint="default"/>
      </w:rPr>
    </w:lvl>
  </w:abstractNum>
  <w:abstractNum w:abstractNumId="4">
    <w:nsid w:val="40CFADA9"/>
    <w:multiLevelType w:val="singleLevel"/>
    <w:tmpl w:val="40CFADA9"/>
    <w:lvl w:ilvl="0" w:tentative="0">
      <w:start w:val="1"/>
      <w:numFmt w:val="decimal"/>
      <w:lvlText w:val="%1."/>
      <w:lvlJc w:val="left"/>
      <w:pPr>
        <w:ind w:left="425" w:hanging="425"/>
      </w:pPr>
      <w:rPr>
        <w:rFonts w:hint="default"/>
      </w:rPr>
    </w:lvl>
  </w:abstractNum>
  <w:abstractNum w:abstractNumId="5">
    <w:nsid w:val="41AA82C7"/>
    <w:multiLevelType w:val="singleLevel"/>
    <w:tmpl w:val="41AA82C7"/>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4141DC"/>
    <w:rsid w:val="0B033CD5"/>
    <w:rsid w:val="1BD6378F"/>
    <w:rsid w:val="1E5B4AFE"/>
    <w:rsid w:val="29BA649E"/>
    <w:rsid w:val="407C2246"/>
    <w:rsid w:val="5E781EA8"/>
    <w:rsid w:val="690D3445"/>
    <w:rsid w:val="79E85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link w:val="42"/>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character" w:customStyle="1" w:styleId="42">
    <w:name w:val="柴_标题2 Char"/>
    <w:link w:val="30"/>
    <w:qFormat/>
    <w:uiPriority w:val="0"/>
    <w:rPr>
      <w:rFonts w:ascii="Arial" w:hAnsi="Arial" w:eastAsia="宋体"/>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2066</Words>
  <Characters>2151</Characters>
  <Lines>0</Lines>
  <Paragraphs>0</Paragraphs>
  <TotalTime>5</TotalTime>
  <ScaleCrop>false</ScaleCrop>
  <LinksUpToDate>false</LinksUpToDate>
  <CharactersWithSpaces>2212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2025-09-15T04:54:00Z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