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4"/>
        <w:spacing w:before="307" w:line="184" w:lineRule="auto"/>
        <w:outlineLvl w:val="0"/>
        <w:rPr>
          <w:sz w:val="29"/>
          <w:szCs w:val="29"/>
        </w:rPr>
      </w:pPr>
      <w:r>
        <w:rPr>
          <w:sz w:val="29"/>
          <w:szCs w:val="29"/>
          <w:b/>
          <w:bCs/>
          <w:color w:val="333333"/>
          <w:spacing w:val="2"/>
        </w:rPr>
        <w:t>科捷智能运维服务可用性报告</w:t>
      </w:r>
    </w:p>
    <w:p>
      <w:pPr>
        <w:pStyle w:val="BodyText"/>
        <w:ind w:left="3"/>
        <w:spacing w:before="172" w:line="221" w:lineRule="auto"/>
        <w:rPr/>
      </w:pPr>
      <w:r>
        <w:rPr>
          <w:b/>
          <w:bCs/>
          <w:color w:val="333333"/>
          <w:spacing w:val="-6"/>
        </w:rPr>
        <w:t>报告周期：</w:t>
      </w:r>
      <w:r>
        <w:rPr>
          <w:b/>
          <w:bCs/>
          <w:color w:val="333333"/>
          <w:spacing w:val="39"/>
        </w:rPr>
        <w:t xml:space="preserve"> </w:t>
      </w:r>
      <w:r>
        <w:rPr>
          <w:rFonts w:ascii="Verdana" w:hAnsi="Verdana" w:eastAsia="Verdana" w:cs="Verdana"/>
          <w:color w:val="333333"/>
          <w:spacing w:val="-6"/>
        </w:rPr>
        <w:t>2023</w:t>
      </w:r>
      <w:r>
        <w:rPr>
          <w:color w:val="333333"/>
          <w:spacing w:val="-6"/>
        </w:rPr>
        <w:t>年</w:t>
      </w:r>
      <w:r>
        <w:rPr>
          <w:rFonts w:ascii="Verdana" w:hAnsi="Verdana" w:eastAsia="Verdana" w:cs="Verdana"/>
          <w:color w:val="333333"/>
          <w:spacing w:val="-6"/>
        </w:rPr>
        <w:t>1</w:t>
      </w:r>
      <w:r>
        <w:rPr>
          <w:color w:val="333333"/>
          <w:spacing w:val="-6"/>
        </w:rPr>
        <w:t>月</w:t>
      </w:r>
      <w:r>
        <w:rPr>
          <w:rFonts w:ascii="Verdana" w:hAnsi="Verdana" w:eastAsia="Verdana" w:cs="Verdana"/>
          <w:color w:val="333333"/>
          <w:spacing w:val="-6"/>
        </w:rPr>
        <w:t>1</w:t>
      </w:r>
      <w:r>
        <w:rPr>
          <w:color w:val="333333"/>
          <w:spacing w:val="-6"/>
        </w:rPr>
        <w:t>日 </w:t>
      </w:r>
      <w:r>
        <w:rPr>
          <w:rFonts w:ascii="Verdana" w:hAnsi="Verdana" w:eastAsia="Verdana" w:cs="Verdana"/>
          <w:color w:val="333333"/>
          <w:spacing w:val="-6"/>
        </w:rPr>
        <w:t>- 2023</w:t>
      </w:r>
      <w:r>
        <w:rPr>
          <w:color w:val="333333"/>
          <w:spacing w:val="-6"/>
        </w:rPr>
        <w:t>年</w:t>
      </w:r>
      <w:r>
        <w:rPr>
          <w:rFonts w:ascii="Verdana" w:hAnsi="Verdana" w:eastAsia="Verdana" w:cs="Verdana"/>
          <w:color w:val="333333"/>
          <w:spacing w:val="-6"/>
        </w:rPr>
        <w:t>12</w:t>
      </w:r>
      <w:r>
        <w:rPr>
          <w:color w:val="333333"/>
          <w:spacing w:val="-6"/>
        </w:rPr>
        <w:t>月</w:t>
      </w:r>
      <w:r>
        <w:rPr>
          <w:rFonts w:ascii="Verdana" w:hAnsi="Verdana" w:eastAsia="Verdana" w:cs="Verdana"/>
          <w:color w:val="333333"/>
          <w:spacing w:val="-6"/>
        </w:rPr>
        <w:t>31</w:t>
      </w:r>
      <w:r>
        <w:rPr>
          <w:color w:val="333333"/>
          <w:spacing w:val="-6"/>
        </w:rPr>
        <w:t>日</w:t>
      </w:r>
    </w:p>
    <w:p>
      <w:pPr>
        <w:pStyle w:val="BodyText"/>
        <w:ind w:left="3"/>
        <w:spacing w:before="1" w:line="220" w:lineRule="auto"/>
        <w:rPr/>
      </w:pPr>
      <w:r>
        <w:rPr>
          <w:b/>
          <w:bCs/>
          <w:color w:val="333333"/>
          <w:spacing w:val="-4"/>
        </w:rPr>
        <w:t>报告日期：</w:t>
      </w:r>
      <w:r>
        <w:rPr>
          <w:b/>
          <w:bCs/>
          <w:color w:val="333333"/>
          <w:spacing w:val="25"/>
          <w:w w:val="101"/>
        </w:rPr>
        <w:t xml:space="preserve"> </w:t>
      </w:r>
      <w:r>
        <w:rPr>
          <w:rFonts w:ascii="Verdana" w:hAnsi="Verdana" w:eastAsia="Verdana" w:cs="Verdana"/>
          <w:color w:val="333333"/>
          <w:spacing w:val="-4"/>
        </w:rPr>
        <w:t>2024</w:t>
      </w:r>
      <w:r>
        <w:rPr>
          <w:color w:val="333333"/>
          <w:spacing w:val="-4"/>
        </w:rPr>
        <w:t>年</w:t>
      </w:r>
      <w:r>
        <w:rPr>
          <w:rFonts w:ascii="Verdana" w:hAnsi="Verdana" w:eastAsia="Verdana" w:cs="Verdana"/>
          <w:color w:val="333333"/>
          <w:spacing w:val="-4"/>
        </w:rPr>
        <w:t>1</w:t>
      </w:r>
      <w:r>
        <w:rPr>
          <w:color w:val="333333"/>
          <w:spacing w:val="-4"/>
        </w:rPr>
        <w:t>月</w:t>
      </w:r>
      <w:r>
        <w:rPr>
          <w:rFonts w:ascii="Verdana" w:hAnsi="Verdana" w:eastAsia="Verdana" w:cs="Verdana"/>
          <w:color w:val="333333"/>
          <w:spacing w:val="-4"/>
        </w:rPr>
        <w:t>15</w:t>
      </w:r>
      <w:r>
        <w:rPr>
          <w:color w:val="333333"/>
          <w:spacing w:val="-4"/>
        </w:rPr>
        <w:t>日</w:t>
      </w:r>
    </w:p>
    <w:p>
      <w:pPr>
        <w:pStyle w:val="BodyText"/>
        <w:ind w:left="3"/>
        <w:spacing w:line="226" w:lineRule="auto"/>
        <w:rPr>
          <w:rFonts w:ascii="Verdana" w:hAnsi="Verdana" w:eastAsia="Verdana" w:cs="Verdana"/>
        </w:rPr>
      </w:pPr>
      <w:r>
        <w:rPr>
          <w:b/>
          <w:bCs/>
          <w:color w:val="333333"/>
        </w:rPr>
        <w:t>报告编制人：</w:t>
      </w:r>
      <w:r>
        <w:rPr>
          <w:b/>
          <w:bCs/>
          <w:color w:val="333333"/>
          <w:spacing w:val="39"/>
        </w:rPr>
        <w:t xml:space="preserve"> </w:t>
      </w:r>
      <w:r>
        <w:rPr>
          <w:rFonts w:ascii="Verdana" w:hAnsi="Verdana" w:eastAsia="Verdana" w:cs="Verdana"/>
          <w:color w:val="333333"/>
        </w:rPr>
        <w:t>[</w:t>
      </w:r>
      <w:r>
        <w:rPr>
          <w:color w:val="333333"/>
        </w:rPr>
        <w:t>可用性负责人姓名</w:t>
      </w:r>
      <w:r>
        <w:rPr>
          <w:rFonts w:ascii="Verdana" w:hAnsi="Verdana" w:eastAsia="Verdana" w:cs="Verdana"/>
          <w:color w:val="333333"/>
        </w:rPr>
        <w:t>]</w:t>
      </w:r>
    </w:p>
    <w:p>
      <w:pPr>
        <w:pStyle w:val="BodyText"/>
        <w:ind w:left="3"/>
        <w:spacing w:before="30" w:line="187" w:lineRule="auto"/>
        <w:rPr/>
      </w:pPr>
      <w:r>
        <w:rPr>
          <w:b/>
          <w:bCs/>
          <w:color w:val="333333"/>
          <w:spacing w:val="3"/>
        </w:rPr>
        <w:t>报送对象：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  <w:spacing w:val="3"/>
        </w:rPr>
        <w:t>运维部领导、管理层</w:t>
      </w:r>
    </w:p>
    <w:p>
      <w:pPr>
        <w:spacing w:before="227" w:line="30" w:lineRule="exact"/>
        <w:rPr/>
      </w:pPr>
      <w:r>
        <w:rPr/>
        <w:drawing>
          <wp:inline distT="0" distB="0" distL="0" distR="0">
            <wp:extent cx="5612832" cy="1905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"/>
        <w:spacing w:before="288" w:line="185" w:lineRule="auto"/>
        <w:outlineLvl w:val="1"/>
        <w:rPr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b/>
          <w:bCs/>
          <w:color w:val="333333"/>
          <w:spacing w:val="-9"/>
        </w:rPr>
        <w:t>1.</w:t>
      </w:r>
      <w:r>
        <w:rPr>
          <w:rFonts w:ascii="Verdana" w:hAnsi="Verdana" w:eastAsia="Verdana" w:cs="Verdana"/>
          <w:sz w:val="24"/>
          <w:szCs w:val="24"/>
          <w:b/>
          <w:bCs/>
          <w:color w:val="333333"/>
          <w:spacing w:val="-14"/>
        </w:rPr>
        <w:t xml:space="preserve"> </w:t>
      </w:r>
      <w:r>
        <w:rPr>
          <w:sz w:val="24"/>
          <w:szCs w:val="24"/>
          <w:b/>
          <w:bCs/>
          <w:color w:val="333333"/>
          <w:spacing w:val="-9"/>
        </w:rPr>
        <w:t>报告摘要</w:t>
      </w:r>
    </w:p>
    <w:p>
      <w:pPr>
        <w:pStyle w:val="BodyText"/>
        <w:ind w:right="157" w:firstLine="2"/>
        <w:spacing w:before="179" w:line="224" w:lineRule="auto"/>
        <w:jc w:val="both"/>
        <w:rPr/>
      </w:pPr>
      <w:r>
        <w:rPr>
          <w:color w:val="333333"/>
          <w:spacing w:val="4"/>
        </w:rPr>
        <w:t>本报告旨在总结 </w:t>
      </w:r>
      <w:r>
        <w:rPr>
          <w:rFonts w:ascii="Verdana" w:hAnsi="Verdana" w:eastAsia="Verdana" w:cs="Verdana"/>
          <w:color w:val="333333"/>
          <w:spacing w:val="4"/>
        </w:rPr>
        <w:t>2023</w:t>
      </w:r>
      <w:r>
        <w:rPr>
          <w:rFonts w:ascii="Verdana" w:hAnsi="Verdana" w:eastAsia="Verdana" w:cs="Verdana"/>
          <w:color w:val="333333"/>
          <w:spacing w:val="-11"/>
        </w:rPr>
        <w:t xml:space="preserve"> </w:t>
      </w:r>
      <w:r>
        <w:rPr>
          <w:color w:val="333333"/>
          <w:spacing w:val="4"/>
        </w:rPr>
        <w:t>年度运维服务体系的</w:t>
      </w:r>
      <w:r>
        <w:rPr>
          <w:color w:val="333333"/>
          <w:spacing w:val="3"/>
        </w:rPr>
        <w:t>整体可用性表现。期内，我们严格遵循《可用性计划》开展</w:t>
      </w:r>
      <w:r>
        <w:rPr>
          <w:color w:val="333333"/>
          <w:spacing w:val="-1"/>
        </w:rPr>
        <w:t>各项工作，核心系统全年整体可用性达到了 </w:t>
      </w:r>
      <w:r>
        <w:rPr>
          <w:rFonts w:ascii="Verdana" w:hAnsi="Verdana" w:eastAsia="Verdana" w:cs="Verdana"/>
          <w:b/>
          <w:bCs/>
          <w:color w:val="333333"/>
          <w:spacing w:val="-1"/>
        </w:rPr>
        <w:t>99.85%</w:t>
      </w:r>
      <w:r>
        <w:rPr>
          <w:color w:val="333333"/>
          <w:spacing w:val="-1"/>
        </w:rPr>
        <w:t>，成功满足了《可用</w:t>
      </w:r>
      <w:r>
        <w:rPr>
          <w:color w:val="333333"/>
          <w:spacing w:val="-2"/>
        </w:rPr>
        <w:t>性计划》中</w:t>
      </w:r>
      <w:r>
        <w:rPr>
          <w:rFonts w:ascii="Verdana" w:hAnsi="Verdana" w:eastAsia="Verdana" w:cs="Verdana"/>
          <w:color w:val="333333"/>
          <w:spacing w:val="-2"/>
        </w:rPr>
        <w:t>“7*24</w:t>
      </w:r>
      <w:r>
        <w:rPr>
          <w:color w:val="333333"/>
          <w:spacing w:val="-2"/>
        </w:rPr>
        <w:t>小时</w:t>
      </w:r>
      <w:r>
        <w:rPr>
          <w:rFonts w:ascii="Verdana" w:hAnsi="Verdana" w:eastAsia="Verdana" w:cs="Verdana"/>
          <w:color w:val="333333"/>
          <w:spacing w:val="-2"/>
        </w:rPr>
        <w:t>”</w:t>
      </w:r>
      <w:r>
        <w:rPr>
          <w:color w:val="333333"/>
          <w:spacing w:val="-2"/>
        </w:rPr>
        <w:t>的核心</w:t>
      </w:r>
      <w:r>
        <w:rPr>
          <w:color w:val="333333"/>
          <w:spacing w:val="3"/>
        </w:rPr>
        <w:t>要求。全年共处理计划内维护</w:t>
      </w:r>
      <w:r>
        <w:rPr>
          <w:rFonts w:ascii="Verdana" w:hAnsi="Verdana" w:eastAsia="Verdana" w:cs="Verdana"/>
          <w:color w:val="333333"/>
          <w:spacing w:val="3"/>
        </w:rPr>
        <w:t>12</w:t>
      </w:r>
      <w:r>
        <w:rPr>
          <w:color w:val="333333"/>
          <w:spacing w:val="3"/>
        </w:rPr>
        <w:t>次，应急故障事件</w:t>
      </w:r>
      <w:r>
        <w:rPr>
          <w:rFonts w:ascii="Verdana" w:hAnsi="Verdana" w:eastAsia="Verdana" w:cs="Verdana"/>
          <w:color w:val="333333"/>
          <w:spacing w:val="3"/>
        </w:rPr>
        <w:t>5</w:t>
      </w:r>
      <w:r>
        <w:rPr>
          <w:color w:val="333333"/>
          <w:spacing w:val="3"/>
        </w:rPr>
        <w:t>起，所有维护及故障响应均符合</w:t>
      </w:r>
      <w:r>
        <w:rPr>
          <w:rFonts w:ascii="Verdana" w:hAnsi="Verdana" w:eastAsia="Verdana" w:cs="Verdana"/>
          <w:color w:val="333333"/>
        </w:rPr>
        <w:t>SLA</w:t>
      </w:r>
      <w:r>
        <w:rPr>
          <w:color w:val="333333"/>
          <w:spacing w:val="3"/>
        </w:rPr>
        <w:t>承诺。本报告</w:t>
      </w:r>
      <w:r>
        <w:rPr>
          <w:color w:val="333333"/>
          <w:spacing w:val="4"/>
        </w:rPr>
        <w:t>将详细分析可用性数据、总结计划执行情况、回顾重大事件并提出</w:t>
      </w:r>
      <w:r>
        <w:rPr>
          <w:color w:val="333333"/>
          <w:spacing w:val="3"/>
        </w:rPr>
        <w:t>改进建议。</w:t>
      </w:r>
    </w:p>
    <w:p>
      <w:pPr>
        <w:pStyle w:val="BodyText"/>
        <w:ind w:left="9"/>
        <w:spacing w:before="208" w:line="185" w:lineRule="auto"/>
        <w:outlineLvl w:val="1"/>
        <w:rPr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b/>
          <w:bCs/>
          <w:color w:val="333333"/>
          <w:spacing w:val="-5"/>
        </w:rPr>
        <w:t>2. </w:t>
      </w:r>
      <w:r>
        <w:rPr>
          <w:sz w:val="24"/>
          <w:szCs w:val="24"/>
          <w:b/>
          <w:bCs/>
          <w:color w:val="333333"/>
          <w:spacing w:val="-5"/>
        </w:rPr>
        <w:t>可用性绩效数据</w:t>
      </w:r>
    </w:p>
    <w:p>
      <w:pPr>
        <w:spacing w:line="204" w:lineRule="exact"/>
        <w:rPr/>
      </w:pPr>
      <w:r/>
    </w:p>
    <w:tbl>
      <w:tblPr>
        <w:tblStyle w:val="TableNormal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81"/>
        <w:gridCol w:w="2157"/>
        <w:gridCol w:w="3685"/>
        <w:gridCol w:w="1401"/>
      </w:tblGrid>
      <w:tr>
        <w:trPr>
          <w:trHeight w:val="485" w:hRule="atLeast"/>
        </w:trPr>
        <w:tc>
          <w:tcPr>
            <w:shd w:val="clear" w:fill="F8F8F8"/>
            <w:tcW w:w="1581" w:type="dxa"/>
            <w:vAlign w:val="top"/>
          </w:tcPr>
          <w:p>
            <w:pPr>
              <w:pStyle w:val="TableText"/>
              <w:ind w:left="197"/>
              <w:spacing w:before="150" w:line="186" w:lineRule="auto"/>
              <w:rPr/>
            </w:pPr>
            <w:r>
              <w:rPr>
                <w:b/>
                <w:bCs/>
                <w:color w:val="333333"/>
                <w:spacing w:val="3"/>
              </w:rPr>
              <w:t>指标</w:t>
            </w:r>
          </w:p>
        </w:tc>
        <w:tc>
          <w:tcPr>
            <w:shd w:val="clear" w:fill="F8F8F8"/>
            <w:tcW w:w="2157" w:type="dxa"/>
            <w:vAlign w:val="top"/>
          </w:tcPr>
          <w:p>
            <w:pPr>
              <w:pStyle w:val="TableText"/>
              <w:ind w:left="189"/>
              <w:spacing w:before="150" w:line="186" w:lineRule="auto"/>
              <w:rPr/>
            </w:pPr>
            <w:r>
              <w:rPr>
                <w:b/>
                <w:bCs/>
                <w:color w:val="333333"/>
                <w:spacing w:val="4"/>
              </w:rPr>
              <w:t>《可用性计划》要求</w:t>
            </w:r>
          </w:p>
        </w:tc>
        <w:tc>
          <w:tcPr>
            <w:shd w:val="clear" w:fill="F8F8F8"/>
            <w:tcW w:w="3685" w:type="dxa"/>
            <w:vAlign w:val="top"/>
          </w:tcPr>
          <w:p>
            <w:pPr>
              <w:pStyle w:val="TableText"/>
              <w:ind w:left="201"/>
              <w:spacing w:before="149" w:line="187" w:lineRule="auto"/>
              <w:rPr/>
            </w:pPr>
            <w:r>
              <w:rPr>
                <w:rFonts w:ascii="Verdana" w:hAnsi="Verdana" w:eastAsia="Verdana" w:cs="Verdana"/>
                <w:b/>
                <w:bCs/>
                <w:color w:val="333333"/>
                <w:spacing w:val="-8"/>
              </w:rPr>
              <w:t>2023</w:t>
            </w:r>
            <w:r>
              <w:rPr>
                <w:b/>
                <w:bCs/>
                <w:color w:val="333333"/>
                <w:spacing w:val="-8"/>
              </w:rPr>
              <w:t>年度实际表现</w:t>
            </w:r>
          </w:p>
        </w:tc>
        <w:tc>
          <w:tcPr>
            <w:shd w:val="clear" w:fill="F8F8F8"/>
            <w:tcW w:w="1401" w:type="dxa"/>
            <w:vAlign w:val="top"/>
          </w:tcPr>
          <w:p>
            <w:pPr>
              <w:pStyle w:val="TableText"/>
              <w:ind w:left="203"/>
              <w:spacing w:before="148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符合性评估</w:t>
            </w:r>
          </w:p>
        </w:tc>
      </w:tr>
      <w:tr>
        <w:trPr>
          <w:trHeight w:val="477" w:hRule="atLeast"/>
        </w:trPr>
        <w:tc>
          <w:tcPr>
            <w:tcW w:w="1581" w:type="dxa"/>
            <w:vAlign w:val="top"/>
          </w:tcPr>
          <w:p>
            <w:pPr>
              <w:pStyle w:val="TableText"/>
              <w:ind w:left="196"/>
              <w:spacing w:before="145" w:line="186" w:lineRule="auto"/>
              <w:rPr/>
            </w:pPr>
            <w:r>
              <w:rPr>
                <w:b/>
                <w:bCs/>
                <w:color w:val="333333"/>
                <w:spacing w:val="4"/>
              </w:rPr>
              <w:t>整体可用性</w:t>
            </w:r>
          </w:p>
        </w:tc>
        <w:tc>
          <w:tcPr>
            <w:tcW w:w="2157" w:type="dxa"/>
            <w:vAlign w:val="top"/>
          </w:tcPr>
          <w:p>
            <w:pPr>
              <w:pStyle w:val="TableText"/>
              <w:ind w:left="198"/>
              <w:spacing w:before="106" w:line="237" w:lineRule="auto"/>
              <w:rPr/>
            </w:pPr>
            <w:r>
              <w:rPr>
                <w:rFonts w:ascii="Verdana" w:hAnsi="Verdana" w:eastAsia="Verdana" w:cs="Verdana"/>
                <w:color w:val="333333"/>
                <w:spacing w:val="-7"/>
              </w:rPr>
              <w:t>7*24</w:t>
            </w:r>
            <w:r>
              <w:rPr>
                <w:color w:val="333333"/>
                <w:spacing w:val="-7"/>
              </w:rPr>
              <w:t>小时</w:t>
            </w:r>
          </w:p>
        </w:tc>
        <w:tc>
          <w:tcPr>
            <w:tcW w:w="3685" w:type="dxa"/>
            <w:vAlign w:val="top"/>
          </w:tcPr>
          <w:p>
            <w:pPr>
              <w:ind w:left="203"/>
              <w:spacing w:before="106" w:line="257" w:lineRule="exact"/>
              <w:rPr>
                <w:rFonts w:ascii="Verdana" w:hAnsi="Verdana" w:eastAsia="Verdana" w:cs="Verdana"/>
                <w:sz w:val="19"/>
                <w:szCs w:val="19"/>
              </w:rPr>
            </w:pPr>
            <w:r>
              <w:rPr>
                <w:rFonts w:ascii="Verdana" w:hAnsi="Verdana" w:eastAsia="Verdana" w:cs="Verdana"/>
                <w:sz w:val="19"/>
                <w:szCs w:val="19"/>
                <w:color w:val="333333"/>
                <w:spacing w:val="-14"/>
                <w:position w:val="1"/>
              </w:rPr>
              <w:t>99.85%</w:t>
            </w:r>
          </w:p>
        </w:tc>
        <w:tc>
          <w:tcPr>
            <w:tcW w:w="1401" w:type="dxa"/>
            <w:vAlign w:val="top"/>
          </w:tcPr>
          <w:p>
            <w:pPr>
              <w:pStyle w:val="TableText"/>
              <w:ind w:left="203"/>
              <w:spacing w:before="144" w:line="187" w:lineRule="auto"/>
              <w:rPr/>
            </w:pPr>
            <w:r>
              <w:rPr>
                <w:b/>
                <w:bCs/>
                <w:color w:val="333333"/>
                <w:spacing w:val="3"/>
              </w:rPr>
              <w:t>符合</w:t>
            </w:r>
          </w:p>
        </w:tc>
      </w:tr>
      <w:tr>
        <w:trPr>
          <w:trHeight w:val="478" w:hRule="atLeast"/>
        </w:trPr>
        <w:tc>
          <w:tcPr>
            <w:shd w:val="clear" w:fill="F8F8F8"/>
            <w:tcW w:w="1581" w:type="dxa"/>
            <w:vAlign w:val="top"/>
          </w:tcPr>
          <w:p>
            <w:pPr>
              <w:pStyle w:val="TableText"/>
              <w:ind w:left="198"/>
              <w:spacing w:before="147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计划内宕机</w:t>
            </w:r>
          </w:p>
        </w:tc>
        <w:tc>
          <w:tcPr>
            <w:shd w:val="clear" w:fill="F8F8F8"/>
            <w:tcW w:w="2157" w:type="dxa"/>
            <w:vAlign w:val="top"/>
          </w:tcPr>
          <w:p>
            <w:pPr>
              <w:pStyle w:val="TableText"/>
              <w:ind w:left="192"/>
              <w:spacing w:before="146" w:line="188" w:lineRule="auto"/>
              <w:rPr/>
            </w:pPr>
            <w:r>
              <w:rPr>
                <w:color w:val="333333"/>
                <w:spacing w:val="4"/>
              </w:rPr>
              <w:t>提前通知，避开高峰</w:t>
            </w:r>
          </w:p>
        </w:tc>
        <w:tc>
          <w:tcPr>
            <w:shd w:val="clear" w:fill="F8F8F8"/>
            <w:tcW w:w="3685" w:type="dxa"/>
            <w:vAlign w:val="top"/>
          </w:tcPr>
          <w:p>
            <w:pPr>
              <w:pStyle w:val="TableText"/>
              <w:ind w:left="211"/>
              <w:spacing w:before="109" w:line="234" w:lineRule="auto"/>
              <w:rPr/>
            </w:pPr>
            <w:r>
              <w:rPr>
                <w:rFonts w:ascii="Verdana" w:hAnsi="Verdana" w:eastAsia="Verdana" w:cs="Verdana"/>
                <w:color w:val="333333"/>
                <w:spacing w:val="1"/>
              </w:rPr>
              <w:t>12</w:t>
            </w:r>
            <w:r>
              <w:rPr>
                <w:color w:val="333333"/>
                <w:spacing w:val="1"/>
              </w:rPr>
              <w:t>次，均提前</w:t>
            </w:r>
            <w:r>
              <w:rPr>
                <w:rFonts w:ascii="Verdana" w:hAnsi="Verdana" w:eastAsia="Verdana" w:cs="Verdana"/>
                <w:color w:val="333333"/>
                <w:spacing w:val="1"/>
              </w:rPr>
              <w:t>3</w:t>
            </w:r>
            <w:r>
              <w:rPr>
                <w:color w:val="333333"/>
                <w:spacing w:val="1"/>
              </w:rPr>
              <w:t>天通知，并于晚间进行</w:t>
            </w:r>
          </w:p>
        </w:tc>
        <w:tc>
          <w:tcPr>
            <w:shd w:val="clear" w:fill="F8F8F8"/>
            <w:tcW w:w="1401" w:type="dxa"/>
            <w:vAlign w:val="top"/>
          </w:tcPr>
          <w:p>
            <w:pPr>
              <w:pStyle w:val="TableText"/>
              <w:ind w:left="203"/>
              <w:spacing w:before="147" w:line="187" w:lineRule="auto"/>
              <w:rPr/>
            </w:pPr>
            <w:r>
              <w:rPr>
                <w:b/>
                <w:bCs/>
                <w:color w:val="333333"/>
                <w:spacing w:val="3"/>
              </w:rPr>
              <w:t>符合</w:t>
            </w:r>
          </w:p>
        </w:tc>
      </w:tr>
      <w:tr>
        <w:trPr>
          <w:trHeight w:val="478" w:hRule="atLeast"/>
        </w:trPr>
        <w:tc>
          <w:tcPr>
            <w:tcW w:w="1581" w:type="dxa"/>
            <w:vAlign w:val="top"/>
          </w:tcPr>
          <w:p>
            <w:pPr>
              <w:pStyle w:val="TableText"/>
              <w:ind w:left="198"/>
              <w:spacing w:before="149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计划维护时长</w:t>
            </w:r>
          </w:p>
        </w:tc>
        <w:tc>
          <w:tcPr>
            <w:tcW w:w="2157" w:type="dxa"/>
            <w:vAlign w:val="top"/>
          </w:tcPr>
          <w:p>
            <w:pPr>
              <w:pStyle w:val="TableText"/>
              <w:ind w:left="197"/>
              <w:spacing w:before="111" w:line="237" w:lineRule="auto"/>
              <w:rPr/>
            </w:pPr>
            <w:r>
              <w:rPr>
                <w:rFonts w:ascii="Arial" w:hAnsi="Arial" w:eastAsia="Arial" w:cs="Arial"/>
                <w:color w:val="333333"/>
                <w:spacing w:val="-7"/>
              </w:rPr>
              <w:t>≤</w:t>
            </w:r>
            <w:r>
              <w:rPr>
                <w:rFonts w:ascii="Arial" w:hAnsi="Arial" w:eastAsia="Arial" w:cs="Arial"/>
                <w:color w:val="333333"/>
                <w:spacing w:val="-32"/>
              </w:rPr>
              <w:t xml:space="preserve"> </w:t>
            </w:r>
            <w:r>
              <w:rPr>
                <w:rFonts w:ascii="Verdana" w:hAnsi="Verdana" w:eastAsia="Verdana" w:cs="Verdana"/>
                <w:color w:val="333333"/>
                <w:spacing w:val="-7"/>
              </w:rPr>
              <w:t>12</w:t>
            </w:r>
            <w:r>
              <w:rPr>
                <w:color w:val="333333"/>
                <w:spacing w:val="-7"/>
              </w:rPr>
              <w:t>小时</w:t>
            </w:r>
          </w:p>
        </w:tc>
        <w:tc>
          <w:tcPr>
            <w:tcW w:w="3685" w:type="dxa"/>
            <w:vAlign w:val="top"/>
          </w:tcPr>
          <w:p>
            <w:pPr>
              <w:pStyle w:val="TableText"/>
              <w:ind w:left="198"/>
              <w:spacing w:before="111" w:line="235" w:lineRule="auto"/>
              <w:rPr/>
            </w:pPr>
            <w:r>
              <w:rPr>
                <w:color w:val="333333"/>
                <w:spacing w:val="-2"/>
              </w:rPr>
              <w:t>平均时长</w:t>
            </w:r>
            <w:r>
              <w:rPr>
                <w:rFonts w:ascii="Verdana" w:hAnsi="Verdana" w:eastAsia="Verdana" w:cs="Verdana"/>
                <w:color w:val="333333"/>
                <w:spacing w:val="-2"/>
              </w:rPr>
              <w:t>8.5</w:t>
            </w:r>
            <w:r>
              <w:rPr>
                <w:color w:val="333333"/>
                <w:spacing w:val="-2"/>
              </w:rPr>
              <w:t>小时</w:t>
            </w:r>
          </w:p>
        </w:tc>
        <w:tc>
          <w:tcPr>
            <w:tcW w:w="1401" w:type="dxa"/>
            <w:vAlign w:val="top"/>
          </w:tcPr>
          <w:p>
            <w:pPr>
              <w:pStyle w:val="TableText"/>
              <w:ind w:left="203"/>
              <w:spacing w:before="149" w:line="187" w:lineRule="auto"/>
              <w:rPr/>
            </w:pPr>
            <w:r>
              <w:rPr>
                <w:b/>
                <w:bCs/>
                <w:color w:val="333333"/>
                <w:spacing w:val="3"/>
              </w:rPr>
              <w:t>符合</w:t>
            </w:r>
          </w:p>
        </w:tc>
      </w:tr>
      <w:tr>
        <w:trPr>
          <w:trHeight w:val="478" w:hRule="atLeast"/>
        </w:trPr>
        <w:tc>
          <w:tcPr>
            <w:shd w:val="clear" w:fill="F8F8F8"/>
            <w:tcW w:w="1581" w:type="dxa"/>
            <w:vAlign w:val="top"/>
          </w:tcPr>
          <w:p>
            <w:pPr>
              <w:pStyle w:val="TableText"/>
              <w:ind w:left="200"/>
              <w:spacing w:before="151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故障响应时间</w:t>
            </w:r>
          </w:p>
        </w:tc>
        <w:tc>
          <w:tcPr>
            <w:shd w:val="clear" w:fill="F8F8F8"/>
            <w:tcW w:w="2157" w:type="dxa"/>
            <w:vAlign w:val="top"/>
          </w:tcPr>
          <w:p>
            <w:pPr>
              <w:pStyle w:val="TableText"/>
              <w:ind w:left="193"/>
              <w:spacing w:before="113" w:line="235" w:lineRule="auto"/>
              <w:rPr/>
            </w:pPr>
            <w:r>
              <w:rPr>
                <w:rFonts w:ascii="Verdana" w:hAnsi="Verdana" w:eastAsia="Verdana" w:cs="Verdana"/>
                <w:color w:val="333333"/>
                <w:spacing w:val="2"/>
              </w:rPr>
              <w:t>4</w:t>
            </w:r>
            <w:r>
              <w:rPr>
                <w:color w:val="333333"/>
                <w:spacing w:val="2"/>
              </w:rPr>
              <w:t>小时内到场</w:t>
            </w:r>
          </w:p>
        </w:tc>
        <w:tc>
          <w:tcPr>
            <w:shd w:val="clear" w:fill="F8F8F8"/>
            <w:tcW w:w="3685" w:type="dxa"/>
            <w:vAlign w:val="top"/>
          </w:tcPr>
          <w:p>
            <w:pPr>
              <w:pStyle w:val="TableText"/>
              <w:ind w:left="206"/>
              <w:spacing w:before="113" w:line="234" w:lineRule="auto"/>
              <w:rPr/>
            </w:pPr>
            <w:r>
              <w:rPr>
                <w:rFonts w:ascii="Verdana" w:hAnsi="Verdana" w:eastAsia="Verdana" w:cs="Verdana"/>
                <w:color w:val="333333"/>
              </w:rPr>
              <w:t>5</w:t>
            </w:r>
            <w:r>
              <w:rPr>
                <w:color w:val="333333"/>
              </w:rPr>
              <w:t>起事件，平均到场时间</w:t>
            </w:r>
            <w:r>
              <w:rPr>
                <w:rFonts w:ascii="Verdana" w:hAnsi="Verdana" w:eastAsia="Verdana" w:cs="Verdana"/>
                <w:color w:val="333333"/>
              </w:rPr>
              <w:t>3.2</w:t>
            </w:r>
            <w:r>
              <w:rPr>
                <w:color w:val="333333"/>
              </w:rPr>
              <w:t>小时</w:t>
            </w:r>
          </w:p>
        </w:tc>
        <w:tc>
          <w:tcPr>
            <w:shd w:val="clear" w:fill="F8F8F8"/>
            <w:tcW w:w="1401" w:type="dxa"/>
            <w:vAlign w:val="top"/>
          </w:tcPr>
          <w:p>
            <w:pPr>
              <w:pStyle w:val="TableText"/>
              <w:ind w:left="203"/>
              <w:spacing w:before="151" w:line="187" w:lineRule="auto"/>
              <w:rPr/>
            </w:pPr>
            <w:r>
              <w:rPr>
                <w:b/>
                <w:bCs/>
                <w:color w:val="333333"/>
                <w:spacing w:val="3"/>
              </w:rPr>
              <w:t>符合</w:t>
            </w:r>
          </w:p>
        </w:tc>
      </w:tr>
      <w:tr>
        <w:trPr>
          <w:trHeight w:val="485" w:hRule="atLeast"/>
        </w:trPr>
        <w:tc>
          <w:tcPr>
            <w:tcW w:w="1581" w:type="dxa"/>
            <w:vAlign w:val="top"/>
          </w:tcPr>
          <w:p>
            <w:pPr>
              <w:pStyle w:val="TableText"/>
              <w:ind w:left="200"/>
              <w:spacing w:before="154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故障修复时间</w:t>
            </w:r>
          </w:p>
        </w:tc>
        <w:tc>
          <w:tcPr>
            <w:tcW w:w="2157" w:type="dxa"/>
            <w:vAlign w:val="top"/>
          </w:tcPr>
          <w:p>
            <w:pPr>
              <w:pStyle w:val="TableText"/>
              <w:ind w:left="199"/>
              <w:spacing w:before="116" w:line="234" w:lineRule="auto"/>
              <w:rPr/>
            </w:pPr>
            <w:r>
              <w:rPr>
                <w:rFonts w:ascii="Verdana" w:hAnsi="Verdana" w:eastAsia="Verdana" w:cs="Verdana"/>
                <w:color w:val="333333"/>
                <w:spacing w:val="-1"/>
              </w:rPr>
              <w:t>24</w:t>
            </w:r>
            <w:r>
              <w:rPr>
                <w:color w:val="333333"/>
                <w:spacing w:val="-1"/>
              </w:rPr>
              <w:t>小时内修复</w:t>
            </w:r>
          </w:p>
        </w:tc>
        <w:tc>
          <w:tcPr>
            <w:tcW w:w="3685" w:type="dxa"/>
            <w:vAlign w:val="top"/>
          </w:tcPr>
          <w:p>
            <w:pPr>
              <w:pStyle w:val="TableText"/>
              <w:ind w:left="206"/>
              <w:spacing w:before="116" w:line="234" w:lineRule="auto"/>
              <w:rPr/>
            </w:pPr>
            <w:r>
              <w:rPr>
                <w:rFonts w:ascii="Verdana" w:hAnsi="Verdana" w:eastAsia="Verdana" w:cs="Verdana"/>
                <w:color w:val="333333"/>
                <w:spacing w:val="-1"/>
              </w:rPr>
              <w:t>5</w:t>
            </w:r>
            <w:r>
              <w:rPr>
                <w:color w:val="333333"/>
                <w:spacing w:val="-1"/>
              </w:rPr>
              <w:t>起事件，平均修复时间</w:t>
            </w:r>
            <w:r>
              <w:rPr>
                <w:rFonts w:ascii="Verdana" w:hAnsi="Verdana" w:eastAsia="Verdana" w:cs="Verdana"/>
                <w:color w:val="333333"/>
                <w:spacing w:val="-1"/>
              </w:rPr>
              <w:t>11.4</w:t>
            </w:r>
            <w:r>
              <w:rPr>
                <w:color w:val="333333"/>
                <w:spacing w:val="-1"/>
              </w:rPr>
              <w:t>小时</w:t>
            </w:r>
          </w:p>
        </w:tc>
        <w:tc>
          <w:tcPr>
            <w:tcW w:w="1401" w:type="dxa"/>
            <w:vAlign w:val="top"/>
          </w:tcPr>
          <w:p>
            <w:pPr>
              <w:pStyle w:val="TableText"/>
              <w:ind w:left="203"/>
              <w:spacing w:before="154" w:line="187" w:lineRule="auto"/>
              <w:rPr/>
            </w:pPr>
            <w:r>
              <w:rPr>
                <w:b/>
                <w:bCs/>
                <w:color w:val="333333"/>
                <w:spacing w:val="3"/>
              </w:rPr>
              <w:t>符合</w:t>
            </w:r>
          </w:p>
        </w:tc>
      </w:tr>
    </w:tbl>
    <w:p>
      <w:pPr>
        <w:pStyle w:val="BodyText"/>
        <w:ind w:left="9"/>
        <w:spacing w:before="289" w:line="185" w:lineRule="auto"/>
        <w:outlineLvl w:val="1"/>
        <w:rPr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b/>
          <w:bCs/>
          <w:color w:val="333333"/>
          <w:spacing w:val="-4"/>
        </w:rPr>
        <w:t>3.</w:t>
      </w:r>
      <w:r>
        <w:rPr>
          <w:rFonts w:ascii="Verdana" w:hAnsi="Verdana" w:eastAsia="Verdana" w:cs="Verdana"/>
          <w:sz w:val="24"/>
          <w:szCs w:val="24"/>
          <w:b/>
          <w:bCs/>
          <w:color w:val="333333"/>
          <w:spacing w:val="28"/>
        </w:rPr>
        <w:t xml:space="preserve"> </w:t>
      </w:r>
      <w:r>
        <w:rPr>
          <w:sz w:val="24"/>
          <w:szCs w:val="24"/>
          <w:b/>
          <w:bCs/>
          <w:color w:val="333333"/>
          <w:spacing w:val="-4"/>
        </w:rPr>
        <w:t>《可用性计划》执行情况总结</w:t>
      </w:r>
    </w:p>
    <w:p>
      <w:pPr>
        <w:pStyle w:val="BodyText"/>
        <w:ind w:left="452" w:right="148" w:hanging="242"/>
        <w:spacing w:before="178" w:line="208" w:lineRule="auto"/>
        <w:rPr/>
      </w:pPr>
      <w:r>
        <w:rPr>
          <w:rFonts w:ascii="Arial" w:hAnsi="Arial" w:eastAsia="Arial" w:cs="Arial"/>
          <w:sz w:val="27"/>
          <w:szCs w:val="27"/>
          <w:color w:val="333333"/>
          <w:spacing w:val="1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1"/>
          <w:position w:val="4"/>
        </w:rPr>
        <w:t xml:space="preserve">  </w:t>
      </w:r>
      <w:r>
        <w:rPr>
          <w:b/>
          <w:bCs/>
          <w:color w:val="333333"/>
          <w:spacing w:val="1"/>
        </w:rPr>
        <w:t>日常监控与巡检： </w:t>
      </w:r>
      <w:r>
        <w:rPr>
          <w:color w:val="333333"/>
          <w:spacing w:val="1"/>
        </w:rPr>
        <w:t>全年按计划完成</w:t>
      </w:r>
      <w:r>
        <w:rPr>
          <w:rFonts w:ascii="Verdana" w:hAnsi="Verdana" w:eastAsia="Verdana" w:cs="Verdana"/>
          <w:color w:val="333333"/>
          <w:spacing w:val="1"/>
        </w:rPr>
        <w:t>12</w:t>
      </w:r>
      <w:r>
        <w:rPr>
          <w:color w:val="333333"/>
          <w:spacing w:val="1"/>
        </w:rPr>
        <w:t>次月度人工巡检，填写《巡检记录表》  </w:t>
      </w:r>
      <w:r>
        <w:rPr>
          <w:rFonts w:ascii="Verdana" w:hAnsi="Verdana" w:eastAsia="Verdana" w:cs="Verdana"/>
          <w:color w:val="333333"/>
          <w:spacing w:val="1"/>
        </w:rPr>
        <w:t>12</w:t>
      </w:r>
      <w:r>
        <w:rPr>
          <w:color w:val="333333"/>
          <w:spacing w:val="1"/>
        </w:rPr>
        <w:t>份，发现并处理潜</w:t>
      </w:r>
      <w:r>
        <w:rPr>
          <w:color w:val="333333"/>
          <w:spacing w:val="4"/>
        </w:rPr>
        <w:t>在风险</w:t>
      </w:r>
      <w:r>
        <w:rPr>
          <w:rFonts w:ascii="Verdana" w:hAnsi="Verdana" w:eastAsia="Verdana" w:cs="Verdana"/>
          <w:color w:val="333333"/>
          <w:spacing w:val="4"/>
        </w:rPr>
        <w:t>3</w:t>
      </w:r>
      <w:r>
        <w:rPr>
          <w:color w:val="333333"/>
          <w:spacing w:val="4"/>
        </w:rPr>
        <w:t>起（如磁盘空间告警、日志错误异常）。软件监控系统持续运行，有效预警了</w:t>
      </w:r>
      <w:r>
        <w:rPr>
          <w:rFonts w:ascii="Verdana" w:hAnsi="Verdana" w:eastAsia="Verdana" w:cs="Verdana"/>
          <w:color w:val="333333"/>
          <w:spacing w:val="4"/>
        </w:rPr>
        <w:t>2</w:t>
      </w:r>
      <w:r>
        <w:rPr>
          <w:color w:val="333333"/>
          <w:spacing w:val="4"/>
        </w:rPr>
        <w:t>次潜在故</w:t>
      </w:r>
      <w:r>
        <w:rPr>
          <w:color w:val="333333"/>
          <w:spacing w:val="-8"/>
        </w:rPr>
        <w:t>障。</w:t>
      </w:r>
    </w:p>
    <w:p>
      <w:pPr>
        <w:pStyle w:val="BodyText"/>
        <w:ind w:left="453" w:right="176" w:hanging="243"/>
        <w:spacing w:before="2" w:line="207" w:lineRule="auto"/>
        <w:rPr/>
      </w:pP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4"/>
          <w:position w:val="4"/>
        </w:rPr>
        <w:t xml:space="preserve">  </w:t>
      </w:r>
      <w:r>
        <w:rPr>
          <w:b/>
          <w:bCs/>
          <w:color w:val="333333"/>
          <w:spacing w:val="4"/>
        </w:rPr>
        <w:t>维护与恢复：</w:t>
      </w:r>
      <w:r>
        <w:rPr>
          <w:b/>
          <w:bCs/>
          <w:color w:val="333333"/>
          <w:spacing w:val="25"/>
        </w:rPr>
        <w:t xml:space="preserve"> </w:t>
      </w:r>
      <w:r>
        <w:rPr>
          <w:color w:val="333333"/>
          <w:spacing w:val="4"/>
        </w:rPr>
        <w:t>全年执行计划内维护</w:t>
      </w:r>
      <w:r>
        <w:rPr>
          <w:rFonts w:ascii="Verdana" w:hAnsi="Verdana" w:eastAsia="Verdana" w:cs="Verdana"/>
          <w:color w:val="333333"/>
          <w:spacing w:val="4"/>
        </w:rPr>
        <w:t>12</w:t>
      </w:r>
      <w:r>
        <w:rPr>
          <w:color w:val="333333"/>
          <w:spacing w:val="4"/>
        </w:rPr>
        <w:t>次（包括系统升级、安全</w:t>
      </w:r>
      <w:r>
        <w:rPr>
          <w:color w:val="333333"/>
          <w:spacing w:val="3"/>
        </w:rPr>
        <w:t>补丁安装</w:t>
      </w:r>
      <w:r>
        <w:rPr>
          <w:color w:val="333333"/>
          <w:spacing w:val="5"/>
        </w:rPr>
        <w:t>），</w:t>
      </w:r>
      <w:r>
        <w:rPr>
          <w:color w:val="333333"/>
          <w:spacing w:val="3"/>
        </w:rPr>
        <w:t>均严格遵守窗口时间</w:t>
      </w:r>
      <w:r>
        <w:rPr>
          <w:color w:val="333333"/>
          <w:spacing w:val="3"/>
        </w:rPr>
        <w:t>要求。所有</w:t>
      </w:r>
      <w:r>
        <w:rPr>
          <w:rFonts w:ascii="Verdana" w:hAnsi="Verdana" w:eastAsia="Verdana" w:cs="Verdana"/>
          <w:color w:val="333333"/>
          <w:spacing w:val="3"/>
        </w:rPr>
        <w:t>5</w:t>
      </w:r>
      <w:r>
        <w:rPr>
          <w:color w:val="333333"/>
          <w:spacing w:val="3"/>
        </w:rPr>
        <w:t>起突发故障事件均按恢复方案在规定时间内完成处理。</w:t>
      </w:r>
    </w:p>
    <w:p>
      <w:pPr>
        <w:pStyle w:val="BodyText"/>
        <w:ind w:left="210"/>
        <w:spacing w:before="19" w:line="188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4"/>
          <w:w w:val="101"/>
        </w:rPr>
        <w:t xml:space="preserve">  </w:t>
      </w:r>
      <w:r>
        <w:rPr>
          <w:b/>
          <w:bCs/>
          <w:color w:val="333333"/>
          <w:spacing w:val="3"/>
        </w:rPr>
        <w:t>资源配备：</w:t>
      </w:r>
      <w:r>
        <w:rPr>
          <w:b/>
          <w:bCs/>
          <w:color w:val="333333"/>
          <w:spacing w:val="21"/>
          <w:w w:val="101"/>
        </w:rPr>
        <w:t xml:space="preserve"> </w:t>
      </w:r>
      <w:r>
        <w:rPr>
          <w:color w:val="333333"/>
          <w:spacing w:val="3"/>
        </w:rPr>
        <w:t>专职维护人员与全套工具配备齐全，有效保障了维护与应急响应工作的执行效率。</w:t>
      </w:r>
    </w:p>
    <w:p>
      <w:pPr>
        <w:pStyle w:val="BodyText"/>
        <w:ind w:left="4"/>
        <w:spacing w:before="230" w:line="179" w:lineRule="auto"/>
        <w:outlineLvl w:val="1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b/>
          <w:bCs/>
          <w:color w:val="333333"/>
          <w:spacing w:val="-9"/>
        </w:rPr>
        <w:t>4. </w:t>
      </w:r>
      <w:r>
        <w:rPr>
          <w:sz w:val="24"/>
          <w:szCs w:val="24"/>
          <w:b/>
          <w:bCs/>
          <w:color w:val="333333"/>
          <w:spacing w:val="-9"/>
        </w:rPr>
        <w:t>重大事件与根本原因分析 </w:t>
      </w:r>
      <w:r>
        <w:rPr>
          <w:rFonts w:ascii="Verdana" w:hAnsi="Verdana" w:eastAsia="Verdana" w:cs="Verdana"/>
          <w:sz w:val="24"/>
          <w:szCs w:val="24"/>
          <w:b/>
          <w:bCs/>
          <w:color w:val="333333"/>
          <w:spacing w:val="-9"/>
        </w:rPr>
        <w:t>(RCA)</w:t>
      </w:r>
    </w:p>
    <w:p>
      <w:pPr>
        <w:pStyle w:val="BodyText"/>
        <w:ind w:left="210"/>
        <w:spacing w:before="191" w:line="193" w:lineRule="auto"/>
        <w:rPr/>
      </w:pPr>
      <w:r>
        <w:rPr>
          <w:rFonts w:ascii="Arial" w:hAnsi="Arial" w:eastAsia="Arial" w:cs="Arial"/>
          <w:sz w:val="27"/>
          <w:szCs w:val="27"/>
          <w:color w:val="33333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position w:val="4"/>
        </w:rPr>
        <w:t xml:space="preserve">  </w:t>
      </w:r>
      <w:r>
        <w:rPr>
          <w:b/>
          <w:bCs/>
          <w:color w:val="333333"/>
        </w:rPr>
        <w:t>事件回顾：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</w:rPr>
        <w:t>本年度最重大事件为</w:t>
      </w:r>
      <w:r>
        <w:rPr>
          <w:rFonts w:ascii="Verdana" w:hAnsi="Verdana" w:eastAsia="Verdana" w:cs="Verdana"/>
          <w:color w:val="333333"/>
        </w:rPr>
        <w:t>“10-25</w:t>
      </w:r>
      <w:r>
        <w:rPr>
          <w:color w:val="333333"/>
        </w:rPr>
        <w:t>数据库服务中断事件</w:t>
      </w:r>
      <w:r>
        <w:rPr>
          <w:rFonts w:ascii="Verdana" w:hAnsi="Verdana" w:eastAsia="Verdana" w:cs="Verdana"/>
          <w:color w:val="333333"/>
        </w:rPr>
        <w:t>”</w:t>
      </w:r>
      <w:r>
        <w:rPr>
          <w:rFonts w:ascii="Verdana" w:hAnsi="Verdana" w:eastAsia="Verdana" w:cs="Verdana"/>
          <w:color w:val="333333"/>
          <w:spacing w:val="-36"/>
        </w:rPr>
        <w:t xml:space="preserve"> </w:t>
      </w:r>
      <w:r>
        <w:rPr>
          <w:color w:val="333333"/>
        </w:rPr>
        <w:t>，导致服务不可用时长约</w:t>
      </w:r>
      <w:r>
        <w:rPr>
          <w:rFonts w:ascii="Verdana" w:hAnsi="Verdana" w:eastAsia="Verdana" w:cs="Verdana"/>
          <w:color w:val="333333"/>
        </w:rPr>
        <w:t>45</w:t>
      </w:r>
      <w:r>
        <w:rPr>
          <w:color w:val="333333"/>
          <w:spacing w:val="-1"/>
        </w:rPr>
        <w:t>分钟。</w:t>
      </w:r>
    </w:p>
    <w:p>
      <w:pPr>
        <w:pStyle w:val="BodyText"/>
        <w:ind w:left="452" w:right="153" w:hanging="242"/>
        <w:spacing w:before="111" w:line="231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9"/>
          <w:w w:val="101"/>
        </w:rPr>
        <w:t xml:space="preserve">  </w:t>
      </w:r>
      <w:r>
        <w:rPr>
          <w:b/>
          <w:bCs/>
          <w:color w:val="333333"/>
          <w:spacing w:val="3"/>
        </w:rPr>
        <w:t>根本原因：</w:t>
      </w:r>
      <w:r>
        <w:rPr>
          <w:b/>
          <w:bCs/>
          <w:color w:val="333333"/>
          <w:spacing w:val="21"/>
          <w:w w:val="101"/>
        </w:rPr>
        <w:t xml:space="preserve"> </w:t>
      </w:r>
      <w:r>
        <w:rPr>
          <w:color w:val="333333"/>
          <w:spacing w:val="3"/>
        </w:rPr>
        <w:t>经分析，原因为底层存储阵列的一块硬盘故障，而</w:t>
      </w:r>
      <w:r>
        <w:rPr>
          <w:rFonts w:ascii="Verdana" w:hAnsi="Verdana" w:eastAsia="Verdana" w:cs="Verdana"/>
          <w:color w:val="333333"/>
        </w:rPr>
        <w:t>RAID</w:t>
      </w:r>
      <w:r>
        <w:rPr>
          <w:color w:val="333333"/>
          <w:spacing w:val="3"/>
        </w:rPr>
        <w:t>组中的热备盘因固件版本不兼</w:t>
      </w:r>
      <w:r>
        <w:rPr>
          <w:color w:val="333333"/>
          <w:spacing w:val="3"/>
        </w:rPr>
        <w:t>容，未能成功自动顶替，导致阵列降级后最终失效。</w:t>
      </w:r>
    </w:p>
    <w:p>
      <w:pPr>
        <w:pStyle w:val="BodyText"/>
        <w:ind w:left="210"/>
        <w:spacing w:before="78" w:line="187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1"/>
        </w:rPr>
        <w:t xml:space="preserve">   </w:t>
      </w:r>
      <w:r>
        <w:rPr>
          <w:b/>
          <w:bCs/>
          <w:color w:val="333333"/>
          <w:spacing w:val="-3"/>
        </w:rPr>
        <w:t>改进措施：</w:t>
      </w:r>
    </w:p>
    <w:p>
      <w:pPr>
        <w:pStyle w:val="BodyText"/>
        <w:ind w:left="708"/>
        <w:spacing w:before="98" w:line="221" w:lineRule="auto"/>
        <w:rPr/>
      </w:pPr>
      <w:r>
        <w:rPr>
          <w:rFonts w:ascii="Verdana" w:hAnsi="Verdana" w:eastAsia="Verdana" w:cs="Verdana"/>
          <w:color w:val="333333"/>
          <w:spacing w:val="-1"/>
        </w:rPr>
        <w:t>1. </w:t>
      </w:r>
      <w:r>
        <w:rPr>
          <w:b/>
          <w:bCs/>
          <w:color w:val="333333"/>
          <w:spacing w:val="-1"/>
        </w:rPr>
        <w:t>立即措施：</w:t>
      </w:r>
      <w:r>
        <w:rPr>
          <w:b/>
          <w:bCs/>
          <w:color w:val="333333"/>
          <w:spacing w:val="31"/>
          <w:w w:val="101"/>
        </w:rPr>
        <w:t xml:space="preserve"> </w:t>
      </w:r>
      <w:r>
        <w:rPr>
          <w:color w:val="333333"/>
          <w:spacing w:val="-1"/>
        </w:rPr>
        <w:t>更换故障硬盘，升级所有硬盘固件版本。</w:t>
      </w:r>
    </w:p>
    <w:p>
      <w:pPr>
        <w:pStyle w:val="BodyText"/>
        <w:ind w:left="901" w:right="202" w:hanging="202"/>
        <w:spacing w:before="3" w:line="217" w:lineRule="auto"/>
        <w:rPr/>
      </w:pPr>
      <w:r>
        <w:rPr>
          <w:rFonts w:ascii="Verdana" w:hAnsi="Verdana" w:eastAsia="Verdana" w:cs="Verdana"/>
          <w:color w:val="333333"/>
          <w:spacing w:val="2"/>
        </w:rPr>
        <w:t>2.</w:t>
      </w:r>
      <w:r>
        <w:rPr>
          <w:rFonts w:ascii="Verdana" w:hAnsi="Verdana" w:eastAsia="Verdana" w:cs="Verdana"/>
          <w:color w:val="333333"/>
          <w:spacing w:val="-7"/>
        </w:rPr>
        <w:t xml:space="preserve"> </w:t>
      </w:r>
      <w:r>
        <w:rPr>
          <w:b/>
          <w:bCs/>
          <w:color w:val="333333"/>
          <w:spacing w:val="2"/>
        </w:rPr>
        <w:t>预防措施：</w:t>
      </w:r>
      <w:r>
        <w:rPr>
          <w:b/>
          <w:bCs/>
          <w:color w:val="333333"/>
          <w:spacing w:val="18"/>
          <w:w w:val="101"/>
        </w:rPr>
        <w:t xml:space="preserve"> </w:t>
      </w:r>
      <w:r>
        <w:rPr>
          <w:color w:val="333333"/>
          <w:spacing w:val="2"/>
        </w:rPr>
        <w:t>将</w:t>
      </w:r>
      <w:r>
        <w:rPr>
          <w:rFonts w:ascii="Verdana" w:hAnsi="Verdana" w:eastAsia="Verdana" w:cs="Verdana"/>
          <w:color w:val="333333"/>
          <w:spacing w:val="2"/>
        </w:rPr>
        <w:t>“</w:t>
      </w:r>
      <w:r>
        <w:rPr>
          <w:color w:val="333333"/>
          <w:spacing w:val="2"/>
        </w:rPr>
        <w:t>存储设备固件兼容性检查</w:t>
      </w:r>
      <w:r>
        <w:rPr>
          <w:rFonts w:ascii="Verdana" w:hAnsi="Verdana" w:eastAsia="Verdana" w:cs="Verdana"/>
          <w:color w:val="333333"/>
          <w:spacing w:val="2"/>
        </w:rPr>
        <w:t>”</w:t>
      </w:r>
      <w:r>
        <w:rPr>
          <w:color w:val="333333"/>
          <w:spacing w:val="2"/>
        </w:rPr>
        <w:t>加入月度巡检清单；每季度对热备盘进行一次有效</w:t>
      </w:r>
      <w:r>
        <w:rPr>
          <w:color w:val="333333"/>
          <w:spacing w:val="-2"/>
        </w:rPr>
        <w:t>性验证测试。</w:t>
      </w:r>
    </w:p>
    <w:p>
      <w:pPr>
        <w:pStyle w:val="BodyText"/>
        <w:ind w:left="11"/>
        <w:spacing w:before="230" w:line="185" w:lineRule="auto"/>
        <w:outlineLvl w:val="1"/>
        <w:rPr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b/>
          <w:bCs/>
          <w:color w:val="333333"/>
          <w:spacing w:val="-10"/>
        </w:rPr>
        <w:t>5. </w:t>
      </w:r>
      <w:r>
        <w:rPr>
          <w:sz w:val="24"/>
          <w:szCs w:val="24"/>
          <w:b/>
          <w:bCs/>
          <w:color w:val="333333"/>
          <w:spacing w:val="-10"/>
        </w:rPr>
        <w:t>改进建议</w:t>
      </w:r>
    </w:p>
    <w:p>
      <w:pPr>
        <w:spacing w:line="185" w:lineRule="auto"/>
        <w:sectPr>
          <w:headerReference w:type="default" r:id="rId1"/>
          <w:pgSz w:w="11900" w:h="16839"/>
          <w:pgMar w:top="1780" w:right="1459" w:bottom="0" w:left="1540" w:header="1215" w:footer="0" w:gutter="0"/>
        </w:sectPr>
        <w:rPr>
          <w:sz w:val="24"/>
          <w:szCs w:val="24"/>
        </w:rPr>
      </w:pPr>
    </w:p>
    <w:p>
      <w:pPr>
        <w:pStyle w:val="BodyText"/>
        <w:ind w:left="2"/>
        <w:spacing w:before="238" w:line="187" w:lineRule="auto"/>
        <w:rPr/>
      </w:pPr>
      <w:r>
        <w:rPr>
          <w:color w:val="333333"/>
          <w:spacing w:val="4"/>
        </w:rPr>
        <w:t>基于本年度可用性数据及事件分析，为持续提升可用性</w:t>
      </w:r>
      <w:r>
        <w:rPr>
          <w:color w:val="333333"/>
          <w:spacing w:val="3"/>
        </w:rPr>
        <w:t>，提出以下建议：</w:t>
      </w:r>
    </w:p>
    <w:p>
      <w:pPr>
        <w:pStyle w:val="BodyText"/>
        <w:ind w:left="258"/>
        <w:spacing w:before="158" w:line="221" w:lineRule="auto"/>
        <w:rPr/>
      </w:pPr>
      <w:r>
        <w:rPr>
          <w:rFonts w:ascii="Verdana" w:hAnsi="Verdana" w:eastAsia="Verdana" w:cs="Verdana"/>
          <w:color w:val="333333"/>
          <w:spacing w:val="2"/>
        </w:rPr>
        <w:t>1. </w:t>
      </w:r>
      <w:r>
        <w:rPr>
          <w:b/>
          <w:bCs/>
          <w:color w:val="333333"/>
          <w:spacing w:val="2"/>
        </w:rPr>
        <w:t>技术优化：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  <w:spacing w:val="2"/>
        </w:rPr>
        <w:t>建议评估并引入更高可用性的数据库架构（如</w:t>
      </w:r>
      <w:r>
        <w:rPr>
          <w:color w:val="333333"/>
          <w:spacing w:val="1"/>
        </w:rPr>
        <w:t>主从复制</w:t>
      </w:r>
      <w:r>
        <w:rPr>
          <w:color w:val="333333"/>
          <w:spacing w:val="4"/>
        </w:rPr>
        <w:t>），</w:t>
      </w:r>
      <w:r>
        <w:rPr>
          <w:color w:val="333333"/>
          <w:spacing w:val="1"/>
        </w:rPr>
        <w:t>以降低单点故障风险。</w:t>
      </w:r>
    </w:p>
    <w:p>
      <w:pPr>
        <w:pStyle w:val="BodyText"/>
        <w:ind w:left="453" w:right="52" w:hanging="204"/>
        <w:spacing w:line="218" w:lineRule="auto"/>
        <w:rPr/>
      </w:pPr>
      <w:r>
        <w:rPr>
          <w:rFonts w:ascii="Verdana" w:hAnsi="Verdana" w:eastAsia="Verdana" w:cs="Verdana"/>
          <w:color w:val="333333"/>
          <w:spacing w:val="2"/>
        </w:rPr>
        <w:t>2.</w:t>
      </w:r>
      <w:r>
        <w:rPr>
          <w:rFonts w:ascii="Verdana" w:hAnsi="Verdana" w:eastAsia="Verdana" w:cs="Verdana"/>
          <w:color w:val="333333"/>
          <w:spacing w:val="1"/>
        </w:rPr>
        <w:t xml:space="preserve"> </w:t>
      </w:r>
      <w:r>
        <w:rPr>
          <w:b/>
          <w:bCs/>
          <w:color w:val="333333"/>
          <w:spacing w:val="2"/>
        </w:rPr>
        <w:t>流程优化：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  <w:spacing w:val="2"/>
        </w:rPr>
        <w:t>优化监控告警规则，对</w:t>
      </w:r>
      <w:r>
        <w:rPr>
          <w:rFonts w:ascii="Verdana" w:hAnsi="Verdana" w:eastAsia="Verdana" w:cs="Verdana"/>
          <w:color w:val="333333"/>
          <w:spacing w:val="2"/>
        </w:rPr>
        <w:t>“</w:t>
      </w:r>
      <w:r>
        <w:rPr>
          <w:color w:val="333333"/>
          <w:spacing w:val="2"/>
        </w:rPr>
        <w:t>存储阵列降级</w:t>
      </w:r>
      <w:r>
        <w:rPr>
          <w:rFonts w:ascii="Verdana" w:hAnsi="Verdana" w:eastAsia="Verdana" w:cs="Verdana"/>
          <w:color w:val="333333"/>
          <w:spacing w:val="2"/>
        </w:rPr>
        <w:t>”</w:t>
      </w:r>
      <w:r>
        <w:rPr>
          <w:color w:val="333333"/>
          <w:spacing w:val="2"/>
        </w:rPr>
        <w:t>等中间状态增加更高级别的告警，实现更早的干</w:t>
      </w:r>
      <w:r>
        <w:rPr>
          <w:color w:val="333333"/>
          <w:spacing w:val="-9"/>
        </w:rPr>
        <w:t>预。</w:t>
      </w:r>
    </w:p>
    <w:p>
      <w:pPr>
        <w:pStyle w:val="BodyText"/>
        <w:ind w:left="454" w:right="189" w:hanging="205"/>
        <w:spacing w:before="7" w:line="218" w:lineRule="auto"/>
        <w:rPr/>
      </w:pPr>
      <w:r>
        <w:rPr>
          <w:rFonts w:ascii="Verdana" w:hAnsi="Verdana" w:eastAsia="Verdana" w:cs="Verdana"/>
          <w:color w:val="333333"/>
          <w:spacing w:val="3"/>
        </w:rPr>
        <w:t>3.</w:t>
      </w:r>
      <w:r>
        <w:rPr>
          <w:rFonts w:ascii="Verdana" w:hAnsi="Verdana" w:eastAsia="Verdana" w:cs="Verdana"/>
          <w:color w:val="333333"/>
          <w:spacing w:val="-2"/>
        </w:rPr>
        <w:t xml:space="preserve"> </w:t>
      </w:r>
      <w:r>
        <w:rPr>
          <w:b/>
          <w:bCs/>
          <w:color w:val="333333"/>
          <w:spacing w:val="3"/>
        </w:rPr>
        <w:t>培训优化：</w:t>
      </w:r>
      <w:r>
        <w:rPr>
          <w:b/>
          <w:bCs/>
          <w:color w:val="333333"/>
          <w:spacing w:val="21"/>
        </w:rPr>
        <w:t xml:space="preserve"> </w:t>
      </w:r>
      <w:r>
        <w:rPr>
          <w:color w:val="333333"/>
          <w:spacing w:val="3"/>
        </w:rPr>
        <w:t>组织一次针对存储系统运维的专项培训，提升团队对复杂硬件故障的预见性和处理能</w:t>
      </w:r>
      <w:r>
        <w:rPr>
          <w:color w:val="333333"/>
          <w:spacing w:val="-9"/>
        </w:rPr>
        <w:t>力。</w:t>
      </w:r>
    </w:p>
    <w:p>
      <w:pPr>
        <w:pStyle w:val="BodyText"/>
        <w:ind w:left="8"/>
        <w:spacing w:before="230" w:line="185" w:lineRule="auto"/>
        <w:outlineLvl w:val="1"/>
        <w:rPr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  <w:b/>
          <w:bCs/>
          <w:color w:val="333333"/>
          <w:spacing w:val="-13"/>
        </w:rPr>
        <w:t>6.</w:t>
      </w:r>
      <w:r>
        <w:rPr>
          <w:rFonts w:ascii="Verdana" w:hAnsi="Verdana" w:eastAsia="Verdana" w:cs="Verdana"/>
          <w:sz w:val="24"/>
          <w:szCs w:val="24"/>
          <w:b/>
          <w:bCs/>
          <w:color w:val="333333"/>
          <w:spacing w:val="-17"/>
        </w:rPr>
        <w:t xml:space="preserve"> </w:t>
      </w:r>
      <w:r>
        <w:rPr>
          <w:sz w:val="24"/>
          <w:szCs w:val="24"/>
          <w:b/>
          <w:bCs/>
          <w:color w:val="333333"/>
          <w:spacing w:val="-13"/>
        </w:rPr>
        <w:t>结论</w:t>
      </w:r>
    </w:p>
    <w:p>
      <w:pPr>
        <w:pStyle w:val="BodyText"/>
        <w:ind w:left="1" w:right="52" w:firstLine="8"/>
        <w:spacing w:before="181" w:line="235" w:lineRule="auto"/>
        <w:jc w:val="both"/>
        <w:rPr/>
      </w:pPr>
      <w:r>
        <w:rPr>
          <w:rFonts w:ascii="Verdana" w:hAnsi="Verdana" w:eastAsia="Verdana" w:cs="Verdana"/>
          <w:color w:val="333333"/>
          <w:spacing w:val="4"/>
        </w:rPr>
        <w:t>2023</w:t>
      </w:r>
      <w:r>
        <w:rPr>
          <w:color w:val="333333"/>
          <w:spacing w:val="4"/>
        </w:rPr>
        <w:t>年度，运维服务体系的可用性表现</w:t>
      </w:r>
      <w:r>
        <w:rPr>
          <w:b/>
          <w:bCs/>
          <w:color w:val="333333"/>
          <w:spacing w:val="4"/>
        </w:rPr>
        <w:t>整体符合《可用</w:t>
      </w:r>
      <w:r>
        <w:rPr>
          <w:b/>
          <w:bCs/>
          <w:color w:val="333333"/>
          <w:spacing w:val="3"/>
        </w:rPr>
        <w:t>性计划》的预期目标</w:t>
      </w:r>
      <w:r>
        <w:rPr>
          <w:color w:val="333333"/>
          <w:spacing w:val="3"/>
        </w:rPr>
        <w:t>。系统运行稳定，维护操作</w:t>
      </w:r>
      <w:r>
        <w:rPr>
          <w:color w:val="333333"/>
          <w:spacing w:val="5"/>
        </w:rPr>
        <w:t>规范，应急响应及时有效。对于发生的事件，我们已通过根本原因分析制定了有效的改进措施。下一年</w:t>
      </w:r>
      <w:r>
        <w:rPr>
          <w:color w:val="333333"/>
          <w:spacing w:val="4"/>
        </w:rPr>
        <w:t>度，我们将重点关注改进建议的落地实施，并持续优化，以追求更高的可用性水</w:t>
      </w:r>
      <w:r>
        <w:rPr>
          <w:color w:val="333333"/>
          <w:spacing w:val="3"/>
        </w:rPr>
        <w:t>平。</w:t>
      </w:r>
    </w:p>
    <w:p>
      <w:pPr>
        <w:spacing w:before="162" w:line="30" w:lineRule="exact"/>
        <w:rPr/>
      </w:pPr>
      <w:r>
        <w:rPr/>
        <w:drawing>
          <wp:inline distT="0" distB="0" distL="0" distR="0">
            <wp:extent cx="5612832" cy="1905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"/>
        <w:spacing w:before="300" w:line="186" w:lineRule="auto"/>
        <w:rPr/>
      </w:pPr>
      <w:r>
        <w:rPr>
          <w:b/>
          <w:bCs/>
          <w:color w:val="333333"/>
          <w:spacing w:val="-7"/>
        </w:rPr>
        <w:t>审批：</w:t>
      </w:r>
    </w:p>
    <w:p>
      <w:pPr>
        <w:spacing w:before="227" w:line="30" w:lineRule="exact"/>
        <w:rPr/>
      </w:pPr>
      <w:r>
        <w:rPr/>
        <w:drawing>
          <wp:inline distT="0" distB="0" distL="0" distR="0">
            <wp:extent cx="5612832" cy="19058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5"/>
        <w:spacing w:before="299" w:line="187" w:lineRule="auto"/>
        <w:rPr/>
      </w:pPr>
      <w:r>
        <w:rPr>
          <w:color w:val="333333"/>
          <w:spacing w:val="1"/>
        </w:rPr>
        <w:t>【部门领导签字】</w:t>
      </w:r>
    </w:p>
    <w:p>
      <w:pPr>
        <w:pStyle w:val="BodyText"/>
        <w:ind w:left="22"/>
        <w:spacing w:before="212" w:line="187" w:lineRule="auto"/>
        <w:rPr/>
      </w:pPr>
      <w:r>
        <w:rPr>
          <w:b/>
          <w:bCs/>
          <w:color w:val="333333"/>
          <w:spacing w:val="-2"/>
        </w:rPr>
        <w:t>日期： </w:t>
      </w:r>
      <w:r>
        <w:rPr>
          <w:color w:val="333333"/>
          <w:spacing w:val="-2"/>
        </w:rPr>
        <w:t>年 月</w:t>
      </w:r>
      <w:r>
        <w:rPr>
          <w:color w:val="333333"/>
          <w:spacing w:val="30"/>
        </w:rPr>
        <w:t xml:space="preserve"> </w:t>
      </w:r>
      <w:r>
        <w:rPr>
          <w:color w:val="333333"/>
          <w:spacing w:val="-2"/>
        </w:rPr>
        <w:t>日</w:t>
      </w:r>
    </w:p>
    <w:sectPr>
      <w:headerReference w:type="default" r:id="rId6"/>
      <w:pgSz w:w="11900" w:h="16839"/>
      <w:pgMar w:top="400" w:right="1474" w:bottom="0" w:left="15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2000019F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"/>
      <w:spacing w:before="53" w:line="187" w:lineRule="auto"/>
      <w:rPr/>
    </w:pPr>
    <w:r>
      <w:rPr>
        <w:color w:val="333333"/>
        <w:spacing w:val="4"/>
      </w:rPr>
      <w:t>好的，根据您之前提供的《可用性计划》，我为您编制了一份相应的《可用性报告》范本。</w:t>
    </w:r>
  </w:p>
  <w:p>
    <w:pPr>
      <w:spacing w:before="227" w:line="20" w:lineRule="exact"/>
      <w:rPr/>
    </w:pPr>
    <w:r>
      <w:rPr/>
      <w:drawing>
        <wp:inline distT="0" distB="0" distL="0" distR="0">
          <wp:extent cx="5612832" cy="12708"/>
          <wp:effectExtent l="0" t="0" r="0" b="0"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612832" cy="127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8" Type="http://schemas.openxmlformats.org/officeDocument/2006/relationships/image" Target="media/image7.jpeg"/><Relationship Id="rId7" Type="http://schemas.openxmlformats.org/officeDocument/2006/relationships/image" Target="media/image6.jpeg"/><Relationship Id="rId6" Type="http://schemas.openxmlformats.org/officeDocument/2006/relationships/header" Target="header2.xml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2025-09-13T09:56:11Z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2025-09-13T17:56:33</vt:filetime>
  </property>
</Properties>
</file>