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C0339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452667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02CA566">
      <w:pPr>
        <w:pStyle w:val="24"/>
        <w:bidi w:val="0"/>
      </w:pPr>
      <w:bookmarkStart w:id="0" w:name="_Toc1377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8E031FD">
      <w:pPr>
        <w:pStyle w:val="25"/>
        <w:bidi w:val="0"/>
        <w:rPr>
          <w:rFonts w:hint="default"/>
          <w:lang w:val="en-US"/>
        </w:rPr>
      </w:pPr>
      <w:bookmarkStart w:id="1" w:name="_Toc19400"/>
      <w:r>
        <w:rPr>
          <w:rFonts w:hint="eastAsia"/>
          <w:lang w:val="en-US" w:eastAsia="zh-CN"/>
        </w:rPr>
        <w:t>可用性计划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B2DD3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561552C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6C8CD8ED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E9B1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4B897DD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48F4438C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C1EC1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5457DCA6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A22417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DBC82C9">
      <w:r>
        <w:br w:type="page"/>
      </w:r>
    </w:p>
    <w:p w14:paraId="2DF08A31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F3762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6F5B849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7A6F3BF3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2FDC212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EAA5D82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0987F2A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AFFE1BA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483FE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AB8D697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6039E083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5C9E5FBD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2732F6D1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2476BEA2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90574D5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C7F87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7E94C19">
            <w:pPr>
              <w:pStyle w:val="27"/>
            </w:pPr>
          </w:p>
        </w:tc>
        <w:tc>
          <w:tcPr>
            <w:tcW w:w="919" w:type="dxa"/>
          </w:tcPr>
          <w:p w14:paraId="16B3ECB8">
            <w:pPr>
              <w:pStyle w:val="27"/>
            </w:pPr>
          </w:p>
        </w:tc>
        <w:tc>
          <w:tcPr>
            <w:tcW w:w="2289" w:type="dxa"/>
          </w:tcPr>
          <w:p w14:paraId="71C90D7B">
            <w:pPr>
              <w:pStyle w:val="27"/>
            </w:pPr>
          </w:p>
        </w:tc>
        <w:tc>
          <w:tcPr>
            <w:tcW w:w="1148" w:type="dxa"/>
          </w:tcPr>
          <w:p w14:paraId="5624A30F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6093357C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0407EB94">
            <w:pPr>
              <w:pStyle w:val="27"/>
            </w:pPr>
          </w:p>
        </w:tc>
      </w:tr>
      <w:tr w14:paraId="159F8F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C9E5805">
            <w:pPr>
              <w:pStyle w:val="27"/>
            </w:pPr>
          </w:p>
        </w:tc>
        <w:tc>
          <w:tcPr>
            <w:tcW w:w="919" w:type="dxa"/>
          </w:tcPr>
          <w:p w14:paraId="210D1F00">
            <w:pPr>
              <w:pStyle w:val="27"/>
            </w:pPr>
          </w:p>
        </w:tc>
        <w:tc>
          <w:tcPr>
            <w:tcW w:w="2289" w:type="dxa"/>
          </w:tcPr>
          <w:p w14:paraId="086F39F7">
            <w:pPr>
              <w:pStyle w:val="27"/>
            </w:pPr>
          </w:p>
        </w:tc>
        <w:tc>
          <w:tcPr>
            <w:tcW w:w="1148" w:type="dxa"/>
          </w:tcPr>
          <w:p w14:paraId="66BAF7EC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A4F6D97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26340F76">
            <w:pPr>
              <w:pStyle w:val="27"/>
            </w:pPr>
          </w:p>
        </w:tc>
      </w:tr>
      <w:tr w14:paraId="005EEA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BFD10FF">
            <w:pPr>
              <w:pStyle w:val="27"/>
            </w:pPr>
          </w:p>
        </w:tc>
        <w:tc>
          <w:tcPr>
            <w:tcW w:w="919" w:type="dxa"/>
          </w:tcPr>
          <w:p w14:paraId="7A83C783">
            <w:pPr>
              <w:pStyle w:val="27"/>
            </w:pPr>
          </w:p>
        </w:tc>
        <w:tc>
          <w:tcPr>
            <w:tcW w:w="2289" w:type="dxa"/>
          </w:tcPr>
          <w:p w14:paraId="41DC8CB5">
            <w:pPr>
              <w:pStyle w:val="27"/>
            </w:pPr>
          </w:p>
        </w:tc>
        <w:tc>
          <w:tcPr>
            <w:tcW w:w="1148" w:type="dxa"/>
          </w:tcPr>
          <w:p w14:paraId="7AB946A3">
            <w:pPr>
              <w:pStyle w:val="27"/>
            </w:pPr>
          </w:p>
        </w:tc>
        <w:tc>
          <w:tcPr>
            <w:tcW w:w="1150" w:type="dxa"/>
          </w:tcPr>
          <w:p w14:paraId="4974BD5F">
            <w:pPr>
              <w:pStyle w:val="27"/>
            </w:pPr>
          </w:p>
        </w:tc>
        <w:tc>
          <w:tcPr>
            <w:tcW w:w="1240" w:type="dxa"/>
          </w:tcPr>
          <w:p w14:paraId="2496F261">
            <w:pPr>
              <w:pStyle w:val="27"/>
            </w:pPr>
          </w:p>
        </w:tc>
      </w:tr>
      <w:tr w14:paraId="10D31B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DD86C5F">
            <w:pPr>
              <w:pStyle w:val="27"/>
            </w:pPr>
          </w:p>
        </w:tc>
        <w:tc>
          <w:tcPr>
            <w:tcW w:w="919" w:type="dxa"/>
          </w:tcPr>
          <w:p w14:paraId="605EAFAD">
            <w:pPr>
              <w:pStyle w:val="27"/>
            </w:pPr>
          </w:p>
        </w:tc>
        <w:tc>
          <w:tcPr>
            <w:tcW w:w="2289" w:type="dxa"/>
          </w:tcPr>
          <w:p w14:paraId="6E3A96D1">
            <w:pPr>
              <w:pStyle w:val="27"/>
            </w:pPr>
          </w:p>
        </w:tc>
        <w:tc>
          <w:tcPr>
            <w:tcW w:w="1148" w:type="dxa"/>
          </w:tcPr>
          <w:p w14:paraId="35F6191E">
            <w:pPr>
              <w:pStyle w:val="27"/>
            </w:pPr>
          </w:p>
        </w:tc>
        <w:tc>
          <w:tcPr>
            <w:tcW w:w="1150" w:type="dxa"/>
          </w:tcPr>
          <w:p w14:paraId="753538D9">
            <w:pPr>
              <w:pStyle w:val="27"/>
            </w:pPr>
          </w:p>
        </w:tc>
        <w:tc>
          <w:tcPr>
            <w:tcW w:w="1240" w:type="dxa"/>
          </w:tcPr>
          <w:p w14:paraId="6BE54046">
            <w:pPr>
              <w:pStyle w:val="27"/>
            </w:pPr>
          </w:p>
        </w:tc>
      </w:tr>
      <w:tr w14:paraId="7C219D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155FBC2">
            <w:pPr>
              <w:pStyle w:val="27"/>
            </w:pPr>
          </w:p>
        </w:tc>
        <w:tc>
          <w:tcPr>
            <w:tcW w:w="919" w:type="dxa"/>
          </w:tcPr>
          <w:p w14:paraId="4570B3BA">
            <w:pPr>
              <w:pStyle w:val="27"/>
            </w:pPr>
          </w:p>
        </w:tc>
        <w:tc>
          <w:tcPr>
            <w:tcW w:w="2289" w:type="dxa"/>
          </w:tcPr>
          <w:p w14:paraId="200F3713">
            <w:pPr>
              <w:pStyle w:val="27"/>
            </w:pPr>
          </w:p>
        </w:tc>
        <w:tc>
          <w:tcPr>
            <w:tcW w:w="1148" w:type="dxa"/>
          </w:tcPr>
          <w:p w14:paraId="7A35F097">
            <w:pPr>
              <w:pStyle w:val="27"/>
            </w:pPr>
          </w:p>
        </w:tc>
        <w:tc>
          <w:tcPr>
            <w:tcW w:w="1150" w:type="dxa"/>
          </w:tcPr>
          <w:p w14:paraId="0E5F381E">
            <w:pPr>
              <w:pStyle w:val="27"/>
            </w:pPr>
          </w:p>
        </w:tc>
        <w:tc>
          <w:tcPr>
            <w:tcW w:w="1240" w:type="dxa"/>
          </w:tcPr>
          <w:p w14:paraId="0B1771FE">
            <w:pPr>
              <w:pStyle w:val="27"/>
            </w:pPr>
          </w:p>
        </w:tc>
      </w:tr>
    </w:tbl>
    <w:p w14:paraId="7D4DCAF0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67CA46E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EF6EF9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_Toc13778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_Toc13778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3E382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可用性计划</w:t>
          </w:r>
          <w:r>
            <w:tab/>
          </w:r>
          <w:r>
            <w:fldChar w:fldCharType="begin"/>
          </w:r>
          <w:r>
            <w:instrText xml:space="preserve"> PAGEREF _Toc19400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6C026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_Toc24868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_Toc24868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5556B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_Toc4292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_Toc4292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123ED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_Toc4728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_Toc4728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62881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_Toc31889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_Toc31889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DB87A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_Toc19927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94646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_Toc21447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可用性工作实施</w:t>
          </w:r>
          <w:r>
            <w:tab/>
          </w:r>
          <w:r>
            <w:fldChar w:fldCharType="begin"/>
          </w:r>
          <w:r>
            <w:instrText xml:space="preserve"> PAGEREF _Toc21447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461BF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_Toc7008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 可用性需求</w:t>
          </w:r>
          <w:r>
            <w:tab/>
          </w:r>
          <w:r>
            <w:fldChar w:fldCharType="begin"/>
          </w:r>
          <w:r>
            <w:instrText xml:space="preserve"> PAGEREF _Toc7008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C1E4F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5.2. 检测、维护及恢复方案</w:t>
          </w:r>
          <w:r>
            <w:tab/>
          </w:r>
          <w:r>
            <w:fldChar w:fldCharType="begin"/>
          </w:r>
          <w:r>
            <w:instrText xml:space="preserve"> PAGEREF _Toc9287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BB8AE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_Toc26286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5.2.1. 日常维护方案</w:t>
          </w:r>
          <w:r>
            <w:tab/>
          </w:r>
          <w:r>
            <w:fldChar w:fldCharType="begin"/>
          </w:r>
          <w:r>
            <w:instrText xml:space="preserve"> PAGEREF _Toc26286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9310A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_Toc21396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5.2.2. 系统恢复方案</w:t>
          </w:r>
          <w:r>
            <w:tab/>
          </w:r>
          <w:r>
            <w:fldChar w:fldCharType="begin"/>
          </w:r>
          <w:r>
            <w:instrText xml:space="preserve"> PAGEREF _Toc21396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C9658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_Toc20030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5.2.3. 计划的评审</w:t>
          </w:r>
          <w:r>
            <w:tab/>
          </w:r>
          <w:r>
            <w:fldChar w:fldCharType="begin"/>
          </w:r>
          <w:r>
            <w:instrText xml:space="preserve"> PAGEREF _Toc20030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EAEAB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_Toc16666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_Toc16666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B1BD48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94E5CAE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901C9C1">
      <w:pPr>
        <w:pStyle w:val="28"/>
        <w:bidi w:val="0"/>
      </w:pPr>
      <w:bookmarkStart w:id="2" w:name="_Toc24868"/>
      <w:r>
        <w:t>目的</w:t>
      </w:r>
      <w:bookmarkEnd w:id="2"/>
    </w:p>
    <w:p w14:paraId="229578CD">
      <w:pPr>
        <w:pStyle w:val="29"/>
        <w:bidi w:val="0"/>
      </w:pPr>
      <w:r>
        <w:t>实施本可用性计划的核心目的在于，通过规范化的预防性维护和快速响应机制，显著提高运维服务体系中各项措施的实施成功率。确保在发生系统故障或服务中断等关键时刻，所有运维操作均有据可依、有章可循，能够严格按既定计划执行，从而保障业务连续性，最大化系统与服务的可用性。</w:t>
      </w:r>
    </w:p>
    <w:p w14:paraId="4FB21CCE">
      <w:pPr>
        <w:pStyle w:val="28"/>
        <w:bidi w:val="0"/>
        <w:rPr>
          <w:rFonts w:hint="eastAsia"/>
          <w:lang w:val="en-US" w:eastAsia="zh-CN"/>
        </w:rPr>
      </w:pPr>
      <w:bookmarkStart w:id="3" w:name="_Toc4292"/>
      <w:r>
        <w:rPr>
          <w:rFonts w:hint="eastAsia"/>
          <w:lang w:val="en-US" w:eastAsia="zh-CN"/>
        </w:rPr>
        <w:t>原则</w:t>
      </w:r>
      <w:bookmarkEnd w:id="3"/>
    </w:p>
    <w:p w14:paraId="5D287159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预防为主：</w:t>
      </w:r>
    </w:p>
    <w:p w14:paraId="2FCB63A0"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通过主动的监控、巡检和预防性维护，最大限度地预防故障发生，而非被动响应。</w:t>
      </w:r>
    </w:p>
    <w:p w14:paraId="4F727B22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连续性：</w:t>
      </w:r>
    </w:p>
    <w:p w14:paraId="0086A53F"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所有活动的最终目标是保障和支持客户的业务连续、稳定运行。</w:t>
      </w:r>
    </w:p>
    <w:p w14:paraId="203F5A71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持续改进：</w:t>
      </w:r>
    </w:p>
    <w:p w14:paraId="50A77467"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定期评审计划，根据可用性绩效和事件分析，不断优化流程和措施。</w:t>
      </w:r>
    </w:p>
    <w:p w14:paraId="45483E13">
      <w:pPr>
        <w:pStyle w:val="28"/>
        <w:bidi w:val="0"/>
      </w:pPr>
      <w:bookmarkStart w:id="4" w:name="_Toc4728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665AC81C">
      <w:pPr>
        <w:pStyle w:val="29"/>
        <w:bidi w:val="0"/>
      </w:pPr>
      <w:r>
        <w:t>本计划适用于为客户提供的所有运维服务工作，以及支持这些服务运行所必需的基础设施和软件系统，包括但不限于服务器、网络设备、相关系统软件及应用</w:t>
      </w:r>
      <w:r>
        <w:rPr>
          <w:rFonts w:hint="eastAsia"/>
          <w:lang w:val="en-US" w:eastAsia="zh-CN"/>
        </w:rPr>
        <w:t>程序</w:t>
      </w:r>
      <w:r>
        <w:t>。</w:t>
      </w:r>
    </w:p>
    <w:p w14:paraId="677DA7A9">
      <w:pPr>
        <w:pStyle w:val="28"/>
        <w:bidi w:val="0"/>
        <w:rPr>
          <w:rFonts w:hint="eastAsia"/>
          <w:lang w:val="en-US" w:eastAsia="zh-CN"/>
        </w:rPr>
      </w:pPr>
      <w:bookmarkStart w:id="5" w:name="_Toc31889"/>
      <w:r>
        <w:rPr>
          <w:rFonts w:hint="eastAsia"/>
          <w:lang w:val="en-US" w:eastAsia="zh-CN"/>
        </w:rPr>
        <w:t>岗位职责</w:t>
      </w:r>
      <w:bookmarkEnd w:id="5"/>
    </w:p>
    <w:p w14:paraId="486310D0">
      <w:pPr>
        <w:pStyle w:val="30"/>
        <w:bidi w:val="0"/>
        <w:rPr>
          <w:rFonts w:hint="eastAsia"/>
          <w:lang w:val="en-US" w:eastAsia="zh-CN"/>
        </w:rPr>
      </w:pPr>
      <w:bookmarkStart w:id="6" w:name="_Toc19927"/>
      <w:r>
        <w:rPr>
          <w:rFonts w:hint="eastAsia"/>
          <w:lang w:val="en-US" w:eastAsia="zh-CN"/>
        </w:rPr>
        <w:t>运维部</w:t>
      </w:r>
      <w:bookmarkEnd w:id="6"/>
    </w:p>
    <w:p w14:paraId="16C3D320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日常监控与预防维护：通过7x24小时监控和定期巡检，主动发现并处理潜在风险，预防故障发生。</w:t>
      </w:r>
    </w:p>
    <w:p w14:paraId="36105BC4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应急响应与快速恢复：在故障发生时，作为第一响应团队，严格按照SLA要求（如4小时到场）执行恢复流程，最大限度减少停机时间。</w:t>
      </w:r>
    </w:p>
    <w:p w14:paraId="390F252B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规范执行与记录：严格执行计划内维护流程（如夜间检修），并详细记录所有维护、故障及处理情况，确保所有操作有据可查。</w:t>
      </w:r>
    </w:p>
    <w:p w14:paraId="418F9235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数据提供与持续改进：收集系统可用性数据，编制可用性报告，并为计划的年度评审提供数据支持，推动流程和措施的持续优化。</w:t>
      </w:r>
    </w:p>
    <w:p w14:paraId="2EA7CDCD">
      <w:pPr>
        <w:pStyle w:val="28"/>
        <w:bidi w:val="0"/>
        <w:rPr>
          <w:rFonts w:hint="default"/>
          <w:lang w:val="en-US" w:eastAsia="zh-CN"/>
        </w:rPr>
      </w:pPr>
      <w:bookmarkStart w:id="7" w:name="_Toc21447"/>
      <w:r>
        <w:rPr>
          <w:rFonts w:hint="eastAsia"/>
          <w:lang w:val="en-US" w:eastAsia="zh-CN"/>
        </w:rPr>
        <w:t>可用性工作实施</w:t>
      </w:r>
      <w:bookmarkEnd w:id="7"/>
    </w:p>
    <w:p w14:paraId="30E387DD">
      <w:pPr>
        <w:pStyle w:val="30"/>
        <w:bidi w:val="0"/>
        <w:rPr>
          <w:rFonts w:hint="default"/>
          <w:lang w:val="en-US" w:eastAsia="zh-CN"/>
        </w:rPr>
      </w:pPr>
      <w:bookmarkStart w:id="8" w:name="_Toc7008"/>
      <w:r>
        <w:rPr>
          <w:rFonts w:hint="default"/>
          <w:lang w:val="en-US" w:eastAsia="zh-CN"/>
        </w:rPr>
        <w:t>可用性需求</w:t>
      </w:r>
      <w:bookmarkEnd w:id="8"/>
    </w:p>
    <w:p w14:paraId="76C17BF8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根据客户业务要求，明确以下可用性需求：</w:t>
      </w:r>
    </w:p>
    <w:p w14:paraId="148525BD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可用时间：核心系统与服务要求提供 7×24 小时的不间断服务能力。</w:t>
      </w:r>
    </w:p>
    <w:p w14:paraId="3BD12A52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宕机时间：如因计划内维修或升级需停止服务器， 必须提前通知用户，并获得许可。</w:t>
      </w:r>
    </w:p>
    <w:p w14:paraId="647AB5B9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最低绩效：</w:t>
      </w:r>
    </w:p>
    <w:p w14:paraId="150E5F7B">
      <w:pPr>
        <w:pStyle w:val="29"/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所有计划内的停机检修工作须避开业务高峰期， 通常安排在晚上 7 点后进行。</w:t>
      </w:r>
    </w:p>
    <w:p w14:paraId="67317D54">
      <w:pPr>
        <w:pStyle w:val="29"/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计划内维修的目标修复时间应尽量控制在 12 小时之内完成。</w:t>
      </w:r>
    </w:p>
    <w:p w14:paraId="62B0E07F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可用性报告及频率：</w:t>
      </w:r>
    </w:p>
    <w:p w14:paraId="1552C603">
      <w:pPr>
        <w:pStyle w:val="29"/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由指定的可用性负责人编写《可用性报告》。</w:t>
      </w:r>
    </w:p>
    <w:p w14:paraId="4AB94A48">
      <w:pPr>
        <w:pStyle w:val="29"/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常规报告频率为每年一次。</w:t>
      </w:r>
    </w:p>
    <w:p w14:paraId="3F2908B3">
      <w:pPr>
        <w:pStyle w:val="29"/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此外，每当发生重大升级或变更服务后，必须额外生成一份可用性报告并提交给部门领导。</w:t>
      </w:r>
    </w:p>
    <w:p w14:paraId="3363EE1C">
      <w:pPr>
        <w:pStyle w:val="30"/>
        <w:bidi w:val="0"/>
        <w:rPr>
          <w:rFonts w:hint="default"/>
          <w:lang w:val="en-US" w:eastAsia="zh-CN"/>
        </w:rPr>
      </w:pPr>
      <w:bookmarkStart w:id="9" w:name="_Toc9287"/>
      <w:r>
        <w:rPr>
          <w:rFonts w:hint="default"/>
          <w:lang w:val="en-US" w:eastAsia="zh-CN"/>
        </w:rPr>
        <w:t>检测、维护及恢复方案</w:t>
      </w:r>
      <w:bookmarkEnd w:id="9"/>
    </w:p>
    <w:p w14:paraId="5F741971">
      <w:pPr>
        <w:pStyle w:val="31"/>
        <w:bidi w:val="0"/>
        <w:rPr>
          <w:rFonts w:hint="default"/>
          <w:lang w:val="en-US" w:eastAsia="zh-CN"/>
        </w:rPr>
      </w:pPr>
      <w:bookmarkStart w:id="10" w:name="_Toc26286"/>
      <w:r>
        <w:rPr>
          <w:rFonts w:hint="default"/>
          <w:lang w:val="en-US" w:eastAsia="zh-CN"/>
        </w:rPr>
        <w:t>日常维护方案</w:t>
      </w:r>
      <w:bookmarkEnd w:id="10"/>
    </w:p>
    <w:p w14:paraId="662AA587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为确保系统持续稳</w:t>
      </w:r>
      <w:r>
        <w:rPr>
          <w:rStyle w:val="39"/>
          <w:rFonts w:hint="default"/>
          <w:lang w:val="en-US" w:eastAsia="zh-CN"/>
        </w:rPr>
        <w:t>定</w:t>
      </w:r>
      <w:r>
        <w:rPr>
          <w:rFonts w:hint="default"/>
          <w:lang w:val="en-US" w:eastAsia="zh-CN"/>
        </w:rPr>
        <w:t>运行，将执行以下日常维护措施：</w:t>
      </w:r>
    </w:p>
    <w:p w14:paraId="37D01B4A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资源配备：安排专职</w:t>
      </w: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人员1名，配备笔记本电脑 1 台、维护记录本及全套维修工具，以满足日常维护和应急响应需求。</w:t>
      </w:r>
    </w:p>
    <w:p w14:paraId="1222D3E3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监视方法：采用定期人工巡检与自动化软件监控相结合的方式，全面监视设备运行状况。</w:t>
      </w:r>
    </w:p>
    <w:p w14:paraId="40C474F3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人工巡检：</w:t>
      </w:r>
    </w:p>
    <w:p w14:paraId="26C00AAA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频率：每月进行一次全面巡检。</w:t>
      </w:r>
    </w:p>
    <w:p w14:paraId="7FD49B69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内容：</w:t>
      </w:r>
    </w:p>
    <w:p w14:paraId="6BA794D8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检查硬件设备的温度、运行状态指示灯，进行必要的保养维护与性能测试，并对系统进行优化。</w:t>
      </w:r>
    </w:p>
    <w:p w14:paraId="298538BB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检查软件系统的运行情况，包括数据库状态、分析后台日志和验证数据备份的完整性。</w:t>
      </w:r>
    </w:p>
    <w:p w14:paraId="2EB07B77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记录：所有检查结果必须详细填写于《巡检记录表》，并在维护记录本中完成登记。</w:t>
      </w:r>
    </w:p>
    <w:p w14:paraId="3763FC36">
      <w:pPr>
        <w:pStyle w:val="29"/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软件监控：</w:t>
      </w:r>
    </w:p>
    <w:p w14:paraId="47C46293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客户可通过监控系统实时监控视频设备运行状况、资源利用率及系统健康度。</w:t>
      </w:r>
    </w:p>
    <w:p w14:paraId="161FF6E5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涉及的具体管理需求包括：</w:t>
      </w:r>
    </w:p>
    <w:p w14:paraId="3AD4CFE5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密码维护：由专人负责，定期更新，确保安全。</w:t>
      </w:r>
    </w:p>
    <w:p w14:paraId="00B170D9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应急修补方法：建立标准流程，用于快速应对发现的安全漏洞或系统缺陷。</w:t>
      </w:r>
    </w:p>
    <w:p w14:paraId="43195A90">
      <w:pPr>
        <w:pStyle w:val="29"/>
        <w:rPr>
          <w:rFonts w:hint="default"/>
          <w:lang w:val="en-US" w:eastAsia="zh-CN"/>
        </w:rPr>
      </w:pPr>
      <w:bookmarkStart w:id="17" w:name="_GoBack"/>
      <w:bookmarkEnd w:id="17"/>
      <w:r>
        <w:rPr>
          <w:rFonts w:hint="default"/>
          <w:lang w:val="en-US" w:eastAsia="zh-CN"/>
        </w:rPr>
        <w:t>操作、监控和诊断技能：对运维人员进行持续培训，确保其具备所需的技能。</w:t>
      </w:r>
    </w:p>
    <w:p w14:paraId="60930F8D">
      <w:pPr>
        <w:pStyle w:val="31"/>
        <w:bidi w:val="0"/>
        <w:rPr>
          <w:rFonts w:hint="default"/>
          <w:lang w:val="en-US" w:eastAsia="zh-CN"/>
        </w:rPr>
      </w:pPr>
      <w:bookmarkStart w:id="11" w:name="_Toc21396"/>
      <w:r>
        <w:rPr>
          <w:rFonts w:hint="default"/>
          <w:lang w:val="en-US" w:eastAsia="zh-CN"/>
        </w:rPr>
        <w:t>系统恢复方案</w:t>
      </w:r>
      <w:bookmarkEnd w:id="11"/>
    </w:p>
    <w:p w14:paraId="0AD8A0F1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根据合同承诺，在系统发生故障后，</w:t>
      </w:r>
      <w:r>
        <w:rPr>
          <w:rFonts w:hint="eastAsia"/>
          <w:lang w:val="en-US" w:eastAsia="zh-CN"/>
        </w:rPr>
        <w:t>运维实施</w:t>
      </w:r>
      <w:r>
        <w:rPr>
          <w:rFonts w:hint="default"/>
          <w:lang w:val="en-US" w:eastAsia="zh-CN"/>
        </w:rPr>
        <w:t>工程师须在4小时内抵达现场，并在24小时内完成故障修复。</w:t>
      </w:r>
    </w:p>
    <w:p w14:paraId="747BAC4E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为保障修复质量与效率，将确保配置的全套专业维修工具始终可用，以满足各类现场维修需求。</w:t>
      </w:r>
    </w:p>
    <w:p w14:paraId="767335E0">
      <w:pPr>
        <w:pStyle w:val="31"/>
        <w:bidi w:val="0"/>
        <w:rPr>
          <w:rFonts w:hint="default"/>
          <w:lang w:val="en-US" w:eastAsia="zh-CN"/>
        </w:rPr>
      </w:pPr>
      <w:bookmarkStart w:id="12" w:name="_Toc20030"/>
      <w:r>
        <w:rPr>
          <w:rFonts w:hint="default"/>
          <w:lang w:val="en-US" w:eastAsia="zh-CN"/>
        </w:rPr>
        <w:t>计划的评审</w:t>
      </w:r>
      <w:bookmarkEnd w:id="12"/>
    </w:p>
    <w:p w14:paraId="2A63271D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本可用性计划每年将定期评审一次，以确保其持续有效性、适应性及可行性，并能应对业务和技术环境的变化。</w:t>
      </w:r>
    </w:p>
    <w:p w14:paraId="0CD8CF1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3" w:name="bookmark3"/>
      <w:bookmarkEnd w:id="13"/>
      <w:bookmarkStart w:id="14" w:name="_Toc17424"/>
      <w:bookmarkStart w:id="15" w:name="_Toc16666"/>
      <w:r>
        <w:rPr>
          <w:rStyle w:val="38"/>
          <w:rFonts w:hint="eastAsia" w:eastAsia="宋体"/>
          <w:lang w:val="en-US" w:eastAsia="zh-CN"/>
        </w:rPr>
        <w:t>附则</w:t>
      </w:r>
      <w:bookmarkEnd w:id="14"/>
      <w:bookmarkEnd w:id="15"/>
    </w:p>
    <w:p w14:paraId="4D1EFCB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199030AB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  <w:bookmarkStart w:id="16" w:name="bookmark14"/>
      <w:bookmarkEnd w:id="16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62EEC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309290A"/>
    <w:multiLevelType w:val="singleLevel"/>
    <w:tmpl w:val="930929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E11D14A"/>
    <w:multiLevelType w:val="singleLevel"/>
    <w:tmpl w:val="9E11D14A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C8824AC8"/>
    <w:multiLevelType w:val="singleLevel"/>
    <w:tmpl w:val="C8824A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5108AA2"/>
    <w:multiLevelType w:val="singleLevel"/>
    <w:tmpl w:val="D5108AA2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069CC00"/>
    <w:multiLevelType w:val="singleLevel"/>
    <w:tmpl w:val="0069CC0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29D60D7B"/>
    <w:multiLevelType w:val="singleLevel"/>
    <w:tmpl w:val="29D60D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096E152"/>
    <w:multiLevelType w:val="singleLevel"/>
    <w:tmpl w:val="3096E1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AF1302"/>
    <w:rsid w:val="2B461179"/>
    <w:rsid w:val="48E01AB7"/>
    <w:rsid w:val="4E51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link w:val="3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3 Char"/>
    <w:link w:val="31"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1593</Words>
  <Characters>1680</Characters>
  <Lines>0</Lines>
  <Paragraphs>0</Paragraphs>
  <TotalTime>1</TotalTime>
  <ScaleCrop>false</ScaleCrop>
  <LinksUpToDate>false</LinksUpToDate>
  <CharactersWithSpaces>1765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2025-09-15T05:02:14Z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