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69130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E2E75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A90D450">
      <w:pPr>
        <w:pStyle w:val="24"/>
        <w:bidi w:val="0"/>
      </w:pPr>
      <w:bookmarkStart w:id="0" w:name="_Toc135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D94AD46">
      <w:pPr>
        <w:pStyle w:val="25"/>
        <w:bidi w:val="0"/>
        <w:rPr>
          <w:rFonts w:hint="default"/>
          <w:lang w:val="en-US"/>
        </w:rPr>
      </w:pPr>
      <w:bookmarkStart w:id="1" w:name="_Toc24949"/>
      <w:r>
        <w:rPr>
          <w:rFonts w:hint="eastAsia"/>
          <w:lang w:val="en-US" w:eastAsia="zh-CN"/>
        </w:rPr>
        <w:t>可用性计划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BD15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2F2F40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07A233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73BBD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7D4DCE8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B6ACC2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00AE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41A1EB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C78403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489CCE27">
      <w:r>
        <w:br w:type="page"/>
      </w:r>
    </w:p>
    <w:p w14:paraId="33ECC37E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22F0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EDEB873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2FA4EBA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06D4D57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9D72C4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914BD14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4B5871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F33DB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DD296EE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4302074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C0342F5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8E3976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5D90985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8C4B1DA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1D1C4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ED78A40">
            <w:pPr>
              <w:pStyle w:val="27"/>
            </w:pPr>
          </w:p>
        </w:tc>
        <w:tc>
          <w:tcPr>
            <w:tcW w:w="919" w:type="dxa"/>
          </w:tcPr>
          <w:p w14:paraId="1FF5171D">
            <w:pPr>
              <w:pStyle w:val="27"/>
            </w:pPr>
          </w:p>
        </w:tc>
        <w:tc>
          <w:tcPr>
            <w:tcW w:w="2289" w:type="dxa"/>
          </w:tcPr>
          <w:p w14:paraId="3EFEC925">
            <w:pPr>
              <w:pStyle w:val="27"/>
            </w:pPr>
          </w:p>
        </w:tc>
        <w:tc>
          <w:tcPr>
            <w:tcW w:w="1148" w:type="dxa"/>
          </w:tcPr>
          <w:p w14:paraId="25EA9406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3DD1EC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064D49A">
            <w:pPr>
              <w:pStyle w:val="27"/>
            </w:pPr>
          </w:p>
        </w:tc>
      </w:tr>
      <w:tr w14:paraId="393536F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08D769">
            <w:pPr>
              <w:pStyle w:val="27"/>
            </w:pPr>
          </w:p>
        </w:tc>
        <w:tc>
          <w:tcPr>
            <w:tcW w:w="919" w:type="dxa"/>
          </w:tcPr>
          <w:p w14:paraId="2C8AB329">
            <w:pPr>
              <w:pStyle w:val="27"/>
            </w:pPr>
          </w:p>
        </w:tc>
        <w:tc>
          <w:tcPr>
            <w:tcW w:w="2289" w:type="dxa"/>
          </w:tcPr>
          <w:p w14:paraId="38DA6157">
            <w:pPr>
              <w:pStyle w:val="27"/>
            </w:pPr>
          </w:p>
        </w:tc>
        <w:tc>
          <w:tcPr>
            <w:tcW w:w="1148" w:type="dxa"/>
          </w:tcPr>
          <w:p w14:paraId="1B27B71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D4C7BD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061C935B">
            <w:pPr>
              <w:pStyle w:val="27"/>
            </w:pPr>
          </w:p>
        </w:tc>
      </w:tr>
      <w:tr w14:paraId="26EFD5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81B7EF3">
            <w:pPr>
              <w:pStyle w:val="27"/>
            </w:pPr>
          </w:p>
        </w:tc>
        <w:tc>
          <w:tcPr>
            <w:tcW w:w="919" w:type="dxa"/>
          </w:tcPr>
          <w:p w14:paraId="4BB426E6">
            <w:pPr>
              <w:pStyle w:val="27"/>
            </w:pPr>
          </w:p>
        </w:tc>
        <w:tc>
          <w:tcPr>
            <w:tcW w:w="2289" w:type="dxa"/>
          </w:tcPr>
          <w:p w14:paraId="70138D90">
            <w:pPr>
              <w:pStyle w:val="27"/>
            </w:pPr>
          </w:p>
        </w:tc>
        <w:tc>
          <w:tcPr>
            <w:tcW w:w="1148" w:type="dxa"/>
          </w:tcPr>
          <w:p w14:paraId="37FEF622">
            <w:pPr>
              <w:pStyle w:val="27"/>
            </w:pPr>
          </w:p>
        </w:tc>
        <w:tc>
          <w:tcPr>
            <w:tcW w:w="1150" w:type="dxa"/>
          </w:tcPr>
          <w:p w14:paraId="706ABD5C">
            <w:pPr>
              <w:pStyle w:val="27"/>
            </w:pPr>
          </w:p>
        </w:tc>
        <w:tc>
          <w:tcPr>
            <w:tcW w:w="1240" w:type="dxa"/>
          </w:tcPr>
          <w:p w14:paraId="2DA55B9B">
            <w:pPr>
              <w:pStyle w:val="27"/>
            </w:pPr>
          </w:p>
        </w:tc>
      </w:tr>
      <w:tr w14:paraId="543AF5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2899EBB">
            <w:pPr>
              <w:pStyle w:val="27"/>
            </w:pPr>
          </w:p>
        </w:tc>
        <w:tc>
          <w:tcPr>
            <w:tcW w:w="919" w:type="dxa"/>
          </w:tcPr>
          <w:p w14:paraId="6269E83F">
            <w:pPr>
              <w:pStyle w:val="27"/>
            </w:pPr>
          </w:p>
        </w:tc>
        <w:tc>
          <w:tcPr>
            <w:tcW w:w="2289" w:type="dxa"/>
          </w:tcPr>
          <w:p w14:paraId="3F8E38A6">
            <w:pPr>
              <w:pStyle w:val="27"/>
            </w:pPr>
          </w:p>
        </w:tc>
        <w:tc>
          <w:tcPr>
            <w:tcW w:w="1148" w:type="dxa"/>
          </w:tcPr>
          <w:p w14:paraId="303A55D7">
            <w:pPr>
              <w:pStyle w:val="27"/>
            </w:pPr>
          </w:p>
        </w:tc>
        <w:tc>
          <w:tcPr>
            <w:tcW w:w="1150" w:type="dxa"/>
          </w:tcPr>
          <w:p w14:paraId="0944B526">
            <w:pPr>
              <w:pStyle w:val="27"/>
            </w:pPr>
          </w:p>
        </w:tc>
        <w:tc>
          <w:tcPr>
            <w:tcW w:w="1240" w:type="dxa"/>
          </w:tcPr>
          <w:p w14:paraId="10ED4FD8">
            <w:pPr>
              <w:pStyle w:val="27"/>
            </w:pPr>
          </w:p>
        </w:tc>
      </w:tr>
      <w:tr w14:paraId="6FAC0D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E6FF3E1">
            <w:pPr>
              <w:pStyle w:val="27"/>
            </w:pPr>
          </w:p>
        </w:tc>
        <w:tc>
          <w:tcPr>
            <w:tcW w:w="919" w:type="dxa"/>
          </w:tcPr>
          <w:p w14:paraId="799AF3FE">
            <w:pPr>
              <w:pStyle w:val="27"/>
            </w:pPr>
          </w:p>
        </w:tc>
        <w:tc>
          <w:tcPr>
            <w:tcW w:w="2289" w:type="dxa"/>
          </w:tcPr>
          <w:p w14:paraId="2F395813">
            <w:pPr>
              <w:pStyle w:val="27"/>
            </w:pPr>
          </w:p>
        </w:tc>
        <w:tc>
          <w:tcPr>
            <w:tcW w:w="1148" w:type="dxa"/>
          </w:tcPr>
          <w:p w14:paraId="0C3BAB6D">
            <w:pPr>
              <w:pStyle w:val="27"/>
            </w:pPr>
          </w:p>
        </w:tc>
        <w:tc>
          <w:tcPr>
            <w:tcW w:w="1150" w:type="dxa"/>
          </w:tcPr>
          <w:p w14:paraId="2EFE46D3">
            <w:pPr>
              <w:pStyle w:val="27"/>
            </w:pPr>
          </w:p>
        </w:tc>
        <w:tc>
          <w:tcPr>
            <w:tcW w:w="1240" w:type="dxa"/>
          </w:tcPr>
          <w:p w14:paraId="2E239605">
            <w:pPr>
              <w:pStyle w:val="27"/>
            </w:pPr>
          </w:p>
        </w:tc>
      </w:tr>
    </w:tbl>
    <w:p w14:paraId="49D79E71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CDEC24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2A62F1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_Toc13511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10A9C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可用性计划</w:t>
          </w:r>
          <w:r>
            <w:tab/>
          </w:r>
          <w:r>
            <w:fldChar w:fldCharType="begin"/>
          </w:r>
          <w:r>
            <w:instrText xml:space="preserve"> PAGEREF _Toc24949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41380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_Toc11611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D071B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_Toc13769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9C755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_Toc29260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8D89A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_Toc11468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F273A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应急管理小组</w:t>
          </w:r>
          <w:r>
            <w:tab/>
          </w:r>
          <w:r>
            <w:fldChar w:fldCharType="begin"/>
          </w:r>
          <w:r>
            <w:instrText xml:space="preserve"> PAGEREF _Toc6372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FC51F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连续性工作实施</w:t>
          </w:r>
          <w:r>
            <w:tab/>
          </w:r>
          <w:r>
            <w:fldChar w:fldCharType="begin"/>
          </w:r>
          <w:r>
            <w:instrText xml:space="preserve"> PAGEREF _Toc32445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6007C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事件预警与启动：</w:t>
          </w:r>
          <w:r>
            <w:tab/>
          </w:r>
          <w:r>
            <w:fldChar w:fldCharType="begin"/>
          </w:r>
          <w:r>
            <w:instrText xml:space="preserve"> PAGEREF _Toc6146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ADD32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初步沟通：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34586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_Toc11835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业务恢复：</w:t>
          </w:r>
          <w:r>
            <w:tab/>
          </w:r>
          <w:r>
            <w:fldChar w:fldCharType="begin"/>
          </w:r>
          <w:r>
            <w:instrText xml:space="preserve"> PAGEREF _Toc11835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4FB2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恢复正常运营</w:t>
          </w:r>
          <w:r>
            <w:tab/>
          </w:r>
          <w:r>
            <w:fldChar w:fldCharType="begin"/>
          </w:r>
          <w:r>
            <w:instrText xml:space="preserve"> PAGEREF _Toc2107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63A3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_Toc17990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632A99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8B73566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03C1828">
      <w:pPr>
        <w:pStyle w:val="28"/>
        <w:bidi w:val="0"/>
      </w:pPr>
      <w:bookmarkStart w:id="2" w:name="_Toc11611"/>
      <w:r>
        <w:t>目的</w:t>
      </w:r>
      <w:bookmarkEnd w:id="2"/>
    </w:p>
    <w:p w14:paraId="02F52714">
      <w:pPr>
        <w:pStyle w:val="29"/>
        <w:bidi w:val="0"/>
      </w:pPr>
      <w:r>
        <w:t>为确保在发生重大中断事件（如自然灾害、重大硬件故障、网络攻击、疫情）时，公司核心业务及运维服务能持续提供或及时恢复，最大限度降低中断对客户业务的影响，减少经济损失，维护公司声誉，特制定本业务连续性管理计划。</w:t>
      </w:r>
    </w:p>
    <w:p w14:paraId="59D91555">
      <w:pPr>
        <w:pStyle w:val="28"/>
        <w:bidi w:val="0"/>
        <w:rPr>
          <w:rFonts w:hint="eastAsia"/>
          <w:lang w:val="en-US" w:eastAsia="zh-CN"/>
        </w:rPr>
      </w:pPr>
      <w:bookmarkStart w:id="3" w:name="_Toc13769"/>
      <w:r>
        <w:rPr>
          <w:rFonts w:hint="eastAsia"/>
          <w:lang w:val="en-US" w:eastAsia="zh-CN"/>
        </w:rPr>
        <w:t>原则</w:t>
      </w:r>
      <w:bookmarkEnd w:id="3"/>
    </w:p>
    <w:p w14:paraId="40F56FE7">
      <w:pPr>
        <w:pStyle w:val="29"/>
        <w:bidi w:val="0"/>
      </w:pPr>
    </w:p>
    <w:p w14:paraId="3223369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客户业务优先</w:t>
      </w:r>
    </w:p>
    <w:p w14:paraId="0666A4BD">
      <w:pPr>
        <w:pStyle w:val="29"/>
        <w:bidi w:val="0"/>
      </w:pPr>
      <w:r>
        <w:t>恢复策略优先保障对客户业务影响最大的核心系统。</w:t>
      </w:r>
    </w:p>
    <w:p w14:paraId="6F394E6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 xml:space="preserve">预案为主，平战结合： </w:t>
      </w:r>
    </w:p>
    <w:p w14:paraId="453B412F">
      <w:pPr>
        <w:pStyle w:val="29"/>
        <w:bidi w:val="0"/>
      </w:pPr>
      <w:r>
        <w:t>通过充分的准备、演练和培训，确保在紧急情况下能迅速启动预案。</w:t>
      </w:r>
    </w:p>
    <w:p w14:paraId="2A002275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持续改进：</w:t>
      </w:r>
    </w:p>
    <w:p w14:paraId="28EA401A">
      <w:pPr>
        <w:pStyle w:val="29"/>
        <w:bidi w:val="0"/>
      </w:pPr>
      <w:r>
        <w:t>根据演练和实际发生的应急情况，定期评审和更新计划。</w:t>
      </w:r>
    </w:p>
    <w:p w14:paraId="7A7ED7EF">
      <w:pPr>
        <w:pStyle w:val="28"/>
        <w:bidi w:val="0"/>
      </w:pPr>
      <w:bookmarkStart w:id="4" w:name="_Toc2926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16B0ECFE">
      <w:pPr>
        <w:pStyle w:val="29"/>
        <w:bidi w:val="0"/>
      </w:pPr>
      <w:r>
        <w:t>本计划涵盖为保障【科捷智能青岛总部项目会议系统】运维服务连续性所涉及的关键业务流程、关键信息系统、关键人员及相关配套设施。</w:t>
      </w:r>
    </w:p>
    <w:p w14:paraId="7714E28F">
      <w:pPr>
        <w:pStyle w:val="28"/>
        <w:bidi w:val="0"/>
        <w:rPr>
          <w:rFonts w:hint="eastAsia"/>
          <w:lang w:val="en-US" w:eastAsia="zh-CN"/>
        </w:rPr>
      </w:pPr>
      <w:bookmarkStart w:id="5" w:name="_Toc11468"/>
      <w:r>
        <w:rPr>
          <w:rFonts w:hint="eastAsia"/>
          <w:lang w:val="en-US" w:eastAsia="zh-CN"/>
        </w:rPr>
        <w:t>岗位职责</w:t>
      </w:r>
      <w:bookmarkEnd w:id="5"/>
    </w:p>
    <w:p w14:paraId="6A5FD8D3">
      <w:pPr>
        <w:pStyle w:val="30"/>
        <w:bidi w:val="0"/>
        <w:rPr>
          <w:rFonts w:hint="default"/>
          <w:lang w:val="en-US" w:eastAsia="zh-CN"/>
        </w:rPr>
      </w:pPr>
      <w:bookmarkStart w:id="6" w:name="_Toc6372"/>
      <w:r>
        <w:rPr>
          <w:rFonts w:hint="eastAsia"/>
          <w:lang w:val="en-US" w:eastAsia="zh-CN"/>
        </w:rPr>
        <w:t>应急管理</w:t>
      </w:r>
      <w:bookmarkEnd w:id="6"/>
      <w:r>
        <w:rPr>
          <w:rFonts w:hint="eastAsia"/>
          <w:lang w:val="en-US" w:eastAsia="zh-CN"/>
        </w:rPr>
        <w:t>办公室</w:t>
      </w:r>
    </w:p>
    <w:p w14:paraId="23A28F74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2"/>
        </w:rPr>
      </w:pPr>
      <w:r>
        <w:rPr>
          <w:color w:val="333333"/>
          <w:spacing w:val="3"/>
        </w:rPr>
        <w:t>运维部经理、</w:t>
      </w:r>
      <w:r>
        <w:rPr>
          <w:rFonts w:hint="eastAsia"/>
          <w:color w:val="333333"/>
          <w:spacing w:val="3"/>
          <w:lang w:val="en-US" w:eastAsia="zh-CN"/>
        </w:rPr>
        <w:t>研发</w:t>
      </w:r>
      <w:r>
        <w:rPr>
          <w:color w:val="333333"/>
          <w:spacing w:val="3"/>
        </w:rPr>
        <w:t>部经理、人事</w:t>
      </w:r>
      <w:r>
        <w:rPr>
          <w:rFonts w:hint="eastAsia"/>
          <w:color w:val="333333"/>
          <w:spacing w:val="3"/>
          <w:lang w:val="en-US" w:eastAsia="zh-CN"/>
        </w:rPr>
        <w:t>部</w:t>
      </w:r>
      <w:r>
        <w:rPr>
          <w:color w:val="333333"/>
          <w:spacing w:val="3"/>
        </w:rPr>
        <w:t>经理等负责执行各自</w:t>
      </w:r>
      <w:r>
        <w:rPr>
          <w:color w:val="333333"/>
          <w:spacing w:val="2"/>
        </w:rPr>
        <w:t>领域的恢复工作</w:t>
      </w:r>
    </w:p>
    <w:p w14:paraId="4506C48F">
      <w:pPr>
        <w:pStyle w:val="29"/>
        <w:numPr>
          <w:ilvl w:val="0"/>
          <w:numId w:val="3"/>
        </w:numPr>
        <w:ind w:left="425" w:leftChars="0" w:hanging="425" w:firstLineChars="0"/>
        <w:rPr>
          <w:color w:val="333333"/>
          <w:spacing w:val="1"/>
        </w:rPr>
      </w:pPr>
      <w:r>
        <w:rPr>
          <w:color w:val="333333"/>
          <w:spacing w:val="1"/>
        </w:rPr>
        <w:t>运维部经理负责技术恢复的总指挥</w:t>
      </w:r>
    </w:p>
    <w:p w14:paraId="29644DE3">
      <w:pPr>
        <w:pStyle w:val="29"/>
        <w:numPr>
          <w:ilvl w:val="0"/>
          <w:numId w:val="3"/>
        </w:numPr>
        <w:ind w:left="425" w:leftChars="0" w:hanging="425" w:firstLineChars="0"/>
        <w:rPr>
          <w:rFonts w:hint="default"/>
          <w:color w:val="333333"/>
          <w:spacing w:val="1"/>
          <w:lang w:val="en-US" w:eastAsia="zh-CN"/>
        </w:rPr>
      </w:pPr>
      <w:r>
        <w:rPr>
          <w:color w:val="333333"/>
          <w:spacing w:val="2"/>
        </w:rPr>
        <w:t>全体运维技术人员负责具体技术系统的启动、恢复和验证。</w:t>
      </w:r>
    </w:p>
    <w:p w14:paraId="6137AFAE">
      <w:pPr>
        <w:pStyle w:val="28"/>
        <w:bidi w:val="0"/>
        <w:rPr>
          <w:rFonts w:hint="default"/>
          <w:lang w:val="en-US" w:eastAsia="zh-CN"/>
        </w:rPr>
      </w:pPr>
      <w:bookmarkStart w:id="7" w:name="_Toc32445"/>
      <w:r>
        <w:rPr>
          <w:rFonts w:hint="eastAsia"/>
          <w:lang w:val="en-US" w:eastAsia="zh-CN"/>
        </w:rPr>
        <w:t>连续性工作实施</w:t>
      </w:r>
      <w:bookmarkEnd w:id="7"/>
    </w:p>
    <w:p w14:paraId="4A7F791B">
      <w:pPr>
        <w:pStyle w:val="30"/>
        <w:bidi w:val="0"/>
      </w:pPr>
      <w:bookmarkStart w:id="8" w:name="bookmark3"/>
      <w:bookmarkEnd w:id="8"/>
      <w:bookmarkStart w:id="9" w:name="_Toc6146"/>
      <w:bookmarkStart w:id="10" w:name="_Toc17424"/>
      <w:r>
        <w:t>事件预警与启动：</w:t>
      </w:r>
      <w:bookmarkEnd w:id="9"/>
    </w:p>
    <w:p w14:paraId="51EDF1CF">
      <w:pPr>
        <w:pStyle w:val="29"/>
        <w:bidi w:val="0"/>
      </w:pPr>
      <w:r>
        <w:t>发现可能导致业务中断的重大事件，立即上报运维部经理，由</w:t>
      </w:r>
      <w:r>
        <w:rPr>
          <w:rFonts w:hint="eastAsia"/>
          <w:lang w:val="en-US" w:eastAsia="zh-CN"/>
        </w:rPr>
        <w:t>应急管理办公室</w:t>
      </w:r>
      <w:r>
        <w:t>评估并宣布启动BCP。</w:t>
      </w:r>
    </w:p>
    <w:p w14:paraId="0D2D87F9">
      <w:pPr>
        <w:pStyle w:val="30"/>
        <w:bidi w:val="0"/>
      </w:pPr>
      <w:bookmarkStart w:id="11" w:name="_Toc20535"/>
      <w:r>
        <w:t>初步沟通：</w:t>
      </w:r>
      <w:bookmarkEnd w:id="11"/>
      <w:r>
        <w:t xml:space="preserve"> </w:t>
      </w:r>
    </w:p>
    <w:p w14:paraId="4B5C7625">
      <w:pPr>
        <w:pStyle w:val="29"/>
        <w:bidi w:val="0"/>
      </w:pPr>
      <w:r>
        <w:t>立即通知</w:t>
      </w:r>
      <w:r>
        <w:rPr>
          <w:rFonts w:hint="eastAsia"/>
          <w:lang w:val="en-US" w:eastAsia="zh-CN"/>
        </w:rPr>
        <w:t>应急管理办公室</w:t>
      </w:r>
      <w:bookmarkStart w:id="16" w:name="_GoBack"/>
      <w:bookmarkEnd w:id="16"/>
      <w:r>
        <w:t>所有成员，并根据预案与客户进行初步沟通。</w:t>
      </w:r>
    </w:p>
    <w:p w14:paraId="34D34473">
      <w:pPr>
        <w:pStyle w:val="30"/>
        <w:bidi w:val="0"/>
      </w:pPr>
      <w:bookmarkStart w:id="12" w:name="_Toc11835"/>
      <w:r>
        <w:t>业务恢复：</w:t>
      </w:r>
      <w:bookmarkEnd w:id="12"/>
    </w:p>
    <w:p w14:paraId="15E65E4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首要阶段 (0-2小时)： 评估损失，启动备用站点或云容灾系统，优先恢复优先级1的系统（如核心数据库）。</w:t>
      </w:r>
    </w:p>
    <w:p w14:paraId="7C1A77EB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次要阶段 (2-8小时)： 恢复优先级2的系统（应用服务），确保核心业务链路的通畅。</w:t>
      </w:r>
    </w:p>
    <w:p w14:paraId="51D4A86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后续阶段 (8-24小时)： 恢复次要系统，并进行全面验证。</w:t>
      </w:r>
    </w:p>
    <w:p w14:paraId="57C6F23D">
      <w:pPr>
        <w:pStyle w:val="30"/>
        <w:bidi w:val="0"/>
      </w:pPr>
      <w:bookmarkStart w:id="13" w:name="_Toc2107"/>
      <w:r>
        <w:t>恢复正常运营</w:t>
      </w:r>
      <w:bookmarkEnd w:id="13"/>
    </w:p>
    <w:p w14:paraId="0FF8FBDA">
      <w:pPr>
        <w:pStyle w:val="29"/>
        <w:bidi w:val="0"/>
      </w:pPr>
      <w:r>
        <w:t>当主站点修复后，制定严谨的回切方案，将业务从备用环境平稳切换回生产环境。</w:t>
      </w:r>
    </w:p>
    <w:p w14:paraId="71676C3C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4" w:name="_Toc17990"/>
      <w:r>
        <w:rPr>
          <w:rStyle w:val="38"/>
          <w:rFonts w:hint="eastAsia" w:eastAsia="宋体"/>
          <w:lang w:val="en-US" w:eastAsia="zh-CN"/>
        </w:rPr>
        <w:t>附则</w:t>
      </w:r>
      <w:bookmarkEnd w:id="10"/>
      <w:bookmarkEnd w:id="14"/>
    </w:p>
    <w:p w14:paraId="48B5299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360667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15" w:name="bookmark14"/>
      <w:bookmarkEnd w:id="1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35E2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8DDA"/>
    <w:multiLevelType w:val="singleLevel"/>
    <w:tmpl w:val="86F98D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03474A1"/>
    <w:multiLevelType w:val="singleLevel"/>
    <w:tmpl w:val="00347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77AC16D"/>
    <w:multiLevelType w:val="singleLevel"/>
    <w:tmpl w:val="777AC1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50131F"/>
    <w:rsid w:val="2FA06136"/>
    <w:rsid w:val="335F00B6"/>
    <w:rsid w:val="369E42B3"/>
    <w:rsid w:val="4CF15BC0"/>
    <w:rsid w:val="618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839</Words>
  <Characters>929</Characters>
  <Lines>0</Lines>
  <Paragraphs>0</Paragraphs>
  <TotalTime>3</TotalTime>
  <ScaleCrop>false</ScaleCrop>
  <LinksUpToDate>false</LinksUpToDate>
  <CharactersWithSpaces>987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