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54C7E">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4BBCE51">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7EA484FB">
      <w:pPr>
        <w:pStyle w:val="24"/>
        <w:bidi w:val="0"/>
      </w:pPr>
      <w:bookmarkStart w:id="0" w:name="_Toc12008"/>
      <w:r>
        <w:rPr>
          <w:rFonts w:hint="eastAsia"/>
          <w:lang w:val="en-US" w:eastAsia="zh-CN"/>
        </w:rPr>
        <w:t>万洲奇智（青岛）信息科技有限</w:t>
      </w:r>
      <w:r>
        <w:t>公司</w:t>
      </w:r>
      <w:bookmarkEnd w:id="0"/>
    </w:p>
    <w:p w14:paraId="26CBB62A">
      <w:pPr>
        <w:pStyle w:val="25"/>
        <w:bidi w:val="0"/>
        <w:rPr>
          <w:rFonts w:hint="default"/>
          <w:lang w:val="en-US"/>
        </w:rPr>
      </w:pPr>
      <w:bookmarkStart w:id="1" w:name="_Toc16092"/>
      <w:r>
        <w:rPr>
          <w:rFonts w:hint="eastAsia"/>
          <w:lang w:val="en-US" w:eastAsia="zh-CN"/>
        </w:rPr>
        <w:t>连续性管理报告</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7E76C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5A2ABD0">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1669B354">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2025.08.30</w:t>
            </w:r>
          </w:p>
        </w:tc>
      </w:tr>
      <w:tr w14:paraId="369F9D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30743D4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BEF24BF">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2025.08.30</w:t>
            </w:r>
          </w:p>
        </w:tc>
      </w:tr>
      <w:tr w14:paraId="1DB9D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D5AA74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63CCBD5E">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2025.08.3</w:t>
            </w:r>
            <w:bookmarkStart w:id="10" w:name="_GoBack"/>
            <w:bookmarkEnd w:id="10"/>
            <w:r>
              <w:rPr>
                <w:rFonts w:hint="eastAsia"/>
                <w:u w:val="single"/>
                <w:vertAlign w:val="baseline"/>
                <w:lang w:val="en-US" w:eastAsia="zh-CN"/>
              </w:rPr>
              <w:t>0</w:t>
            </w:r>
          </w:p>
        </w:tc>
      </w:tr>
    </w:tbl>
    <w:p w14:paraId="0DB71F2B">
      <w:r>
        <w:br w:type="page"/>
      </w:r>
    </w:p>
    <w:p w14:paraId="7AE1614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049277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C759BA4">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2F0E561">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20653E9E">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1ABA0907">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BE81969">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1D060AD6">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776DB9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6D7BA0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eastAsia="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3</w:t>
            </w:r>
            <w:r>
              <w:rPr>
                <w:rFonts w:hint="eastAsia" w:ascii="宋体" w:hAnsi="宋体" w:eastAsia="宋体" w:cs="宋体"/>
                <w:spacing w:val="3"/>
                <w:position w:val="1"/>
                <w:sz w:val="20"/>
                <w:szCs w:val="20"/>
                <w:lang w:val="en-US" w:eastAsia="zh-CN"/>
              </w:rPr>
              <w:t>0</w:t>
            </w:r>
          </w:p>
        </w:tc>
        <w:tc>
          <w:tcPr>
            <w:tcW w:w="919" w:type="dxa"/>
          </w:tcPr>
          <w:p w14:paraId="75ED2AAA">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6FBE2E8">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C2FDCC7">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0D364367">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E472A1D">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F6447C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3349D55">
            <w:pPr>
              <w:pStyle w:val="27"/>
            </w:pPr>
          </w:p>
        </w:tc>
        <w:tc>
          <w:tcPr>
            <w:tcW w:w="919" w:type="dxa"/>
          </w:tcPr>
          <w:p w14:paraId="75FD4124">
            <w:pPr>
              <w:pStyle w:val="27"/>
            </w:pPr>
          </w:p>
        </w:tc>
        <w:tc>
          <w:tcPr>
            <w:tcW w:w="2289" w:type="dxa"/>
          </w:tcPr>
          <w:p w14:paraId="227E5F2C">
            <w:pPr>
              <w:pStyle w:val="27"/>
            </w:pPr>
          </w:p>
        </w:tc>
        <w:tc>
          <w:tcPr>
            <w:tcW w:w="1148" w:type="dxa"/>
          </w:tcPr>
          <w:p w14:paraId="7532C82A">
            <w:pPr>
              <w:spacing w:before="172" w:line="228" w:lineRule="auto"/>
              <w:ind w:left="313"/>
            </w:pPr>
          </w:p>
        </w:tc>
        <w:tc>
          <w:tcPr>
            <w:tcW w:w="1150" w:type="dxa"/>
          </w:tcPr>
          <w:p w14:paraId="0C965FB7">
            <w:pPr>
              <w:spacing w:before="172" w:line="228" w:lineRule="auto"/>
              <w:ind w:left="313"/>
            </w:pPr>
          </w:p>
        </w:tc>
        <w:tc>
          <w:tcPr>
            <w:tcW w:w="1240" w:type="dxa"/>
          </w:tcPr>
          <w:p w14:paraId="6928B751">
            <w:pPr>
              <w:pStyle w:val="27"/>
            </w:pPr>
          </w:p>
        </w:tc>
      </w:tr>
      <w:tr w14:paraId="3D79F74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C0F4523">
            <w:pPr>
              <w:pStyle w:val="27"/>
            </w:pPr>
          </w:p>
        </w:tc>
        <w:tc>
          <w:tcPr>
            <w:tcW w:w="919" w:type="dxa"/>
          </w:tcPr>
          <w:p w14:paraId="78CB9284">
            <w:pPr>
              <w:pStyle w:val="27"/>
            </w:pPr>
          </w:p>
        </w:tc>
        <w:tc>
          <w:tcPr>
            <w:tcW w:w="2289" w:type="dxa"/>
          </w:tcPr>
          <w:p w14:paraId="2CDA10AE">
            <w:pPr>
              <w:pStyle w:val="27"/>
            </w:pPr>
          </w:p>
        </w:tc>
        <w:tc>
          <w:tcPr>
            <w:tcW w:w="1148" w:type="dxa"/>
          </w:tcPr>
          <w:p w14:paraId="2E9C6C40">
            <w:pPr>
              <w:spacing w:before="173" w:line="229" w:lineRule="auto"/>
              <w:ind w:left="314"/>
            </w:pPr>
          </w:p>
        </w:tc>
        <w:tc>
          <w:tcPr>
            <w:tcW w:w="1150" w:type="dxa"/>
          </w:tcPr>
          <w:p w14:paraId="159E9259">
            <w:pPr>
              <w:spacing w:before="173" w:line="229" w:lineRule="auto"/>
              <w:ind w:left="314"/>
            </w:pPr>
          </w:p>
        </w:tc>
        <w:tc>
          <w:tcPr>
            <w:tcW w:w="1240" w:type="dxa"/>
          </w:tcPr>
          <w:p w14:paraId="3DB23D36">
            <w:pPr>
              <w:pStyle w:val="27"/>
            </w:pPr>
          </w:p>
        </w:tc>
      </w:tr>
      <w:tr w14:paraId="3F424E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A0CE4CD">
            <w:pPr>
              <w:pStyle w:val="27"/>
            </w:pPr>
          </w:p>
        </w:tc>
        <w:tc>
          <w:tcPr>
            <w:tcW w:w="919" w:type="dxa"/>
          </w:tcPr>
          <w:p w14:paraId="01C34F89">
            <w:pPr>
              <w:pStyle w:val="27"/>
            </w:pPr>
          </w:p>
        </w:tc>
        <w:tc>
          <w:tcPr>
            <w:tcW w:w="2289" w:type="dxa"/>
          </w:tcPr>
          <w:p w14:paraId="53FA5294">
            <w:pPr>
              <w:pStyle w:val="27"/>
            </w:pPr>
          </w:p>
        </w:tc>
        <w:tc>
          <w:tcPr>
            <w:tcW w:w="1148" w:type="dxa"/>
          </w:tcPr>
          <w:p w14:paraId="1614B43B">
            <w:pPr>
              <w:pStyle w:val="27"/>
            </w:pPr>
          </w:p>
        </w:tc>
        <w:tc>
          <w:tcPr>
            <w:tcW w:w="1150" w:type="dxa"/>
          </w:tcPr>
          <w:p w14:paraId="50FAA086">
            <w:pPr>
              <w:pStyle w:val="27"/>
            </w:pPr>
          </w:p>
        </w:tc>
        <w:tc>
          <w:tcPr>
            <w:tcW w:w="1240" w:type="dxa"/>
          </w:tcPr>
          <w:p w14:paraId="58DE0A71">
            <w:pPr>
              <w:pStyle w:val="27"/>
            </w:pPr>
          </w:p>
        </w:tc>
      </w:tr>
      <w:tr w14:paraId="7533A9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94730FA">
            <w:pPr>
              <w:pStyle w:val="27"/>
            </w:pPr>
          </w:p>
        </w:tc>
        <w:tc>
          <w:tcPr>
            <w:tcW w:w="919" w:type="dxa"/>
          </w:tcPr>
          <w:p w14:paraId="5347A6A3">
            <w:pPr>
              <w:pStyle w:val="27"/>
            </w:pPr>
          </w:p>
        </w:tc>
        <w:tc>
          <w:tcPr>
            <w:tcW w:w="2289" w:type="dxa"/>
          </w:tcPr>
          <w:p w14:paraId="1202283A">
            <w:pPr>
              <w:pStyle w:val="27"/>
            </w:pPr>
          </w:p>
        </w:tc>
        <w:tc>
          <w:tcPr>
            <w:tcW w:w="1148" w:type="dxa"/>
          </w:tcPr>
          <w:p w14:paraId="023B3DC2">
            <w:pPr>
              <w:pStyle w:val="27"/>
            </w:pPr>
          </w:p>
        </w:tc>
        <w:tc>
          <w:tcPr>
            <w:tcW w:w="1150" w:type="dxa"/>
          </w:tcPr>
          <w:p w14:paraId="709B4E32">
            <w:pPr>
              <w:pStyle w:val="27"/>
            </w:pPr>
          </w:p>
        </w:tc>
        <w:tc>
          <w:tcPr>
            <w:tcW w:w="1240" w:type="dxa"/>
          </w:tcPr>
          <w:p w14:paraId="4BFDFFD9">
            <w:pPr>
              <w:pStyle w:val="27"/>
            </w:pPr>
          </w:p>
        </w:tc>
      </w:tr>
      <w:tr w14:paraId="62AE24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9C00BC5">
            <w:pPr>
              <w:pStyle w:val="27"/>
            </w:pPr>
          </w:p>
        </w:tc>
        <w:tc>
          <w:tcPr>
            <w:tcW w:w="919" w:type="dxa"/>
          </w:tcPr>
          <w:p w14:paraId="4EA69285">
            <w:pPr>
              <w:pStyle w:val="27"/>
            </w:pPr>
          </w:p>
        </w:tc>
        <w:tc>
          <w:tcPr>
            <w:tcW w:w="2289" w:type="dxa"/>
          </w:tcPr>
          <w:p w14:paraId="6EE82A81">
            <w:pPr>
              <w:pStyle w:val="27"/>
            </w:pPr>
          </w:p>
        </w:tc>
        <w:tc>
          <w:tcPr>
            <w:tcW w:w="1148" w:type="dxa"/>
          </w:tcPr>
          <w:p w14:paraId="3969171C">
            <w:pPr>
              <w:pStyle w:val="27"/>
            </w:pPr>
          </w:p>
        </w:tc>
        <w:tc>
          <w:tcPr>
            <w:tcW w:w="1150" w:type="dxa"/>
          </w:tcPr>
          <w:p w14:paraId="4F2A66F1">
            <w:pPr>
              <w:pStyle w:val="27"/>
            </w:pPr>
          </w:p>
        </w:tc>
        <w:tc>
          <w:tcPr>
            <w:tcW w:w="1240" w:type="dxa"/>
          </w:tcPr>
          <w:p w14:paraId="321F37A7">
            <w:pPr>
              <w:pStyle w:val="27"/>
            </w:pPr>
          </w:p>
        </w:tc>
      </w:tr>
    </w:tbl>
    <w:p w14:paraId="5C833779">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97D4E52">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0479C82">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_Toc12008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_Toc12008 \h </w:instrText>
          </w:r>
          <w:r>
            <w:fldChar w:fldCharType="separate"/>
          </w:r>
          <w:r>
            <w:t>1</w:t>
          </w:r>
          <w:r>
            <w:fldChar w:fldCharType="end"/>
          </w:r>
          <w:r>
            <w:rPr>
              <w:rFonts w:hint="eastAsia" w:ascii="宋体" w:hAnsi="宋体" w:eastAsia="宋体" w:cs="宋体"/>
              <w:szCs w:val="24"/>
            </w:rPr>
            <w:fldChar w:fldCharType="end"/>
          </w:r>
        </w:p>
        <w:p w14:paraId="6D64F8B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_Toc16092 </w:instrText>
          </w:r>
          <w:r>
            <w:rPr>
              <w:rFonts w:hint="eastAsia" w:ascii="宋体" w:hAnsi="宋体" w:eastAsia="宋体" w:cs="宋体"/>
              <w:szCs w:val="24"/>
            </w:rPr>
            <w:fldChar w:fldCharType="separate"/>
          </w:r>
          <w:r>
            <w:rPr>
              <w:rFonts w:hint="eastAsia"/>
              <w:lang w:val="en-US" w:eastAsia="zh-CN"/>
            </w:rPr>
            <w:t>连续性管理报告</w:t>
          </w:r>
          <w:r>
            <w:tab/>
          </w:r>
          <w:r>
            <w:fldChar w:fldCharType="begin"/>
          </w:r>
          <w:r>
            <w:instrText xml:space="preserve"> PAGEREF _Toc16092 \h </w:instrText>
          </w:r>
          <w:r>
            <w:fldChar w:fldCharType="separate"/>
          </w:r>
          <w:r>
            <w:t>1</w:t>
          </w:r>
          <w:r>
            <w:fldChar w:fldCharType="end"/>
          </w:r>
          <w:r>
            <w:rPr>
              <w:rFonts w:hint="eastAsia" w:ascii="宋体" w:hAnsi="宋体" w:eastAsia="宋体" w:cs="宋体"/>
              <w:szCs w:val="24"/>
            </w:rPr>
            <w:fldChar w:fldCharType="end"/>
          </w:r>
        </w:p>
        <w:p w14:paraId="1FB7248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_Toc15638 </w:instrText>
          </w:r>
          <w:r>
            <w:rPr>
              <w:rFonts w:hint="eastAsia" w:ascii="宋体" w:hAnsi="宋体" w:eastAsia="宋体" w:cs="宋体"/>
              <w:szCs w:val="24"/>
            </w:rPr>
            <w:fldChar w:fldCharType="separate"/>
          </w:r>
          <w:r>
            <w:rPr>
              <w:rFonts w:hint="default"/>
            </w:rPr>
            <w:t xml:space="preserve">1. </w:t>
          </w:r>
          <w:r>
            <w:t>报告摘要</w:t>
          </w:r>
          <w:r>
            <w:tab/>
          </w:r>
          <w:r>
            <w:fldChar w:fldCharType="begin"/>
          </w:r>
          <w:r>
            <w:instrText xml:space="preserve"> PAGEREF _Toc15638 \h </w:instrText>
          </w:r>
          <w:r>
            <w:fldChar w:fldCharType="separate"/>
          </w:r>
          <w:r>
            <w:t>4</w:t>
          </w:r>
          <w:r>
            <w:fldChar w:fldCharType="end"/>
          </w:r>
          <w:r>
            <w:rPr>
              <w:rFonts w:hint="eastAsia" w:ascii="宋体" w:hAnsi="宋体" w:eastAsia="宋体" w:cs="宋体"/>
              <w:szCs w:val="24"/>
            </w:rPr>
            <w:fldChar w:fldCharType="end"/>
          </w:r>
        </w:p>
        <w:p w14:paraId="0646937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_Toc11480 </w:instrText>
          </w:r>
          <w:r>
            <w:rPr>
              <w:rFonts w:hint="eastAsia" w:ascii="宋体" w:hAnsi="宋体" w:eastAsia="宋体" w:cs="宋体"/>
              <w:szCs w:val="24"/>
            </w:rPr>
            <w:fldChar w:fldCharType="separate"/>
          </w:r>
          <w:r>
            <w:rPr>
              <w:rFonts w:hint="default"/>
            </w:rPr>
            <w:t xml:space="preserve">2. </w:t>
          </w:r>
          <w:r>
            <w:t>演练概述</w:t>
          </w:r>
          <w:r>
            <w:tab/>
          </w:r>
          <w:r>
            <w:fldChar w:fldCharType="begin"/>
          </w:r>
          <w:r>
            <w:instrText xml:space="preserve"> PAGEREF _Toc11480 \h </w:instrText>
          </w:r>
          <w:r>
            <w:fldChar w:fldCharType="separate"/>
          </w:r>
          <w:r>
            <w:t>4</w:t>
          </w:r>
          <w:r>
            <w:fldChar w:fldCharType="end"/>
          </w:r>
          <w:r>
            <w:rPr>
              <w:rFonts w:hint="eastAsia" w:ascii="宋体" w:hAnsi="宋体" w:eastAsia="宋体" w:cs="宋体"/>
              <w:szCs w:val="24"/>
            </w:rPr>
            <w:fldChar w:fldCharType="end"/>
          </w:r>
        </w:p>
        <w:p w14:paraId="4A65320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 </w:instrText>
          </w:r>
          <w:r>
            <w:rPr>
              <w:rFonts w:hint="eastAsia" w:ascii="宋体" w:hAnsi="宋体" w:eastAsia="宋体" w:cs="宋体"/>
              <w:szCs w:val="24"/>
            </w:rPr>
            <w:fldChar w:fldCharType="separate"/>
          </w:r>
          <w:r>
            <w:rPr>
              <w:rFonts w:hint="default"/>
            </w:rPr>
            <w:t xml:space="preserve">3. </w:t>
          </w:r>
          <w:r>
            <w:t>演练结果与绩效评估</w:t>
          </w:r>
          <w:r>
            <w:tab/>
          </w:r>
          <w:r>
            <w:fldChar w:fldCharType="begin"/>
          </w:r>
          <w:r>
            <w:instrText xml:space="preserve"> PAGEREF _Toc51 \h </w:instrText>
          </w:r>
          <w:r>
            <w:fldChar w:fldCharType="separate"/>
          </w:r>
          <w:r>
            <w:t>4</w:t>
          </w:r>
          <w:r>
            <w:fldChar w:fldCharType="end"/>
          </w:r>
          <w:r>
            <w:rPr>
              <w:rFonts w:hint="eastAsia" w:ascii="宋体" w:hAnsi="宋体" w:eastAsia="宋体" w:cs="宋体"/>
              <w:szCs w:val="24"/>
            </w:rPr>
            <w:fldChar w:fldCharType="end"/>
          </w:r>
        </w:p>
        <w:p w14:paraId="27E55AE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_Toc14446 </w:instrText>
          </w:r>
          <w:r>
            <w:rPr>
              <w:rFonts w:hint="eastAsia" w:ascii="宋体" w:hAnsi="宋体" w:eastAsia="宋体" w:cs="宋体"/>
              <w:szCs w:val="24"/>
            </w:rPr>
            <w:fldChar w:fldCharType="separate"/>
          </w:r>
          <w:r>
            <w:rPr>
              <w:rFonts w:hint="default"/>
            </w:rPr>
            <w:t xml:space="preserve">4. </w:t>
          </w:r>
          <w:r>
            <w:t>发现的问题与改进建议</w:t>
          </w:r>
          <w:r>
            <w:tab/>
          </w:r>
          <w:r>
            <w:fldChar w:fldCharType="begin"/>
          </w:r>
          <w:r>
            <w:instrText xml:space="preserve"> PAGEREF _Toc14446 \h </w:instrText>
          </w:r>
          <w:r>
            <w:fldChar w:fldCharType="separate"/>
          </w:r>
          <w:r>
            <w:t>4</w:t>
          </w:r>
          <w:r>
            <w:fldChar w:fldCharType="end"/>
          </w:r>
          <w:r>
            <w:rPr>
              <w:rFonts w:hint="eastAsia" w:ascii="宋体" w:hAnsi="宋体" w:eastAsia="宋体" w:cs="宋体"/>
              <w:szCs w:val="24"/>
            </w:rPr>
            <w:fldChar w:fldCharType="end"/>
          </w:r>
        </w:p>
        <w:p w14:paraId="4975E82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_Toc27205 </w:instrText>
          </w:r>
          <w:r>
            <w:rPr>
              <w:rFonts w:hint="eastAsia" w:ascii="宋体" w:hAnsi="宋体" w:eastAsia="宋体" w:cs="宋体"/>
              <w:szCs w:val="24"/>
            </w:rPr>
            <w:fldChar w:fldCharType="separate"/>
          </w:r>
          <w:r>
            <w:rPr>
              <w:rFonts w:hint="default"/>
            </w:rPr>
            <w:t xml:space="preserve">4.1. </w:t>
          </w:r>
          <w:r>
            <w:t>主要问题：</w:t>
          </w:r>
          <w:r>
            <w:tab/>
          </w:r>
          <w:r>
            <w:fldChar w:fldCharType="begin"/>
          </w:r>
          <w:r>
            <w:instrText xml:space="preserve"> PAGEREF _Toc27205 \h </w:instrText>
          </w:r>
          <w:r>
            <w:fldChar w:fldCharType="separate"/>
          </w:r>
          <w:r>
            <w:t>4</w:t>
          </w:r>
          <w:r>
            <w:fldChar w:fldCharType="end"/>
          </w:r>
          <w:r>
            <w:rPr>
              <w:rFonts w:hint="eastAsia" w:ascii="宋体" w:hAnsi="宋体" w:eastAsia="宋体" w:cs="宋体"/>
              <w:szCs w:val="24"/>
            </w:rPr>
            <w:fldChar w:fldCharType="end"/>
          </w:r>
        </w:p>
        <w:p w14:paraId="1A24AF4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_Toc12507 </w:instrText>
          </w:r>
          <w:r>
            <w:rPr>
              <w:rFonts w:hint="eastAsia" w:ascii="宋体" w:hAnsi="宋体" w:eastAsia="宋体" w:cs="宋体"/>
              <w:szCs w:val="24"/>
            </w:rPr>
            <w:fldChar w:fldCharType="separate"/>
          </w:r>
          <w:r>
            <w:rPr>
              <w:rFonts w:hint="default"/>
            </w:rPr>
            <w:t xml:space="preserve">4.2. </w:t>
          </w:r>
          <w:r>
            <w:t>改进建议：</w:t>
          </w:r>
          <w:r>
            <w:tab/>
          </w:r>
          <w:r>
            <w:fldChar w:fldCharType="begin"/>
          </w:r>
          <w:r>
            <w:instrText xml:space="preserve"> PAGEREF _Toc12507 \h </w:instrText>
          </w:r>
          <w:r>
            <w:fldChar w:fldCharType="separate"/>
          </w:r>
          <w:r>
            <w:t>4</w:t>
          </w:r>
          <w:r>
            <w:fldChar w:fldCharType="end"/>
          </w:r>
          <w:r>
            <w:rPr>
              <w:rFonts w:hint="eastAsia" w:ascii="宋体" w:hAnsi="宋体" w:eastAsia="宋体" w:cs="宋体"/>
              <w:szCs w:val="24"/>
            </w:rPr>
            <w:fldChar w:fldCharType="end"/>
          </w:r>
        </w:p>
        <w:p w14:paraId="1C39554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_Toc17850 </w:instrText>
          </w:r>
          <w:r>
            <w:rPr>
              <w:rFonts w:hint="eastAsia" w:ascii="宋体" w:hAnsi="宋体" w:eastAsia="宋体" w:cs="宋体"/>
              <w:szCs w:val="24"/>
            </w:rPr>
            <w:fldChar w:fldCharType="separate"/>
          </w:r>
          <w:r>
            <w:rPr>
              <w:rFonts w:hint="default"/>
            </w:rPr>
            <w:t xml:space="preserve">5. </w:t>
          </w:r>
          <w:r>
            <w:t>结论与行动计划</w:t>
          </w:r>
          <w:r>
            <w:tab/>
          </w:r>
          <w:r>
            <w:fldChar w:fldCharType="begin"/>
          </w:r>
          <w:r>
            <w:instrText xml:space="preserve"> PAGEREF _Toc17850 \h </w:instrText>
          </w:r>
          <w:r>
            <w:fldChar w:fldCharType="separate"/>
          </w:r>
          <w:r>
            <w:t>5</w:t>
          </w:r>
          <w:r>
            <w:fldChar w:fldCharType="end"/>
          </w:r>
          <w:r>
            <w:rPr>
              <w:rFonts w:hint="eastAsia" w:ascii="宋体" w:hAnsi="宋体" w:eastAsia="宋体" w:cs="宋体"/>
              <w:szCs w:val="24"/>
            </w:rPr>
            <w:fldChar w:fldCharType="end"/>
          </w:r>
        </w:p>
        <w:p w14:paraId="34A347F0">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E1848CE">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56F074E">
      <w:pPr>
        <w:pStyle w:val="28"/>
        <w:bidi w:val="0"/>
      </w:pPr>
      <w:bookmarkStart w:id="2" w:name="bookmark14"/>
      <w:bookmarkEnd w:id="2"/>
      <w:bookmarkStart w:id="3" w:name="_Toc15638"/>
      <w:r>
        <w:t>报告摘要</w:t>
      </w:r>
      <w:bookmarkEnd w:id="3"/>
    </w:p>
    <w:p w14:paraId="5823D9F8">
      <w:pPr>
        <w:pStyle w:val="29"/>
        <w:bidi w:val="0"/>
      </w:pPr>
      <w:r>
        <w:t>本报告总结了</w:t>
      </w:r>
      <w:r>
        <w:rPr>
          <w:rFonts w:hint="eastAsia"/>
          <w:lang w:val="en-US" w:eastAsia="zh-CN"/>
        </w:rPr>
        <w:t>截止目前</w:t>
      </w:r>
      <w:r>
        <w:t>业务连续性计划的维护情况以及于202</w:t>
      </w:r>
      <w:r>
        <w:rPr>
          <w:rFonts w:hint="eastAsia"/>
          <w:lang w:val="en-US" w:eastAsia="zh-CN"/>
        </w:rPr>
        <w:t>5</w:t>
      </w:r>
      <w:r>
        <w:t>年</w:t>
      </w:r>
      <w:r>
        <w:rPr>
          <w:rFonts w:hint="eastAsia"/>
          <w:lang w:val="en-US" w:eastAsia="zh-CN"/>
        </w:rPr>
        <w:t>3</w:t>
      </w:r>
      <w:r>
        <w:t>月15日进行的模拟演练结果。本次演练模拟了</w:t>
      </w:r>
      <w:r>
        <w:rPr>
          <w:rFonts w:hint="eastAsia"/>
          <w:lang w:eastAsia="zh-CN"/>
        </w:rPr>
        <w:t>“</w:t>
      </w:r>
      <w:r>
        <w:t>主数据中心断电</w:t>
      </w:r>
      <w:r>
        <w:rPr>
          <w:rFonts w:hint="eastAsia"/>
          <w:lang w:eastAsia="zh-CN"/>
        </w:rPr>
        <w:t>”</w:t>
      </w:r>
      <w:r>
        <w:t>场景，核心系统成功在RTO目标内恢复，达到了预期目标。演练也暴露出沟通流程中的一些问题，已列入改进计划。</w:t>
      </w:r>
    </w:p>
    <w:p w14:paraId="545997BC">
      <w:pPr>
        <w:pStyle w:val="28"/>
        <w:bidi w:val="0"/>
      </w:pPr>
      <w:bookmarkStart w:id="4" w:name="_Toc11480"/>
      <w:r>
        <w:t>演练概述</w:t>
      </w:r>
      <w:bookmarkEnd w:id="4"/>
    </w:p>
    <w:p w14:paraId="18462FCD">
      <w:pPr>
        <w:pStyle w:val="40"/>
        <w:numPr>
          <w:ilvl w:val="0"/>
          <w:numId w:val="2"/>
        </w:numPr>
        <w:bidi w:val="0"/>
        <w:ind w:left="425" w:leftChars="0" w:hanging="425" w:firstLineChars="0"/>
      </w:pPr>
      <w:r>
        <w:t>演练类型：模拟演练</w:t>
      </w:r>
    </w:p>
    <w:p w14:paraId="21D01969">
      <w:pPr>
        <w:pStyle w:val="40"/>
        <w:numPr>
          <w:ilvl w:val="0"/>
          <w:numId w:val="2"/>
        </w:numPr>
        <w:bidi w:val="0"/>
        <w:ind w:left="425" w:leftChars="0" w:hanging="425" w:firstLineChars="0"/>
      </w:pPr>
      <w:r>
        <w:t>演练场景：模拟主数据中心因市电中断且UPS耗尽，导致所有系统宕机。</w:t>
      </w:r>
    </w:p>
    <w:p w14:paraId="74839E0C">
      <w:pPr>
        <w:pStyle w:val="40"/>
        <w:numPr>
          <w:ilvl w:val="0"/>
          <w:numId w:val="2"/>
        </w:numPr>
        <w:bidi w:val="0"/>
        <w:ind w:left="425" w:leftChars="0" w:hanging="425" w:firstLineChars="0"/>
      </w:pPr>
      <w:r>
        <w:t>演练目标：检验运维团队在异地云容灾环境中恢复核心业务数据库和应用服务的能力，并验证RTO/RPO目标的达成情况。</w:t>
      </w:r>
    </w:p>
    <w:p w14:paraId="692DEDFA">
      <w:pPr>
        <w:pStyle w:val="28"/>
        <w:bidi w:val="0"/>
      </w:pPr>
      <w:bookmarkStart w:id="5" w:name="_Toc51"/>
      <w:r>
        <w:t>演练结果与绩效评估</w:t>
      </w:r>
      <w:bookmarkEnd w:id="5"/>
    </w:p>
    <w:tbl>
      <w:tblPr>
        <w:tblStyle w:val="26"/>
        <w:tblW w:w="8824"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895"/>
        <w:gridCol w:w="2847"/>
        <w:gridCol w:w="3011"/>
        <w:gridCol w:w="1071"/>
      </w:tblGrid>
      <w:tr w14:paraId="0F2A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84" w:hRule="atLeast"/>
        </w:trPr>
        <w:tc>
          <w:tcPr>
            <w:tcW w:w="1895" w:type="dxa"/>
            <w:shd w:val="clear" w:color="auto" w:fill="auto"/>
          </w:tcPr>
          <w:p w14:paraId="12965F3B">
            <w:pPr>
              <w:pStyle w:val="27"/>
              <w:spacing w:before="150" w:line="186" w:lineRule="auto"/>
              <w:ind w:left="198"/>
            </w:pPr>
            <w:r>
              <w:rPr>
                <w:b/>
                <w:bCs/>
                <w:color w:val="333333"/>
                <w:spacing w:val="4"/>
              </w:rPr>
              <w:t>评估指标</w:t>
            </w:r>
          </w:p>
        </w:tc>
        <w:tc>
          <w:tcPr>
            <w:tcW w:w="2847" w:type="dxa"/>
            <w:shd w:val="clear" w:color="auto" w:fill="auto"/>
          </w:tcPr>
          <w:p w14:paraId="0BC39393">
            <w:pPr>
              <w:pStyle w:val="27"/>
              <w:spacing w:before="149" w:line="181" w:lineRule="auto"/>
              <w:ind w:left="213"/>
              <w:rPr>
                <w:rFonts w:ascii="Verdana" w:hAnsi="Verdana" w:eastAsia="Verdana" w:cs="Verdana"/>
              </w:rPr>
            </w:pPr>
            <w:r>
              <w:rPr>
                <w:b/>
                <w:bCs/>
                <w:color w:val="333333"/>
                <w:spacing w:val="-17"/>
              </w:rPr>
              <w:t xml:space="preserve">目标值 </w:t>
            </w:r>
            <w:r>
              <w:rPr>
                <w:rFonts w:ascii="Verdana" w:hAnsi="Verdana" w:eastAsia="Verdana" w:cs="Verdana"/>
                <w:b/>
                <w:bCs/>
                <w:color w:val="333333"/>
                <w:spacing w:val="-17"/>
              </w:rPr>
              <w:t>(RTO/RPO)</w:t>
            </w:r>
          </w:p>
        </w:tc>
        <w:tc>
          <w:tcPr>
            <w:tcW w:w="3011" w:type="dxa"/>
            <w:shd w:val="clear" w:color="auto" w:fill="auto"/>
          </w:tcPr>
          <w:p w14:paraId="2DB782DE">
            <w:pPr>
              <w:pStyle w:val="27"/>
              <w:spacing w:before="150" w:line="186" w:lineRule="auto"/>
              <w:ind w:left="200"/>
            </w:pPr>
            <w:r>
              <w:rPr>
                <w:b/>
                <w:bCs/>
                <w:color w:val="333333"/>
                <w:spacing w:val="4"/>
              </w:rPr>
              <w:t>实际达成值</w:t>
            </w:r>
          </w:p>
        </w:tc>
        <w:tc>
          <w:tcPr>
            <w:tcW w:w="1071" w:type="dxa"/>
            <w:shd w:val="clear" w:color="auto" w:fill="auto"/>
          </w:tcPr>
          <w:p w14:paraId="5EB20068">
            <w:pPr>
              <w:pStyle w:val="27"/>
              <w:spacing w:before="148" w:line="187" w:lineRule="auto"/>
              <w:ind w:left="203"/>
            </w:pPr>
            <w:r>
              <w:rPr>
                <w:b/>
                <w:bCs/>
                <w:color w:val="333333"/>
                <w:spacing w:val="4"/>
              </w:rPr>
              <w:t>符合性</w:t>
            </w:r>
          </w:p>
        </w:tc>
      </w:tr>
      <w:tr w14:paraId="0C471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76" w:hRule="atLeast"/>
        </w:trPr>
        <w:tc>
          <w:tcPr>
            <w:tcW w:w="1895" w:type="dxa"/>
            <w:shd w:val="clear" w:color="auto" w:fill="auto"/>
          </w:tcPr>
          <w:p w14:paraId="5F813EB9">
            <w:pPr>
              <w:pStyle w:val="27"/>
              <w:spacing w:before="143" w:line="188" w:lineRule="auto"/>
              <w:ind w:left="197"/>
            </w:pPr>
            <w:r>
              <w:rPr>
                <w:color w:val="333333"/>
                <w:spacing w:val="4"/>
              </w:rPr>
              <w:t>核心数据库恢复</w:t>
            </w:r>
          </w:p>
        </w:tc>
        <w:tc>
          <w:tcPr>
            <w:tcW w:w="2847" w:type="dxa"/>
            <w:shd w:val="clear" w:color="auto" w:fill="auto"/>
          </w:tcPr>
          <w:p w14:paraId="4BE1ED3C">
            <w:pPr>
              <w:pStyle w:val="27"/>
              <w:spacing w:before="106" w:line="232" w:lineRule="auto"/>
              <w:ind w:left="210"/>
            </w:pPr>
            <w:r>
              <w:rPr>
                <w:rFonts w:ascii="Microsoft JhengHei" w:hAnsi="Microsoft JhengHei" w:eastAsia="Microsoft JhengHei" w:cs="Microsoft JhengHei"/>
                <w:color w:val="333333"/>
                <w:spacing w:val="-3"/>
              </w:rPr>
              <w:t>RTO: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2</w:t>
            </w:r>
            <w:r>
              <w:rPr>
                <w:color w:val="333333"/>
                <w:spacing w:val="-3"/>
              </w:rPr>
              <w:t xml:space="preserve">小时 </w:t>
            </w:r>
            <w:r>
              <w:rPr>
                <w:rFonts w:ascii="Microsoft JhengHei" w:hAnsi="Microsoft JhengHei" w:eastAsia="Microsoft JhengHei" w:cs="Microsoft JhengHei"/>
                <w:color w:val="333333"/>
                <w:spacing w:val="-3"/>
              </w:rPr>
              <w:t>/</w:t>
            </w:r>
            <w:r>
              <w:rPr>
                <w:rFonts w:ascii="Microsoft JhengHei" w:hAnsi="Microsoft JhengHei" w:eastAsia="Microsoft JhengHei" w:cs="Microsoft JhengHei"/>
                <w:color w:val="333333"/>
                <w:spacing w:val="22"/>
              </w:rPr>
              <w:t xml:space="preserve"> </w:t>
            </w:r>
            <w:r>
              <w:rPr>
                <w:rFonts w:ascii="Microsoft JhengHei" w:hAnsi="Microsoft JhengHei" w:eastAsia="Microsoft JhengHei" w:cs="Microsoft JhengHei"/>
                <w:color w:val="333333"/>
                <w:spacing w:val="-3"/>
              </w:rPr>
              <w:t>RPO: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15</w:t>
            </w:r>
            <w:r>
              <w:rPr>
                <w:color w:val="333333"/>
                <w:spacing w:val="-3"/>
              </w:rPr>
              <w:t>分钟</w:t>
            </w:r>
          </w:p>
        </w:tc>
        <w:tc>
          <w:tcPr>
            <w:tcW w:w="3011" w:type="dxa"/>
            <w:shd w:val="clear" w:color="auto" w:fill="auto"/>
          </w:tcPr>
          <w:p w14:paraId="7E76E9B6">
            <w:pPr>
              <w:pStyle w:val="27"/>
              <w:spacing w:before="106" w:line="232" w:lineRule="auto"/>
              <w:ind w:left="213"/>
            </w:pPr>
            <w:r>
              <w:rPr>
                <w:rFonts w:ascii="Microsoft JhengHei" w:hAnsi="Microsoft JhengHei" w:eastAsia="Microsoft JhengHei" w:cs="Microsoft JhengHei"/>
                <w:color w:val="333333"/>
                <w:spacing w:val="2"/>
              </w:rPr>
              <w:t>1</w:t>
            </w:r>
            <w:r>
              <w:rPr>
                <w:color w:val="333333"/>
                <w:spacing w:val="2"/>
              </w:rPr>
              <w:t>小时</w:t>
            </w:r>
            <w:r>
              <w:rPr>
                <w:rFonts w:ascii="Microsoft JhengHei" w:hAnsi="Microsoft JhengHei" w:eastAsia="Microsoft JhengHei" w:cs="Microsoft JhengHei"/>
                <w:color w:val="333333"/>
                <w:spacing w:val="2"/>
              </w:rPr>
              <w:t>50</w:t>
            </w:r>
            <w:r>
              <w:rPr>
                <w:color w:val="333333"/>
                <w:spacing w:val="2"/>
              </w:rPr>
              <w:t>分钟</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8"/>
              </w:rPr>
              <w:t xml:space="preserve"> </w:t>
            </w:r>
            <w:r>
              <w:rPr>
                <w:rFonts w:ascii="Microsoft JhengHei" w:hAnsi="Microsoft JhengHei" w:eastAsia="Microsoft JhengHei" w:cs="Microsoft JhengHei"/>
                <w:color w:val="333333"/>
              </w:rPr>
              <w:t>RPO</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2"/>
              </w:rPr>
              <w:t>12</w:t>
            </w:r>
            <w:r>
              <w:rPr>
                <w:color w:val="333333"/>
                <w:spacing w:val="2"/>
              </w:rPr>
              <w:t>分钟</w:t>
            </w:r>
          </w:p>
        </w:tc>
        <w:tc>
          <w:tcPr>
            <w:tcW w:w="1071" w:type="dxa"/>
            <w:shd w:val="clear" w:color="auto" w:fill="auto"/>
          </w:tcPr>
          <w:p w14:paraId="057FB8C7">
            <w:pPr>
              <w:pStyle w:val="27"/>
              <w:spacing w:before="145" w:line="187" w:lineRule="auto"/>
              <w:ind w:left="203"/>
            </w:pPr>
            <w:r>
              <w:rPr>
                <w:b/>
                <w:bCs/>
                <w:color w:val="333333"/>
                <w:spacing w:val="3"/>
              </w:rPr>
              <w:t>符合</w:t>
            </w:r>
          </w:p>
        </w:tc>
      </w:tr>
      <w:tr w14:paraId="431FE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76" w:hRule="atLeast"/>
        </w:trPr>
        <w:tc>
          <w:tcPr>
            <w:tcW w:w="1895" w:type="dxa"/>
            <w:shd w:val="clear" w:color="auto" w:fill="auto"/>
          </w:tcPr>
          <w:p w14:paraId="55A66FB0">
            <w:pPr>
              <w:pStyle w:val="27"/>
              <w:spacing w:before="149" w:line="187" w:lineRule="auto"/>
              <w:ind w:left="195"/>
            </w:pPr>
            <w:r>
              <w:rPr>
                <w:color w:val="333333"/>
                <w:spacing w:val="4"/>
              </w:rPr>
              <w:t>应用服务恢复</w:t>
            </w:r>
          </w:p>
        </w:tc>
        <w:tc>
          <w:tcPr>
            <w:tcW w:w="2847" w:type="dxa"/>
            <w:shd w:val="clear" w:color="auto" w:fill="auto"/>
          </w:tcPr>
          <w:p w14:paraId="2B4679E2">
            <w:pPr>
              <w:pStyle w:val="27"/>
              <w:spacing w:before="110" w:line="235" w:lineRule="auto"/>
              <w:ind w:left="210"/>
            </w:pPr>
            <w:r>
              <w:rPr>
                <w:rFonts w:ascii="Microsoft JhengHei" w:hAnsi="Microsoft JhengHei" w:eastAsia="Microsoft JhengHei" w:cs="Microsoft JhengHei"/>
                <w:color w:val="333333"/>
              </w:rPr>
              <w:t>RTO: 4</w:t>
            </w:r>
            <w:r>
              <w:rPr>
                <w:color w:val="333333"/>
              </w:rPr>
              <w:t>小时</w:t>
            </w:r>
          </w:p>
        </w:tc>
        <w:tc>
          <w:tcPr>
            <w:tcW w:w="3011" w:type="dxa"/>
            <w:shd w:val="clear" w:color="auto" w:fill="auto"/>
          </w:tcPr>
          <w:p w14:paraId="50BF9323">
            <w:pPr>
              <w:pStyle w:val="27"/>
              <w:spacing w:before="110" w:line="232" w:lineRule="auto"/>
              <w:ind w:left="204"/>
            </w:pPr>
            <w:r>
              <w:rPr>
                <w:rFonts w:ascii="Microsoft JhengHei" w:hAnsi="Microsoft JhengHei" w:eastAsia="Microsoft JhengHei" w:cs="Microsoft JhengHei"/>
                <w:color w:val="333333"/>
                <w:spacing w:val="2"/>
              </w:rPr>
              <w:t>3</w:t>
            </w:r>
            <w:r>
              <w:rPr>
                <w:color w:val="333333"/>
                <w:spacing w:val="2"/>
              </w:rPr>
              <w:t>小时</w:t>
            </w:r>
            <w:r>
              <w:rPr>
                <w:rFonts w:ascii="Microsoft JhengHei" w:hAnsi="Microsoft JhengHei" w:eastAsia="Microsoft JhengHei" w:cs="Microsoft JhengHei"/>
                <w:color w:val="333333"/>
                <w:spacing w:val="2"/>
              </w:rPr>
              <w:t>30</w:t>
            </w:r>
            <w:r>
              <w:rPr>
                <w:color w:val="333333"/>
                <w:spacing w:val="2"/>
              </w:rPr>
              <w:t>分钟</w:t>
            </w:r>
          </w:p>
        </w:tc>
        <w:tc>
          <w:tcPr>
            <w:tcW w:w="1071" w:type="dxa"/>
            <w:shd w:val="clear" w:color="auto" w:fill="auto"/>
          </w:tcPr>
          <w:p w14:paraId="79B90EC6">
            <w:pPr>
              <w:pStyle w:val="27"/>
              <w:spacing w:before="149" w:line="187" w:lineRule="auto"/>
              <w:ind w:left="203"/>
            </w:pPr>
            <w:r>
              <w:rPr>
                <w:b/>
                <w:bCs/>
                <w:color w:val="333333"/>
                <w:spacing w:val="3"/>
              </w:rPr>
              <w:t>符合</w:t>
            </w:r>
          </w:p>
        </w:tc>
      </w:tr>
      <w:tr w14:paraId="2140A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484" w:hRule="atLeast"/>
        </w:trPr>
        <w:tc>
          <w:tcPr>
            <w:tcW w:w="1895" w:type="dxa"/>
            <w:shd w:val="clear" w:color="auto" w:fill="auto"/>
          </w:tcPr>
          <w:p w14:paraId="3543C2D5">
            <w:pPr>
              <w:pStyle w:val="27"/>
              <w:spacing w:before="153" w:line="187" w:lineRule="auto"/>
              <w:ind w:left="198"/>
            </w:pPr>
            <w:r>
              <w:rPr>
                <w:color w:val="333333"/>
                <w:spacing w:val="4"/>
              </w:rPr>
              <w:t>业务验证成功</w:t>
            </w:r>
          </w:p>
        </w:tc>
        <w:tc>
          <w:tcPr>
            <w:tcW w:w="2847" w:type="dxa"/>
            <w:shd w:val="clear" w:color="auto" w:fill="auto"/>
          </w:tcPr>
          <w:p w14:paraId="72A67474">
            <w:pPr>
              <w:spacing w:before="259" w:line="153" w:lineRule="exact"/>
              <w:ind w:left="198"/>
              <w:rPr>
                <w:rFonts w:ascii="Microsoft JhengHei" w:hAnsi="Microsoft JhengHei" w:eastAsia="Microsoft JhengHei" w:cs="Microsoft JhengHei"/>
                <w:sz w:val="19"/>
                <w:szCs w:val="19"/>
              </w:rPr>
            </w:pPr>
            <w:r>
              <w:rPr>
                <w:rFonts w:ascii="Microsoft JhengHei" w:hAnsi="Microsoft JhengHei" w:eastAsia="Microsoft JhengHei" w:cs="Microsoft JhengHei"/>
                <w:color w:val="333333"/>
                <w:position w:val="-1"/>
                <w:sz w:val="19"/>
                <w:szCs w:val="19"/>
              </w:rPr>
              <w:t>-</w:t>
            </w:r>
          </w:p>
        </w:tc>
        <w:tc>
          <w:tcPr>
            <w:tcW w:w="3011" w:type="dxa"/>
            <w:shd w:val="clear" w:color="auto" w:fill="auto"/>
          </w:tcPr>
          <w:p w14:paraId="0C68FC78">
            <w:pPr>
              <w:pStyle w:val="27"/>
              <w:spacing w:before="152" w:line="188" w:lineRule="auto"/>
              <w:ind w:left="197"/>
            </w:pPr>
            <w:r>
              <w:rPr>
                <w:color w:val="333333"/>
                <w:spacing w:val="4"/>
              </w:rPr>
              <w:t>全部功能验证通过</w:t>
            </w:r>
          </w:p>
        </w:tc>
        <w:tc>
          <w:tcPr>
            <w:tcW w:w="1071" w:type="dxa"/>
            <w:shd w:val="clear" w:color="auto" w:fill="auto"/>
          </w:tcPr>
          <w:p w14:paraId="5A011082">
            <w:pPr>
              <w:pStyle w:val="27"/>
              <w:spacing w:before="153" w:line="187" w:lineRule="auto"/>
              <w:ind w:left="203"/>
            </w:pPr>
            <w:r>
              <w:rPr>
                <w:b/>
                <w:bCs/>
                <w:color w:val="333333"/>
                <w:spacing w:val="3"/>
              </w:rPr>
              <w:t>符合</w:t>
            </w:r>
          </w:p>
        </w:tc>
      </w:tr>
    </w:tbl>
    <w:p w14:paraId="25BB5431">
      <w:pPr>
        <w:pStyle w:val="28"/>
        <w:bidi w:val="0"/>
      </w:pPr>
      <w:bookmarkStart w:id="6" w:name="_Toc14446"/>
      <w:r>
        <w:t>发现的问题与改进建议</w:t>
      </w:r>
      <w:bookmarkEnd w:id="6"/>
    </w:p>
    <w:p w14:paraId="79BFA945">
      <w:pPr>
        <w:pStyle w:val="30"/>
        <w:bidi w:val="0"/>
      </w:pPr>
      <w:bookmarkStart w:id="7" w:name="_Toc27205"/>
      <w:r>
        <w:t>主要问题：</w:t>
      </w:r>
      <w:bookmarkEnd w:id="7"/>
    </w:p>
    <w:p w14:paraId="0D17BD79">
      <w:pPr>
        <w:pStyle w:val="40"/>
        <w:numPr>
          <w:ilvl w:val="0"/>
          <w:numId w:val="3"/>
        </w:numPr>
        <w:bidi w:val="0"/>
        <w:ind w:left="425" w:leftChars="0" w:hanging="425" w:firstLineChars="0"/>
      </w:pPr>
      <w:r>
        <w:t>沟通效率不足：应急启动后，部分小组成员因未及时查看邮件而延迟响应，前30分钟沟通混乱。</w:t>
      </w:r>
    </w:p>
    <w:p w14:paraId="43E9F3FA">
      <w:pPr>
        <w:pStyle w:val="40"/>
        <w:numPr>
          <w:ilvl w:val="0"/>
          <w:numId w:val="3"/>
        </w:numPr>
        <w:bidi w:val="0"/>
        <w:ind w:left="425" w:leftChars="0" w:hanging="425" w:firstLineChars="0"/>
      </w:pPr>
      <w:r>
        <w:t>文档获取不便：恢复所需的操作手册存放于主站点，初期无法访问，耽误了恢复时间。</w:t>
      </w:r>
    </w:p>
    <w:p w14:paraId="02070AB5">
      <w:pPr>
        <w:pStyle w:val="30"/>
        <w:bidi w:val="0"/>
      </w:pPr>
      <w:bookmarkStart w:id="8" w:name="_Toc12507"/>
      <w:r>
        <w:t>改进建议：</w:t>
      </w:r>
      <w:bookmarkEnd w:id="8"/>
    </w:p>
    <w:p w14:paraId="069E60B9">
      <w:pPr>
        <w:pStyle w:val="29"/>
        <w:numPr>
          <w:ilvl w:val="0"/>
          <w:numId w:val="4"/>
        </w:numPr>
        <w:bidi w:val="0"/>
        <w:ind w:left="425" w:leftChars="0" w:hanging="425" w:firstLineChars="0"/>
      </w:pPr>
      <w:r>
        <w:t>建立应急响应即时通讯群组（如钉钉/微信小组），并规定电话作为首要通知方式。</w:t>
      </w:r>
    </w:p>
    <w:p w14:paraId="1BCB6262">
      <w:pPr>
        <w:pStyle w:val="29"/>
        <w:numPr>
          <w:ilvl w:val="0"/>
          <w:numId w:val="4"/>
        </w:numPr>
        <w:bidi w:val="0"/>
        <w:ind w:left="425" w:leftChars="0" w:hanging="425" w:firstLineChars="0"/>
      </w:pPr>
      <w:r>
        <w:t>将所有BCP相关文档同步至云端（如公司网盘），确保在任何地方均可访问。</w:t>
      </w:r>
    </w:p>
    <w:p w14:paraId="1A975897">
      <w:pPr>
        <w:pStyle w:val="28"/>
        <w:bidi w:val="0"/>
      </w:pPr>
      <w:bookmarkStart w:id="9" w:name="_Toc17850"/>
      <w:r>
        <w:t>结论与行动计划</w:t>
      </w:r>
      <w:bookmarkEnd w:id="9"/>
    </w:p>
    <w:p w14:paraId="79629C95">
      <w:pPr>
        <w:pStyle w:val="29"/>
        <w:bidi w:val="0"/>
        <w:rPr>
          <w:rFonts w:hint="eastAsia"/>
          <w:lang w:val="en-US" w:eastAsia="zh-CN"/>
        </w:rPr>
      </w:pPr>
      <w:r>
        <w:t>本次演练证明，当前的技术恢复方案是有效的，核心业务能够在要求的时间窗口内恢复。最大的风险点在于人员沟通和文档可访问性等非技术因素。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CC622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DBC79"/>
    <w:multiLevelType w:val="singleLevel"/>
    <w:tmpl w:val="874DBC79"/>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135622D"/>
    <w:multiLevelType w:val="singleLevel"/>
    <w:tmpl w:val="D135622D"/>
    <w:lvl w:ilvl="0" w:tentative="0">
      <w:start w:val="1"/>
      <w:numFmt w:val="decimal"/>
      <w:lvlText w:val="%1."/>
      <w:lvlJc w:val="left"/>
      <w:pPr>
        <w:ind w:left="425" w:hanging="425"/>
      </w:pPr>
      <w:rPr>
        <w:rFonts w:hint="default"/>
      </w:rPr>
    </w:lvl>
  </w:abstractNum>
  <w:abstractNum w:abstractNumId="3">
    <w:nsid w:val="4A11E4E3"/>
    <w:multiLevelType w:val="singleLevel"/>
    <w:tmpl w:val="4A11E4E3"/>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EE7F1C"/>
    <w:rsid w:val="040B612B"/>
    <w:rsid w:val="077C5CB6"/>
    <w:rsid w:val="125E4936"/>
    <w:rsid w:val="1EA9518B"/>
    <w:rsid w:val="2A524929"/>
    <w:rsid w:val="2D864F43"/>
    <w:rsid w:val="2FED197A"/>
    <w:rsid w:val="336B0809"/>
    <w:rsid w:val="357A4D33"/>
    <w:rsid w:val="49B44860"/>
    <w:rsid w:val="61023CAB"/>
    <w:rsid w:val="6F2B261F"/>
    <w:rsid w:val="75FE0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link w:val="3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character" w:customStyle="1" w:styleId="39">
    <w:name w:val="柴_标题3 Char"/>
    <w:link w:val="31"/>
    <w:qFormat/>
    <w:uiPriority w:val="0"/>
    <w:rPr>
      <w:rFonts w:ascii="宋体" w:hAnsi="宋体" w:eastAsia="宋体" w:cs="宋体"/>
      <w:spacing w:val="-2"/>
      <w:sz w:val="24"/>
      <w:szCs w:val="24"/>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753</Words>
  <Characters>871</Characters>
  <Lines>0</Lines>
  <Paragraphs>0</Paragraphs>
  <TotalTime>0</TotalTime>
  <ScaleCrop>false</ScaleCrop>
  <LinksUpToDate>false</LinksUpToDate>
  <CharactersWithSpaces>933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2025-09-15T05:15:49Z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