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bidi w:val="0"/>
      </w:pPr>
      <w:bookmarkStart w:id="0" w:name="_Toc1427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bidi w:val="0"/>
        <w:rPr>
          <w:rFonts w:hint="default"/>
          <w:lang w:val="en-US"/>
        </w:rPr>
      </w:pPr>
      <w:bookmarkStart w:id="1" w:name="_Toc21361"/>
      <w:r>
        <w:rPr>
          <w:rFonts w:hint="eastAsia"/>
          <w:lang w:val="en-US" w:eastAsia="zh-CN"/>
        </w:rPr>
        <w:t>软件开发管理制度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田力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35FE17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_Toc14274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_Toc14274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516E6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_Toc21361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软件开发管理制度</w:t>
          </w:r>
          <w:r>
            <w:tab/>
          </w:r>
          <w:r>
            <w:fldChar w:fldCharType="begin"/>
          </w:r>
          <w:r>
            <w:instrText xml:space="preserve"> PAGEREF _Toc21361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3DD6D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_Toc20527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859CE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_Toc26181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04F31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业务导向原则</w:t>
          </w:r>
          <w:r>
            <w:tab/>
          </w:r>
          <w:r>
            <w:fldChar w:fldCharType="begin"/>
          </w:r>
          <w:r>
            <w:instrText xml:space="preserve"> PAGEREF _Toc19463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4CFBF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_Toc31716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质量内建原则</w:t>
          </w:r>
          <w:r>
            <w:tab/>
          </w:r>
          <w:r>
            <w:fldChar w:fldCharType="begin"/>
          </w:r>
          <w:r>
            <w:instrText xml:space="preserve"> PAGEREF _Toc31716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7E2CC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_Toc32086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自动化优先原则</w:t>
          </w:r>
          <w:r>
            <w:tab/>
          </w:r>
          <w:r>
            <w:fldChar w:fldCharType="begin"/>
          </w:r>
          <w:r>
            <w:instrText xml:space="preserve"> PAGEREF _Toc32086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250A4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数据驱动原则</w:t>
          </w:r>
          <w:r>
            <w:tab/>
          </w:r>
          <w:r>
            <w:fldChar w:fldCharType="begin"/>
          </w:r>
          <w:r>
            <w:instrText xml:space="preserve"> PAGEREF _Toc26773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E76A6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_Toc12296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持续改进原则</w:t>
          </w:r>
          <w:r>
            <w:tab/>
          </w:r>
          <w:r>
            <w:fldChar w:fldCharType="begin"/>
          </w:r>
          <w:r>
            <w:instrText xml:space="preserve"> PAGEREF _Toc12296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9A436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_Toc30286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_Toc30286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9AE7A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_Toc25870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3BED8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_Toc19909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57DF72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_Toc18346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E0015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软件开发实施</w:t>
          </w:r>
          <w:r>
            <w:tab/>
          </w:r>
          <w:r>
            <w:fldChar w:fldCharType="begin"/>
          </w:r>
          <w:r>
            <w:instrText xml:space="preserve"> PAGEREF _Toc1299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31F91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_Toc13823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研发团队建设</w:t>
          </w:r>
          <w:r>
            <w:tab/>
          </w:r>
          <w:r>
            <w:fldChar w:fldCharType="begin"/>
          </w:r>
          <w:r>
            <w:instrText xml:space="preserve"> PAGEREF _Toc13823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349E7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4.1. 决策团队</w:t>
          </w:r>
          <w:r>
            <w:tab/>
          </w:r>
          <w:r>
            <w:fldChar w:fldCharType="begin"/>
          </w:r>
          <w:r>
            <w:instrText xml:space="preserve"> PAGEREF _Toc26738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D860B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4.2. 研发团队</w:t>
          </w:r>
          <w:r>
            <w:tab/>
          </w:r>
          <w:r>
            <w:fldChar w:fldCharType="begin"/>
          </w:r>
          <w:r>
            <w:instrText xml:space="preserve"> PAGEREF _Toc16230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9BF00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研发阶段管理</w:t>
          </w:r>
          <w:r>
            <w:tab/>
          </w:r>
          <w:r>
            <w:fldChar w:fldCharType="begin"/>
          </w:r>
          <w:r>
            <w:instrText xml:space="preserve"> PAGEREF _Toc30167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B61CE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立项阶段</w:t>
          </w:r>
          <w:r>
            <w:tab/>
          </w:r>
          <w:r>
            <w:fldChar w:fldCharType="begin"/>
          </w:r>
          <w:r>
            <w:instrText xml:space="preserve"> PAGEREF _Toc19981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F4D1D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需求阶段</w:t>
          </w:r>
          <w:r>
            <w:tab/>
          </w:r>
          <w:r>
            <w:fldChar w:fldCharType="begin"/>
          </w:r>
          <w:r>
            <w:instrText xml:space="preserve"> PAGEREF _Toc2683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B9526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设计阶段</w:t>
          </w:r>
          <w:r>
            <w:tab/>
          </w:r>
          <w:r>
            <w:fldChar w:fldCharType="begin"/>
          </w:r>
          <w:r>
            <w:instrText xml:space="preserve"> PAGEREF _Toc7918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DF24A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_Toc31120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5.2.4. </w:t>
          </w:r>
          <w:r>
            <w:t>实现阶段</w:t>
          </w:r>
          <w:r>
            <w:tab/>
          </w:r>
          <w:r>
            <w:fldChar w:fldCharType="begin"/>
          </w:r>
          <w:r>
            <w:instrText xml:space="preserve"> PAGEREF _Toc31120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2421B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5.2.5. </w:t>
          </w:r>
          <w:r>
            <w:t>测试阶段</w:t>
          </w:r>
          <w:r>
            <w:tab/>
          </w:r>
          <w:r>
            <w:fldChar w:fldCharType="begin"/>
          </w:r>
          <w:r>
            <w:instrText xml:space="preserve"> PAGEREF _Toc546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1EAE1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_Toc15797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5.2.6. </w:t>
          </w:r>
          <w:r>
            <w:t>验证发布</w:t>
          </w:r>
          <w:r>
            <w:tab/>
          </w:r>
          <w:r>
            <w:fldChar w:fldCharType="begin"/>
          </w:r>
          <w:r>
            <w:instrText xml:space="preserve"> PAGEREF _Toc15797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3724C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_Toc28436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项目管理规范</w:t>
          </w:r>
          <w:r>
            <w:tab/>
          </w:r>
          <w:r>
            <w:fldChar w:fldCharType="begin"/>
          </w:r>
          <w:r>
            <w:instrText xml:space="preserve"> PAGEREF _Toc28436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EAC8E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_Toc17120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项目估算</w:t>
          </w:r>
          <w:r>
            <w:tab/>
          </w:r>
          <w:r>
            <w:fldChar w:fldCharType="begin"/>
          </w:r>
          <w:r>
            <w:instrText xml:space="preserve"> PAGEREF _Toc17120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0A3EB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项目沟通</w:t>
          </w:r>
          <w:r>
            <w:tab/>
          </w:r>
          <w:r>
            <w:fldChar w:fldCharType="begin"/>
          </w:r>
          <w:r>
            <w:instrText xml:space="preserve"> PAGEREF _Toc4910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8E5ED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_Toc29920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5.3.3. </w:t>
          </w:r>
          <w:r>
            <w:t>问题和风险管理</w:t>
          </w:r>
          <w:r>
            <w:tab/>
          </w:r>
          <w:r>
            <w:fldChar w:fldCharType="begin"/>
          </w:r>
          <w:r>
            <w:instrText xml:space="preserve"> PAGEREF _Toc29920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39284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_Toc30440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5.3.4. </w:t>
          </w:r>
          <w:r>
            <w:t>测试环境管理</w:t>
          </w:r>
          <w:r>
            <w:tab/>
          </w:r>
          <w:r>
            <w:fldChar w:fldCharType="begin"/>
          </w:r>
          <w:r>
            <w:instrText xml:space="preserve"> PAGEREF _Toc30440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884CE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_Toc24227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EA902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_Toc29804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24EC8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_Toc18650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无</w:t>
          </w:r>
          <w:r>
            <w:tab/>
          </w:r>
          <w:r>
            <w:fldChar w:fldCharType="begin"/>
          </w:r>
          <w:r>
            <w:instrText xml:space="preserve"> PAGEREF _Toc18650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F6B4D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_Toc21537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_Toc21537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C1375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_Toc31428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_Toc31428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9"/>
        <w:bidi w:val="0"/>
      </w:pPr>
      <w:bookmarkStart w:id="2" w:name="_Toc20527"/>
      <w:r>
        <w:t>目的</w:t>
      </w:r>
      <w:bookmarkEnd w:id="2"/>
    </w:p>
    <w:p w14:paraId="7827E9B5">
      <w:pPr>
        <w:pStyle w:val="30"/>
        <w:bidi w:val="0"/>
      </w:pPr>
      <w:r>
        <w:t>为规范公司软件开发流程，提升研发质量与项目成功率，特制定本管理制度。本制度旨在确保软件开发活动紧密围绕市场与业务目标开展，涵盖软件产品开发、工具与平台建设、技术问题识别与解决等方面，以实现高效、可控、可持续的研发管理。</w:t>
      </w:r>
    </w:p>
    <w:p w14:paraId="2D240536">
      <w:pPr>
        <w:pStyle w:val="29"/>
        <w:bidi w:val="0"/>
        <w:rPr>
          <w:rFonts w:hint="eastAsia"/>
          <w:lang w:val="en-US" w:eastAsia="zh-CN"/>
        </w:rPr>
      </w:pPr>
      <w:bookmarkStart w:id="3" w:name="_Toc26181"/>
      <w:r>
        <w:rPr>
          <w:rFonts w:hint="eastAsia"/>
          <w:lang w:val="en-US" w:eastAsia="zh-CN"/>
        </w:rPr>
        <w:t>原则</w:t>
      </w:r>
      <w:bookmarkEnd w:id="3"/>
    </w:p>
    <w:p w14:paraId="008AE2BE">
      <w:pPr>
        <w:pStyle w:val="31"/>
        <w:bidi w:val="0"/>
        <w:rPr>
          <w:rFonts w:hint="eastAsia"/>
          <w:lang w:val="en-US" w:eastAsia="zh-CN"/>
        </w:rPr>
      </w:pPr>
      <w:bookmarkStart w:id="4" w:name="_Toc19463"/>
      <w:r>
        <w:rPr>
          <w:rFonts w:hint="eastAsia"/>
          <w:lang w:val="en-US" w:eastAsia="zh-CN"/>
        </w:rPr>
        <w:t>业务导向原则</w:t>
      </w:r>
      <w:bookmarkEnd w:id="4"/>
    </w:p>
    <w:p w14:paraId="18171D0F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所有技术研发活动必须紧密围绕公司业务目标与运维服务活动展开，确保资源投入能产生实际业务价值。</w:t>
      </w:r>
    </w:p>
    <w:p w14:paraId="5D97679E">
      <w:pPr>
        <w:pStyle w:val="31"/>
        <w:bidi w:val="0"/>
        <w:rPr>
          <w:rFonts w:hint="eastAsia"/>
          <w:lang w:val="en-US" w:eastAsia="zh-CN"/>
        </w:rPr>
      </w:pPr>
      <w:bookmarkStart w:id="5" w:name="_Toc31716"/>
      <w:r>
        <w:rPr>
          <w:rFonts w:hint="eastAsia"/>
          <w:lang w:val="en-US" w:eastAsia="zh-CN"/>
        </w:rPr>
        <w:t>质量内建原则</w:t>
      </w:r>
      <w:bookmarkEnd w:id="5"/>
    </w:p>
    <w:p w14:paraId="5B845D89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将质量保证贯穿于需求、设计、开发、测试、运维的全过程，而非依赖事后检查，从源头保障交付成果的高质量。</w:t>
      </w:r>
    </w:p>
    <w:p w14:paraId="70FDFB56">
      <w:pPr>
        <w:pStyle w:val="31"/>
        <w:bidi w:val="0"/>
        <w:rPr>
          <w:rFonts w:hint="eastAsia"/>
          <w:lang w:val="en-US" w:eastAsia="zh-CN"/>
        </w:rPr>
      </w:pPr>
      <w:bookmarkStart w:id="6" w:name="_Toc32086"/>
      <w:r>
        <w:rPr>
          <w:rFonts w:hint="eastAsia"/>
          <w:lang w:val="en-US" w:eastAsia="zh-CN"/>
        </w:rPr>
        <w:t>自动化优先原则</w:t>
      </w:r>
      <w:bookmarkEnd w:id="6"/>
    </w:p>
    <w:p w14:paraId="2B0AC9F8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鼓励通过自动化工具替代重复性手工操作，提升研发、测试、部署和运维的效率与一致性，降低人为错误风险。</w:t>
      </w:r>
    </w:p>
    <w:p w14:paraId="74CFD377">
      <w:pPr>
        <w:pStyle w:val="31"/>
        <w:bidi w:val="0"/>
        <w:rPr>
          <w:rFonts w:hint="eastAsia"/>
          <w:lang w:val="en-US" w:eastAsia="zh-CN"/>
        </w:rPr>
      </w:pPr>
      <w:bookmarkStart w:id="7" w:name="_Toc26773"/>
      <w:r>
        <w:rPr>
          <w:rFonts w:hint="eastAsia"/>
          <w:lang w:val="en-US" w:eastAsia="zh-CN"/>
        </w:rPr>
        <w:t>数据驱动原则</w:t>
      </w:r>
      <w:bookmarkEnd w:id="7"/>
    </w:p>
    <w:p w14:paraId="3F826F3C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决策应基于客观数据和事实，而非主观臆断，通过度量指标持续评估研发效能与产品质量，并指导改进方向。</w:t>
      </w:r>
    </w:p>
    <w:p w14:paraId="19E1BFC7">
      <w:pPr>
        <w:pStyle w:val="31"/>
        <w:bidi w:val="0"/>
        <w:rPr>
          <w:rFonts w:hint="eastAsia"/>
          <w:lang w:val="en-US" w:eastAsia="zh-CN"/>
        </w:rPr>
      </w:pPr>
      <w:bookmarkStart w:id="8" w:name="_Toc12296"/>
      <w:r>
        <w:rPr>
          <w:rFonts w:hint="eastAsia"/>
          <w:lang w:val="en-US" w:eastAsia="zh-CN"/>
        </w:rPr>
        <w:t>持续改进原则</w:t>
      </w:r>
      <w:bookmarkEnd w:id="8"/>
    </w:p>
    <w:p w14:paraId="77B24940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建立定期复盘和反馈机制，鼓励创新与优化，持续迭代研发流程、工具与实践，以适应内外部变化并追求卓越。</w:t>
      </w:r>
    </w:p>
    <w:p w14:paraId="6BD52D84">
      <w:pPr>
        <w:pStyle w:val="29"/>
        <w:bidi w:val="0"/>
      </w:pPr>
      <w:bookmarkStart w:id="9" w:name="_Toc30286"/>
      <w:r>
        <w:rPr>
          <w:rFonts w:hint="eastAsia"/>
          <w:lang w:val="en-US" w:eastAsia="zh-CN"/>
        </w:rPr>
        <w:t>适用</w:t>
      </w:r>
      <w:r>
        <w:t>范围</w:t>
      </w:r>
      <w:bookmarkEnd w:id="9"/>
    </w:p>
    <w:p w14:paraId="27595605">
      <w:pPr>
        <w:pStyle w:val="3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本制度用于知道开发部所有人员和运维技术相关研发管理过程。</w:t>
      </w:r>
    </w:p>
    <w:p w14:paraId="72F6781A">
      <w:pPr>
        <w:pStyle w:val="29"/>
        <w:bidi w:val="0"/>
        <w:rPr>
          <w:rFonts w:hint="eastAsia"/>
          <w:lang w:val="en-US" w:eastAsia="zh-CN"/>
        </w:rPr>
      </w:pPr>
      <w:bookmarkStart w:id="10" w:name="_Toc25870"/>
      <w:r>
        <w:rPr>
          <w:rFonts w:hint="eastAsia"/>
          <w:lang w:val="en-US" w:eastAsia="zh-CN"/>
        </w:rPr>
        <w:t>岗位职责</w:t>
      </w:r>
      <w:bookmarkEnd w:id="10"/>
    </w:p>
    <w:p w14:paraId="7EDC32E2">
      <w:pPr>
        <w:pStyle w:val="31"/>
        <w:bidi w:val="0"/>
        <w:rPr>
          <w:rFonts w:hint="default"/>
          <w:lang w:val="en-US" w:eastAsia="zh-CN"/>
        </w:rPr>
      </w:pPr>
      <w:bookmarkStart w:id="11" w:name="_Toc19909"/>
      <w:r>
        <w:rPr>
          <w:rFonts w:hint="eastAsia"/>
          <w:lang w:val="en-US" w:eastAsia="zh-CN"/>
        </w:rPr>
        <w:t>研发部</w:t>
      </w:r>
      <w:bookmarkEnd w:id="11"/>
    </w:p>
    <w:p w14:paraId="55FE5DBA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负责运维工具研发。</w:t>
      </w:r>
    </w:p>
    <w:p w14:paraId="20EA4F25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负责运维工具二次开发等工作。</w:t>
      </w:r>
    </w:p>
    <w:p w14:paraId="716C5816">
      <w:pPr>
        <w:pStyle w:val="30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负责运维手册研发。</w:t>
      </w:r>
    </w:p>
    <w:p w14:paraId="5DFCDC43">
      <w:pPr>
        <w:pStyle w:val="30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负责需求分析、详细设计、概要设计、编码、测试、验证。</w:t>
      </w:r>
    </w:p>
    <w:p w14:paraId="4ED781B4">
      <w:pPr>
        <w:pStyle w:val="31"/>
        <w:bidi w:val="0"/>
        <w:rPr>
          <w:rFonts w:hint="default"/>
          <w:lang w:val="en-US" w:eastAsia="zh-CN"/>
        </w:rPr>
      </w:pPr>
      <w:bookmarkStart w:id="12" w:name="_Toc18346"/>
      <w:r>
        <w:rPr>
          <w:rFonts w:hint="eastAsia"/>
          <w:lang w:val="en-US" w:eastAsia="zh-CN"/>
        </w:rPr>
        <w:t>运维部</w:t>
      </w:r>
      <w:bookmarkEnd w:id="12"/>
    </w:p>
    <w:p w14:paraId="7C2A9388">
      <w:pPr>
        <w:pStyle w:val="30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负责对运维工具研发提出具体需求</w:t>
      </w:r>
    </w:p>
    <w:p w14:paraId="7E6E312E">
      <w:pPr>
        <w:pStyle w:val="29"/>
        <w:bidi w:val="0"/>
        <w:rPr>
          <w:rFonts w:hint="default"/>
          <w:lang w:val="en-US" w:eastAsia="zh-CN"/>
        </w:rPr>
      </w:pPr>
      <w:bookmarkStart w:id="13" w:name="_Toc1299"/>
      <w:r>
        <w:rPr>
          <w:rFonts w:hint="eastAsia"/>
          <w:lang w:val="en-US" w:eastAsia="zh-CN"/>
        </w:rPr>
        <w:t>软件开发实施</w:t>
      </w:r>
      <w:bookmarkEnd w:id="13"/>
    </w:p>
    <w:p w14:paraId="57351989">
      <w:pPr>
        <w:pStyle w:val="31"/>
        <w:bidi w:val="0"/>
        <w:rPr>
          <w:rFonts w:hint="eastAsia"/>
          <w:lang w:val="en-US" w:eastAsia="zh-CN"/>
        </w:rPr>
      </w:pPr>
      <w:bookmarkStart w:id="14" w:name="_Toc13823"/>
      <w:r>
        <w:rPr>
          <w:rFonts w:hint="eastAsia"/>
          <w:lang w:val="en-US" w:eastAsia="zh-CN"/>
        </w:rPr>
        <w:t>研发团队建设</w:t>
      </w:r>
      <w:bookmarkEnd w:id="14"/>
    </w:p>
    <w:p w14:paraId="0327F82D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研发部分为决策团队和研发团队两个部门</w:t>
      </w:r>
    </w:p>
    <w:p w14:paraId="17EC8E6E">
      <w:pPr>
        <w:pStyle w:val="32"/>
        <w:bidi w:val="0"/>
      </w:pPr>
      <w:bookmarkStart w:id="15" w:name="_Toc26738"/>
      <w:r>
        <w:t>4.1. 决策团队</w:t>
      </w:r>
      <w:bookmarkEnd w:id="15"/>
    </w:p>
    <w:p w14:paraId="6DBCBEF8">
      <w:pPr>
        <w:pStyle w:val="30"/>
        <w:bidi w:val="0"/>
      </w:pPr>
      <w:r>
        <w:t>主要由公司总经理和运维负责人组成。有两个主要职责：</w:t>
      </w:r>
    </w:p>
    <w:p w14:paraId="455D5D7C">
      <w:pPr>
        <w:pStyle w:val="30"/>
        <w:numPr>
          <w:ilvl w:val="0"/>
          <w:numId w:val="4"/>
        </w:numPr>
        <w:bidi w:val="0"/>
        <w:ind w:left="425" w:leftChars="0" w:hanging="425" w:firstLineChars="0"/>
      </w:pPr>
      <w:r>
        <w:t>在年初制定公司的技术研发发展战略，制定公司的年度技术研发规划；</w:t>
      </w:r>
    </w:p>
    <w:p w14:paraId="4D54F939">
      <w:pPr>
        <w:pStyle w:val="30"/>
        <w:numPr>
          <w:ilvl w:val="0"/>
          <w:numId w:val="4"/>
        </w:numPr>
        <w:bidi w:val="0"/>
        <w:ind w:left="425" w:leftChars="0" w:hanging="425" w:firstLineChars="0"/>
      </w:pPr>
      <w:r>
        <w:t>根据实际情况对年度技术研发规划进行修正，以及对一些不在规划之内的研发做出决策。</w:t>
      </w:r>
    </w:p>
    <w:p w14:paraId="1B338FDA">
      <w:pPr>
        <w:pStyle w:val="32"/>
        <w:bidi w:val="0"/>
      </w:pPr>
      <w:bookmarkStart w:id="16" w:name="bookmark7"/>
      <w:bookmarkEnd w:id="16"/>
      <w:bookmarkStart w:id="17" w:name="_Toc16230"/>
      <w:r>
        <w:t>4.2. 研发团队</w:t>
      </w:r>
      <w:bookmarkEnd w:id="17"/>
    </w:p>
    <w:p w14:paraId="645C5642">
      <w:pPr>
        <w:pStyle w:val="30"/>
        <w:bidi w:val="0"/>
      </w:pPr>
      <w:r>
        <w:t>研发团队主要由</w:t>
      </w:r>
      <w:r>
        <w:rPr>
          <w:rFonts w:hint="eastAsia"/>
          <w:lang w:eastAsia="zh-CN"/>
        </w:rPr>
        <w:t>研发部</w:t>
      </w:r>
      <w:r>
        <w:t>门核心技术骨干组成。它的主要职责是实施公司的运维技术相关研发。</w:t>
      </w:r>
    </w:p>
    <w:p w14:paraId="6B37306C">
      <w:pPr>
        <w:pStyle w:val="30"/>
        <w:bidi w:val="0"/>
      </w:pPr>
      <w:r>
        <w:t>在研发团队中</w:t>
      </w:r>
      <w:r>
        <w:rPr>
          <w:rFonts w:hint="eastAsia"/>
          <w:lang w:eastAsia="zh-CN"/>
        </w:rPr>
        <w:t>研发部经理</w:t>
      </w:r>
      <w:r>
        <w:t>对整个产品负责。根据实际情况，一个技术研发团队典型的人员配置如</w:t>
      </w:r>
      <w:r>
        <w:rPr>
          <w:rFonts w:hint="eastAsia"/>
          <w:lang w:val="en-US" w:eastAsia="zh-CN"/>
        </w:rPr>
        <w:t>表5-1所示</w:t>
      </w:r>
      <w:r>
        <w:t>（注明：可一人多角）：</w:t>
      </w:r>
    </w:p>
    <w:p w14:paraId="044DE2FD">
      <w:pPr>
        <w:pStyle w:val="30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STYLEREF "柴_标题1" \n \*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电箱人员配置表</w:t>
      </w:r>
    </w:p>
    <w:tbl>
      <w:tblPr>
        <w:tblStyle w:val="27"/>
        <w:tblW w:w="7799" w:type="dxa"/>
        <w:tblInd w:w="4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851"/>
        <w:gridCol w:w="5668"/>
      </w:tblGrid>
      <w:tr w14:paraId="23B5AD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28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C0C0C0"/>
            <w:vAlign w:val="top"/>
          </w:tcPr>
          <w:p w14:paraId="486D4D8A">
            <w:pPr>
              <w:spacing w:before="86" w:line="227" w:lineRule="auto"/>
              <w:ind w:left="5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角色</w:t>
            </w:r>
          </w:p>
        </w:tc>
        <w:tc>
          <w:tcPr>
            <w:tcW w:w="851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C0C0C0"/>
            <w:vAlign w:val="top"/>
          </w:tcPr>
          <w:p w14:paraId="4D3A4B30">
            <w:pPr>
              <w:spacing w:before="86" w:line="228" w:lineRule="auto"/>
              <w:ind w:left="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必须</w:t>
            </w:r>
          </w:p>
        </w:tc>
        <w:tc>
          <w:tcPr>
            <w:tcW w:w="5668" w:type="dxa"/>
            <w:tcBorders>
              <w:bottom w:val="single" w:color="000000" w:sz="2" w:space="0"/>
            </w:tcBorders>
            <w:shd w:val="clear" w:color="auto" w:fill="C0C0C0"/>
            <w:vAlign w:val="top"/>
          </w:tcPr>
          <w:p w14:paraId="38D7CBDF">
            <w:pPr>
              <w:spacing w:before="86" w:line="229" w:lineRule="auto"/>
              <w:ind w:left="283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职责</w:t>
            </w:r>
          </w:p>
        </w:tc>
      </w:tr>
      <w:tr w14:paraId="0AFCDE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280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5C19EFFF">
            <w:pPr>
              <w:spacing w:before="212" w:line="229" w:lineRule="auto"/>
              <w:ind w:left="243"/>
              <w:rPr>
                <w:rFonts w:hint="eastAsia" w:ascii="宋体" w:hAnsi="宋体" w:eastAsia="宋体" w:cs="宋体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7"/>
                <w:sz w:val="19"/>
                <w:szCs w:val="19"/>
                <w:lang w:eastAsia="zh-CN"/>
              </w:rPr>
              <w:t>研发部经理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73F76DB8">
            <w:pPr>
              <w:spacing w:before="212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  <w:tcBorders>
              <w:top w:val="single" w:color="000000" w:sz="2" w:space="0"/>
            </w:tcBorders>
            <w:vAlign w:val="top"/>
          </w:tcPr>
          <w:p w14:paraId="3BE0E0D4">
            <w:pPr>
              <w:spacing w:before="48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2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对整个研发项目负责</w:t>
            </w:r>
          </w:p>
          <w:p w14:paraId="69B3F09A">
            <w:pPr>
              <w:spacing w:before="76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负责研发团队的管理</w:t>
            </w:r>
          </w:p>
        </w:tc>
      </w:tr>
      <w:tr w14:paraId="245868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  <w:vAlign w:val="top"/>
          </w:tcPr>
          <w:p w14:paraId="4C7FEBBD">
            <w:pPr>
              <w:spacing w:before="80" w:line="229" w:lineRule="auto"/>
              <w:ind w:left="25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5"/>
                <w:sz w:val="19"/>
                <w:szCs w:val="19"/>
              </w:rPr>
              <w:t>需求人员</w:t>
            </w:r>
          </w:p>
        </w:tc>
        <w:tc>
          <w:tcPr>
            <w:tcW w:w="851" w:type="dxa"/>
            <w:tcBorders>
              <w:left w:val="single" w:color="000000" w:sz="2" w:space="0"/>
            </w:tcBorders>
            <w:vAlign w:val="top"/>
          </w:tcPr>
          <w:p w14:paraId="53751A06">
            <w:pPr>
              <w:spacing w:before="8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  <w:vAlign w:val="top"/>
          </w:tcPr>
          <w:p w14:paraId="3CFBF203">
            <w:pPr>
              <w:spacing w:before="73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主要负责协助</w:t>
            </w:r>
            <w:r>
              <w:rPr>
                <w:rFonts w:hint="eastAsia" w:ascii="宋体" w:hAnsi="宋体" w:eastAsia="宋体" w:cs="宋体"/>
                <w:spacing w:val="9"/>
                <w:sz w:val="19"/>
                <w:szCs w:val="19"/>
                <w:lang w:eastAsia="zh-CN"/>
              </w:rPr>
              <w:t>研发部经理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进行需求分析和调研</w:t>
            </w:r>
          </w:p>
        </w:tc>
      </w:tr>
      <w:tr w14:paraId="7FE9CD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280" w:type="dxa"/>
            <w:tcBorders>
              <w:right w:val="single" w:color="000000" w:sz="2" w:space="0"/>
            </w:tcBorders>
            <w:vAlign w:val="top"/>
          </w:tcPr>
          <w:p w14:paraId="59D3BEF1">
            <w:pPr>
              <w:spacing w:before="108" w:line="229" w:lineRule="auto"/>
              <w:ind w:left="24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研发人员</w:t>
            </w:r>
          </w:p>
        </w:tc>
        <w:tc>
          <w:tcPr>
            <w:tcW w:w="851" w:type="dxa"/>
            <w:tcBorders>
              <w:left w:val="single" w:color="000000" w:sz="2" w:space="0"/>
            </w:tcBorders>
            <w:vAlign w:val="top"/>
          </w:tcPr>
          <w:p w14:paraId="245C3909">
            <w:pPr>
              <w:spacing w:before="108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  <w:vAlign w:val="top"/>
          </w:tcPr>
          <w:p w14:paraId="0D515BFD">
            <w:pPr>
              <w:spacing w:before="100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负责研发项目的实现</w:t>
            </w:r>
          </w:p>
        </w:tc>
      </w:tr>
      <w:tr w14:paraId="32F1F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  <w:vAlign w:val="top"/>
          </w:tcPr>
          <w:p w14:paraId="5199F986">
            <w:pPr>
              <w:spacing w:before="82" w:line="230" w:lineRule="auto"/>
              <w:ind w:left="24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测试人员</w:t>
            </w:r>
          </w:p>
        </w:tc>
        <w:tc>
          <w:tcPr>
            <w:tcW w:w="851" w:type="dxa"/>
            <w:tcBorders>
              <w:left w:val="single" w:color="000000" w:sz="2" w:space="0"/>
            </w:tcBorders>
            <w:vAlign w:val="top"/>
          </w:tcPr>
          <w:p w14:paraId="09EF2719">
            <w:pPr>
              <w:spacing w:before="83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  <w:vAlign w:val="top"/>
          </w:tcPr>
          <w:p w14:paraId="2A57498D">
            <w:pPr>
              <w:spacing w:before="75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负责研发项目的测试</w:t>
            </w:r>
          </w:p>
        </w:tc>
      </w:tr>
      <w:tr w14:paraId="0D57C7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280" w:type="dxa"/>
            <w:tcBorders>
              <w:right w:val="single" w:color="000000" w:sz="2" w:space="0"/>
            </w:tcBorders>
            <w:vAlign w:val="top"/>
          </w:tcPr>
          <w:p w14:paraId="314C6FBC">
            <w:pPr>
              <w:spacing w:before="60" w:line="229" w:lineRule="auto"/>
              <w:ind w:left="27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日常维护</w:t>
            </w:r>
          </w:p>
        </w:tc>
        <w:tc>
          <w:tcPr>
            <w:tcW w:w="851" w:type="dxa"/>
            <w:tcBorders>
              <w:left w:val="single" w:color="000000" w:sz="2" w:space="0"/>
            </w:tcBorders>
            <w:vAlign w:val="top"/>
          </w:tcPr>
          <w:p w14:paraId="54FC3225">
            <w:pPr>
              <w:spacing w:before="6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  <w:vAlign w:val="top"/>
          </w:tcPr>
          <w:p w14:paraId="0344E2B8">
            <w:pPr>
              <w:pStyle w:val="28"/>
            </w:pPr>
          </w:p>
        </w:tc>
      </w:tr>
    </w:tbl>
    <w:p w14:paraId="2756D3E2">
      <w:pPr>
        <w:pStyle w:val="31"/>
        <w:bidi w:val="0"/>
        <w:rPr>
          <w:rFonts w:hint="default"/>
          <w:lang w:val="en-US" w:eastAsia="zh-CN"/>
        </w:rPr>
      </w:pPr>
      <w:bookmarkStart w:id="18" w:name="bookmark3"/>
      <w:bookmarkEnd w:id="18"/>
      <w:bookmarkStart w:id="19" w:name="_Toc30167"/>
      <w:bookmarkStart w:id="20" w:name="_Toc17424"/>
      <w:r>
        <w:rPr>
          <w:rFonts w:hint="eastAsia"/>
          <w:lang w:val="en-US" w:eastAsia="zh-CN"/>
        </w:rPr>
        <w:t>研发阶段管理</w:t>
      </w:r>
      <w:bookmarkEnd w:id="19"/>
    </w:p>
    <w:p w14:paraId="56666AA5">
      <w:pPr>
        <w:pStyle w:val="3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instrText xml:space="preserve"> </w:instrText>
      </w:r>
      <w:r>
        <w:fldChar w:fldCharType="separate"/>
      </w:r>
      <w:r>
        <w:rPr>
          <w:rStyle w:val="40"/>
          <w:rFonts w:hint="eastAsia"/>
        </w:rPr>
        <w:t>5</w:t>
      </w:r>
      <w: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eastAsia"/>
          <w:lang w:val="en-US" w:eastAsia="zh-CN"/>
        </w:rPr>
        <w:instrText xml:space="preserve"> SEQ 图 \* ARABIC \* MERGEFORMAT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 xml:space="preserve"> 研发流程总览</w:t>
      </w:r>
    </w:p>
    <w:p w14:paraId="21853462">
      <w:pPr>
        <w:pStyle w:val="30"/>
      </w:pPr>
      <w:r>
        <w:drawing>
          <wp:inline distT="0" distB="0" distL="114300" distR="114300">
            <wp:extent cx="5271135" cy="158051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7D53">
      <w:pPr>
        <w:pStyle w:val="30"/>
        <w:bidi w:val="0"/>
        <w:rPr>
          <w:rFonts w:hint="eastAsia"/>
          <w:lang w:eastAsia="zh-CN"/>
        </w:rPr>
      </w:pPr>
      <w:r>
        <w:t>如</w:t>
      </w:r>
      <w:r>
        <w:rPr>
          <w:rFonts w:hint="eastAsia"/>
          <w:lang w:val="en-US" w:eastAsia="zh-CN"/>
        </w:rPr>
        <w:t>图5-1</w:t>
      </w:r>
      <w:r>
        <w:t>所示，公司级研发项目分成立项、需求、设计、实现、测试、验证发布六个阶段。以下将针对各个阶段进行详细的介绍</w:t>
      </w:r>
      <w:r>
        <w:rPr>
          <w:rFonts w:hint="eastAsia"/>
          <w:lang w:eastAsia="zh-CN"/>
        </w:rPr>
        <w:t>。</w:t>
      </w:r>
    </w:p>
    <w:p w14:paraId="27F74D84">
      <w:pPr>
        <w:pStyle w:val="32"/>
        <w:bidi w:val="0"/>
      </w:pPr>
      <w:bookmarkStart w:id="21" w:name="_Toc19981"/>
      <w:r>
        <w:t>立项阶段</w:t>
      </w:r>
      <w:bookmarkEnd w:id="21"/>
    </w:p>
    <w:p w14:paraId="781630A3">
      <w:pPr>
        <w:pStyle w:val="30"/>
        <w:bidi w:val="0"/>
      </w:pPr>
      <w:r>
        <w:t>每年初，根据市场目标、业务目标、客户、竞争对手等各方面的分析和调研对新一年技术研发所做出的决定。在每年初可由研发团队提出需求研发清单，也可由决策团队直接给出。最终由决策团队对候选技术研发项目清单进行评审，确定本年度需要研发的技术并最终生成项目研发规划。</w:t>
      </w:r>
    </w:p>
    <w:p w14:paraId="04AF8865">
      <w:pPr>
        <w:pStyle w:val="30"/>
        <w:bidi w:val="0"/>
      </w:pPr>
      <w:r>
        <w:t>立项阶段是研发的开始阶段，此阶段的主要工作是发现项目，对项目进行可行性分析并对项目是否启动做出决策。主要活动包括：</w:t>
      </w:r>
    </w:p>
    <w:p w14:paraId="2E7293A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通过市场、业务分析，客户调研发现项目</w:t>
      </w:r>
    </w:p>
    <w:p w14:paraId="5A89240A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提交申请，决策团队批准</w:t>
      </w:r>
    </w:p>
    <w:p w14:paraId="047EB13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确定项目的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研发部经理</w:t>
      </w:r>
    </w:p>
    <w:p w14:paraId="7BD9B4C7">
      <w:pPr>
        <w:pStyle w:val="32"/>
        <w:bidi w:val="0"/>
      </w:pPr>
      <w:bookmarkStart w:id="22" w:name="bookmark11"/>
      <w:bookmarkEnd w:id="22"/>
      <w:bookmarkStart w:id="23" w:name="_Toc2683"/>
      <w:r>
        <w:t>需求阶段</w:t>
      </w:r>
      <w:bookmarkEnd w:id="23"/>
    </w:p>
    <w:p w14:paraId="7F085D90">
      <w:pPr>
        <w:pStyle w:val="30"/>
        <w:bidi w:val="0"/>
      </w:pPr>
      <w:r>
        <w:t>需求阶段主要工作是完成项目需求调研、项目初期的技术探索及初步制定项目计划。主要活动包括：</w:t>
      </w:r>
    </w:p>
    <w:p w14:paraId="32C636A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需求人员进行需求开发，充分了解客户需求。</w:t>
      </w:r>
    </w:p>
    <w:p w14:paraId="20D84434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对项目进行初步估算，编写项目实施计划并提交决策团队</w:t>
      </w:r>
    </w:p>
    <w:p w14:paraId="10137058">
      <w:pPr>
        <w:pStyle w:val="32"/>
        <w:bidi w:val="0"/>
      </w:pPr>
      <w:bookmarkStart w:id="24" w:name="bookmark12"/>
      <w:bookmarkEnd w:id="24"/>
      <w:bookmarkStart w:id="25" w:name="_Toc7918"/>
      <w:r>
        <w:t>设计阶段</w:t>
      </w:r>
      <w:bookmarkEnd w:id="25"/>
    </w:p>
    <w:p w14:paraId="79B9A271">
      <w:pPr>
        <w:pStyle w:val="30"/>
        <w:bidi w:val="0"/>
      </w:pPr>
      <w:r>
        <w:t>设计阶段主要需要完成系统设计工作。主要活动包括：</w:t>
      </w:r>
    </w:p>
    <w:p w14:paraId="6F2E08A5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对项目实施计划进行细化和调整</w:t>
      </w:r>
    </w:p>
    <w:p w14:paraId="144B816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对需求内容进行细化和调整</w:t>
      </w:r>
    </w:p>
    <w:p w14:paraId="798FC068">
      <w:pPr>
        <w:pStyle w:val="32"/>
        <w:bidi w:val="0"/>
      </w:pPr>
      <w:bookmarkStart w:id="26" w:name="_Toc31120"/>
      <w:r>
        <w:t>实现阶段</w:t>
      </w:r>
      <w:bookmarkEnd w:id="26"/>
    </w:p>
    <w:p w14:paraId="3B2D1D0F">
      <w:pPr>
        <w:pStyle w:val="30"/>
        <w:bidi w:val="0"/>
      </w:pPr>
      <w:r>
        <w:t>此阶段主要完成系统的实现、代码评审、测试的工作，主要活动包括：</w:t>
      </w:r>
    </w:p>
    <w:p w14:paraId="442E28A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研发人员根据前期文档对程序进行编码</w:t>
      </w:r>
    </w:p>
    <w:p w14:paraId="2CA8C0A9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研发人员对程序进行集成测试</w:t>
      </w:r>
    </w:p>
    <w:p w14:paraId="6E28BF9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测试人员对程序进行初步确认测试，提交发现的缺陷</w:t>
      </w:r>
    </w:p>
    <w:p w14:paraId="4183ADD4">
      <w:pPr>
        <w:pStyle w:val="12"/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研发人员对</w:t>
      </w:r>
      <w:r>
        <w:rPr>
          <w:rFonts w:ascii="宋体" w:hAnsi="宋体" w:eastAsia="宋体" w:cs="宋体"/>
          <w:spacing w:val="-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BUG </w:t>
      </w:r>
      <w:r>
        <w:rPr>
          <w:rFonts w:ascii="宋体" w:hAnsi="宋体" w:eastAsia="宋体" w:cs="宋体"/>
          <w:spacing w:val="-3"/>
          <w:sz w:val="24"/>
          <w:szCs w:val="24"/>
        </w:rPr>
        <w:t>进行修复，测试</w:t>
      </w:r>
    </w:p>
    <w:p w14:paraId="1D9AF2F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研发部人员</w:t>
      </w:r>
      <w:r>
        <w:rPr>
          <w:rFonts w:ascii="宋体" w:hAnsi="宋体" w:eastAsia="宋体" w:cs="宋体"/>
          <w:spacing w:val="-2"/>
          <w:sz w:val="24"/>
          <w:szCs w:val="24"/>
        </w:rPr>
        <w:t>对相关研发文档进行完善</w:t>
      </w:r>
    </w:p>
    <w:p w14:paraId="07CD6F0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对完成项目实施报告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0FE6F416">
      <w:pPr>
        <w:pStyle w:val="32"/>
        <w:bidi w:val="0"/>
      </w:pPr>
      <w:bookmarkStart w:id="27" w:name="bookmark1"/>
      <w:bookmarkEnd w:id="27"/>
      <w:bookmarkStart w:id="28" w:name="_Toc546"/>
      <w:r>
        <w:t>测试阶段</w:t>
      </w:r>
      <w:bookmarkEnd w:id="28"/>
    </w:p>
    <w:p w14:paraId="4FB7A846">
      <w:pPr>
        <w:pStyle w:val="30"/>
        <w:bidi w:val="0"/>
      </w:pPr>
      <w:r>
        <w:t>测试阶段主要对产品进行确认测试。主要活动包括：</w:t>
      </w:r>
    </w:p>
    <w:p w14:paraId="198E887B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</w:t>
      </w:r>
      <w:r>
        <w:rPr>
          <w:rFonts w:ascii="宋体" w:hAnsi="宋体" w:eastAsia="宋体" w:cs="宋体"/>
          <w:spacing w:val="-2"/>
          <w:sz w:val="24"/>
          <w:szCs w:val="24"/>
        </w:rPr>
        <w:t>人员对程序进行确认测试</w:t>
      </w:r>
    </w:p>
    <w:p w14:paraId="592F6B4D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研发人员对测试过程中的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BUG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进行修复</w:t>
      </w:r>
    </w:p>
    <w:p w14:paraId="3CF2737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对程序进行验证</w:t>
      </w:r>
    </w:p>
    <w:p w14:paraId="13AE9B8D">
      <w:pPr>
        <w:pStyle w:val="32"/>
        <w:bidi w:val="0"/>
      </w:pPr>
      <w:bookmarkStart w:id="29" w:name="bookmark1"/>
      <w:bookmarkEnd w:id="29"/>
      <w:bookmarkStart w:id="30" w:name="_Toc15797"/>
      <w:r>
        <w:t>验证发布</w:t>
      </w:r>
      <w:bookmarkEnd w:id="30"/>
    </w:p>
    <w:p w14:paraId="28A60B92">
      <w:pPr>
        <w:pStyle w:val="30"/>
        <w:bidi w:val="0"/>
      </w:pPr>
      <w:r>
        <w:t>目前公司的技术研发项目主要包括两种，一种是客户委托研发的项目，有</w:t>
      </w:r>
      <w:r>
        <w:rPr>
          <w:rFonts w:hint="eastAsia"/>
          <w:lang w:eastAsia="zh-CN"/>
        </w:rPr>
        <w:t>研发部经理</w:t>
      </w:r>
      <w:r>
        <w:t>对接客户方进行验收；另外一种是公司内部决策需要研发的项目，暂时没有客户，则有</w:t>
      </w:r>
      <w:r>
        <w:rPr>
          <w:rFonts w:hint="eastAsia"/>
          <w:lang w:eastAsia="zh-CN"/>
        </w:rPr>
        <w:t>研发部经理</w:t>
      </w:r>
      <w:r>
        <w:t>配合需求部门完成验收。</w:t>
      </w:r>
    </w:p>
    <w:p w14:paraId="0B1AAC7E">
      <w:pPr>
        <w:pStyle w:val="30"/>
        <w:bidi w:val="0"/>
      </w:pPr>
      <w:r>
        <w:t>验证发布阶段是研发的最后一个阶段，完成此阶段产出物将提交给公司。主要活动包括：</w:t>
      </w:r>
    </w:p>
    <w:p w14:paraId="53A80864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相关人员对产品进行试点</w:t>
      </w:r>
    </w:p>
    <w:p w14:paraId="48138824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对测试过程中发现的问题进行分析、总结，修复必要的问题</w:t>
      </w:r>
    </w:p>
    <w:p w14:paraId="209D735A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测试人员对修复的问题进行测试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6B96A10A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测试通过后，进行产品发布并完成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66356552">
      <w:pPr>
        <w:pStyle w:val="3"/>
        <w:bidi w:val="0"/>
        <w:rPr>
          <w:rFonts w:hint="default"/>
          <w:lang w:val="en-US" w:eastAsia="zh-CN"/>
        </w:rPr>
      </w:pPr>
      <w:bookmarkStart w:id="31" w:name="_Toc28436"/>
      <w:r>
        <w:rPr>
          <w:rFonts w:hint="eastAsia"/>
          <w:lang w:val="en-US" w:eastAsia="zh-CN"/>
        </w:rPr>
        <w:t>项目管理规范</w:t>
      </w:r>
      <w:bookmarkEnd w:id="31"/>
    </w:p>
    <w:p w14:paraId="188F1927">
      <w:pPr>
        <w:pStyle w:val="32"/>
        <w:bidi w:val="0"/>
      </w:pPr>
      <w:bookmarkStart w:id="32" w:name="_Toc17120"/>
      <w:r>
        <w:t>项目估算</w:t>
      </w:r>
      <w:bookmarkEnd w:id="32"/>
    </w:p>
    <w:p w14:paraId="21D7DD14">
      <w:pPr>
        <w:pStyle w:val="30"/>
        <w:bidi w:val="0"/>
      </w:pPr>
      <w:r>
        <w:t>项目估算主要对研发各阶段各专业的工作量、成本等进行估算。通常的估算时机如下：</w:t>
      </w:r>
    </w:p>
    <w:p w14:paraId="03B86F2B">
      <w:pPr>
        <w:numPr>
          <w:ilvl w:val="0"/>
          <w:numId w:val="11"/>
        </w:numPr>
        <w:spacing w:line="238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概念决策评审通过后、在项目整体计划之前做估算；</w:t>
      </w:r>
    </w:p>
    <w:p w14:paraId="47581E91">
      <w:pPr>
        <w:numPr>
          <w:ilvl w:val="0"/>
          <w:numId w:val="11"/>
        </w:numPr>
        <w:spacing w:before="3" w:line="238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项目执行过程产生重大偏差时，重新做项目估算。</w:t>
      </w:r>
    </w:p>
    <w:p w14:paraId="7904ADD6">
      <w:pPr>
        <w:pStyle w:val="42"/>
        <w:bidi w:val="0"/>
      </w:pPr>
      <w:r>
        <w:t>工作量估算</w:t>
      </w:r>
    </w:p>
    <w:p w14:paraId="0B953059">
      <w:pPr>
        <w:pStyle w:val="30"/>
        <w:bidi w:val="0"/>
      </w:pPr>
      <w:r>
        <w:t>基于项目阶段及典型任务进行工作任务分解，采取自底向上的方法进行估算（工作量的单位采用：人</w:t>
      </w:r>
      <w:r>
        <w:rPr>
          <w:rFonts w:hint="eastAsia"/>
          <w:lang w:val="en-US" w:eastAsia="zh-CN"/>
        </w:rPr>
        <w:t>天</w:t>
      </w:r>
      <w:r>
        <w:t>），采取集体讨论等方法确认相关工作量。</w:t>
      </w:r>
    </w:p>
    <w:p w14:paraId="4035EEBC">
      <w:pPr>
        <w:pStyle w:val="42"/>
        <w:bidi w:val="0"/>
      </w:pPr>
      <w:r>
        <w:t>成本估算</w:t>
      </w:r>
    </w:p>
    <w:p w14:paraId="47D2BFC3">
      <w:pPr>
        <w:pStyle w:val="30"/>
        <w:bidi w:val="0"/>
      </w:pPr>
      <w:r>
        <w:t>项目成本主要包括：研发物料费、人力工资成本、差旅等，其中研发物料成本估算应该体现在项目任务书中。</w:t>
      </w:r>
    </w:p>
    <w:p w14:paraId="7B133623">
      <w:pPr>
        <w:pStyle w:val="30"/>
        <w:bidi w:val="0"/>
      </w:pPr>
      <w:r>
        <w:t>由于我公司的研发成本主要由人力成本构成，项目级的预算等同于项目计划工作量，项目成本等同于项目实际工作量。</w:t>
      </w:r>
    </w:p>
    <w:p w14:paraId="63D3A5AE">
      <w:pPr>
        <w:pStyle w:val="32"/>
        <w:bidi w:val="0"/>
      </w:pPr>
      <w:bookmarkStart w:id="33" w:name="_Toc4910"/>
      <w:r>
        <w:t>项目沟通</w:t>
      </w:r>
      <w:bookmarkEnd w:id="33"/>
    </w:p>
    <w:p w14:paraId="279DD82C">
      <w:pPr>
        <w:pStyle w:val="30"/>
        <w:bidi w:val="0"/>
      </w:pPr>
      <w:r>
        <w:rPr>
          <w:rFonts w:hint="eastAsia"/>
          <w:lang w:val="en-US" w:eastAsia="zh-CN"/>
        </w:rPr>
        <w:t>研发部</w:t>
      </w:r>
      <w:r>
        <w:t>经理应定期组织召开项目例会和编制项目周报。项目例会和周报应按如下要求进行：</w:t>
      </w:r>
    </w:p>
    <w:p w14:paraId="464587E1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各开发小组汇报项目存在的技术风险和问题；</w:t>
      </w:r>
    </w:p>
    <w:p w14:paraId="3CDF30FD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向项目团队成员陈述项目总体技术风险和问题，并对技术风险和问题逐一进行决策；</w:t>
      </w:r>
    </w:p>
    <w:p w14:paraId="0FD1498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通报项目整体进展状况，报告关键里程碑偏差情况；</w:t>
      </w:r>
    </w:p>
    <w:p w14:paraId="2B733829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对风险和问题作出最终处置决议；</w:t>
      </w:r>
    </w:p>
    <w:p w14:paraId="1F9B5F34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负责编制会议纪要，并跟踪决议的实施；</w:t>
      </w:r>
    </w:p>
    <w:p w14:paraId="27522C49">
      <w:pPr>
        <w:pStyle w:val="32"/>
        <w:bidi w:val="0"/>
      </w:pPr>
      <w:bookmarkStart w:id="34" w:name="bookmark15"/>
      <w:bookmarkEnd w:id="34"/>
      <w:bookmarkStart w:id="35" w:name="_Toc29920"/>
      <w:r>
        <w:t>问题和风险管理</w:t>
      </w:r>
      <w:bookmarkEnd w:id="35"/>
    </w:p>
    <w:p w14:paraId="3775413B">
      <w:pPr>
        <w:pStyle w:val="30"/>
        <w:bidi w:val="0"/>
      </w:pPr>
      <w:r>
        <w:rPr>
          <w:rFonts w:hint="eastAsia"/>
          <w:lang w:eastAsia="zh-CN"/>
        </w:rPr>
        <w:t>研发部经理</w:t>
      </w:r>
      <w:r>
        <w:t>应定期开展问题和风险识别，并对风险识别结果和已识别问题采取必要的预防和处置措施，必要时</w:t>
      </w:r>
      <w:r>
        <w:rPr>
          <w:rFonts w:hint="eastAsia"/>
          <w:lang w:eastAsia="zh-CN"/>
        </w:rPr>
        <w:t>研发部经理</w:t>
      </w:r>
      <w:r>
        <w:t>可协调相关领导协助解决已识别风险和问题。</w:t>
      </w:r>
    </w:p>
    <w:p w14:paraId="7922E7EB">
      <w:pPr>
        <w:pStyle w:val="32"/>
        <w:bidi w:val="0"/>
      </w:pPr>
      <w:bookmarkStart w:id="36" w:name="bookmark16"/>
      <w:bookmarkEnd w:id="36"/>
      <w:bookmarkStart w:id="37" w:name="_Toc30440"/>
      <w:r>
        <w:t>测试环境管理</w:t>
      </w:r>
      <w:bookmarkEnd w:id="37"/>
    </w:p>
    <w:p w14:paraId="742735B8">
      <w:pPr>
        <w:pStyle w:val="30"/>
        <w:bidi w:val="0"/>
      </w:pPr>
      <w:r>
        <w:t>研发项目组应对研发环境进行管理，并在研发文档中说明技术研发的所采用的各种工具，开发环境，测试环境等。同时，研发过程应符合以下规范：</w:t>
      </w:r>
    </w:p>
    <w:p w14:paraId="71353637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项目组应保证开发、测试和生产环境独立；</w:t>
      </w:r>
    </w:p>
    <w:p w14:paraId="52BC707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为各环境建立访问权限控制机制，并明确项目成员的职责分工。</w:t>
      </w:r>
    </w:p>
    <w:p w14:paraId="1BFCE89B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对开发环境、测试环境与生产环境在物理或逻辑方面应该做到隔离；如</w:t>
      </w:r>
      <w:r>
        <w:rPr>
          <w:rFonts w:ascii="宋体" w:hAnsi="宋体" w:eastAsia="宋体" w:cs="宋体"/>
          <w:spacing w:val="-1"/>
          <w:sz w:val="24"/>
          <w:szCs w:val="24"/>
        </w:rPr>
        <w:t>果环境的分隔是通过逻辑形式实现的，应定期检查网络设置。</w:t>
      </w:r>
    </w:p>
    <w:p w14:paraId="7D07B910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对已授权访问生产环境的人员进行详细记录，并对该记</w:t>
      </w:r>
      <w:r>
        <w:rPr>
          <w:rFonts w:ascii="宋体" w:hAnsi="宋体" w:eastAsia="宋体" w:cs="宋体"/>
          <w:spacing w:val="-4"/>
          <w:sz w:val="24"/>
          <w:szCs w:val="24"/>
        </w:rPr>
        <w:t>录进行定期检查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0B35C03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对研发环境和研发产出物进行配置管理。</w:t>
      </w:r>
    </w:p>
    <w:p w14:paraId="4A9E108F">
      <w:pPr>
        <w:pStyle w:val="31"/>
        <w:bidi w:val="0"/>
        <w:rPr>
          <w:rFonts w:hint="default"/>
          <w:lang w:val="en-US" w:eastAsia="zh-CN"/>
        </w:rPr>
      </w:pPr>
      <w:bookmarkStart w:id="38" w:name="_Toc24227"/>
      <w:r>
        <w:rPr>
          <w:rFonts w:hint="eastAsia"/>
          <w:lang w:val="en-US" w:eastAsia="zh-CN"/>
        </w:rPr>
        <w:t>考核指标</w:t>
      </w:r>
      <w:bookmarkEnd w:id="38"/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22DDE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430A85E8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2EA6F2F1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67639B5C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E4DC024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0A2FF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7B309D29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3706" w:type="dxa"/>
            <w:vAlign w:val="center"/>
          </w:tcPr>
          <w:p w14:paraId="3B86BECF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技术研发成果达成数量/计划研发成果数量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147" w:type="dxa"/>
            <w:vAlign w:val="center"/>
          </w:tcPr>
          <w:p w14:paraId="088EF1CA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76626D17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年</w:t>
            </w:r>
          </w:p>
        </w:tc>
      </w:tr>
      <w:tr w14:paraId="60DCB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560BC79C">
            <w:pPr>
              <w:widowControl w:val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研发资金投入率</w:t>
            </w:r>
          </w:p>
        </w:tc>
        <w:tc>
          <w:tcPr>
            <w:tcW w:w="3706" w:type="dxa"/>
            <w:vAlign w:val="center"/>
          </w:tcPr>
          <w:p w14:paraId="1FDCEAC8">
            <w:pPr>
              <w:widowControl w:val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实际投入资金/计划投入资金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147" w:type="dxa"/>
            <w:vAlign w:val="center"/>
          </w:tcPr>
          <w:p w14:paraId="7E2A4F19">
            <w:pPr>
              <w:widowControl w:val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481C9752">
            <w:pPr>
              <w:widowControl w:val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1292F1DE">
      <w:pPr>
        <w:pStyle w:val="29"/>
        <w:bidi w:val="0"/>
        <w:rPr>
          <w:rStyle w:val="39"/>
          <w:rFonts w:hint="default" w:eastAsia="宋体"/>
          <w:lang w:val="en-US" w:eastAsia="zh-CN"/>
        </w:rPr>
      </w:pPr>
      <w:bookmarkStart w:id="39" w:name="_Toc29804"/>
      <w:r>
        <w:rPr>
          <w:rStyle w:val="39"/>
          <w:rFonts w:hint="eastAsia" w:eastAsia="宋体"/>
          <w:lang w:val="en-US" w:eastAsia="zh-CN"/>
        </w:rPr>
        <w:t>附则</w:t>
      </w:r>
      <w:bookmarkEnd w:id="20"/>
      <w:bookmarkEnd w:id="39"/>
    </w:p>
    <w:p w14:paraId="2F8C9008">
      <w:pPr>
        <w:pStyle w:val="30"/>
        <w:bidi w:val="0"/>
        <w:rPr>
          <w:rFonts w:hint="default"/>
          <w:lang w:val="en-US" w:eastAsia="zh-CN"/>
        </w:rPr>
      </w:pPr>
      <w:bookmarkStart w:id="40" w:name="_Toc18650"/>
      <w:r>
        <w:rPr>
          <w:rFonts w:hint="eastAsia"/>
          <w:lang w:val="en-US" w:eastAsia="zh-CN"/>
        </w:rPr>
        <w:t>无</w:t>
      </w:r>
      <w:bookmarkEnd w:id="40"/>
      <w:bookmarkStart w:id="44" w:name="_GoBack"/>
      <w:bookmarkEnd w:id="44"/>
    </w:p>
    <w:p w14:paraId="572E3990">
      <w:pPr>
        <w:pStyle w:val="29"/>
        <w:bidi w:val="0"/>
        <w:rPr>
          <w:rFonts w:hint="default"/>
          <w:lang w:val="en-US" w:eastAsia="zh-CN"/>
        </w:rPr>
      </w:pPr>
      <w:bookmarkStart w:id="41" w:name="bookmark14"/>
      <w:bookmarkEnd w:id="41"/>
      <w:bookmarkStart w:id="42" w:name="_Toc21537"/>
      <w:r>
        <w:rPr>
          <w:rFonts w:hint="eastAsia"/>
          <w:lang w:val="en-US" w:eastAsia="zh-CN"/>
        </w:rPr>
        <w:t>附件</w:t>
      </w:r>
      <w:bookmarkEnd w:id="42"/>
    </w:p>
    <w:p w14:paraId="5A405AC4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9"/>
        <w:bidi w:val="0"/>
        <w:rPr>
          <w:rFonts w:hint="eastAsia"/>
          <w:lang w:val="en-US" w:eastAsia="zh-CN"/>
        </w:rPr>
      </w:pPr>
      <w:bookmarkStart w:id="43" w:name="_Toc31428"/>
      <w:r>
        <w:rPr>
          <w:rFonts w:hint="eastAsia"/>
          <w:lang w:val="en-US" w:eastAsia="zh-CN"/>
        </w:rPr>
        <w:t>记录</w:t>
      </w:r>
      <w:bookmarkEnd w:id="43"/>
    </w:p>
    <w:p w14:paraId="495A5AFC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A3285"/>
    <w:multiLevelType w:val="singleLevel"/>
    <w:tmpl w:val="838A32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1E147F"/>
    <w:multiLevelType w:val="singleLevel"/>
    <w:tmpl w:val="8A1E14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C7D16CE"/>
    <w:multiLevelType w:val="singleLevel"/>
    <w:tmpl w:val="8C7D16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9258D70F"/>
    <w:multiLevelType w:val="singleLevel"/>
    <w:tmpl w:val="9258D7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AE5D3A9"/>
    <w:multiLevelType w:val="singleLevel"/>
    <w:tmpl w:val="DAE5D3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8AD92B3"/>
    <w:multiLevelType w:val="singleLevel"/>
    <w:tmpl w:val="E8AD92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2EA6898"/>
    <w:multiLevelType w:val="singleLevel"/>
    <w:tmpl w:val="22EA68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3B7D8A9"/>
    <w:multiLevelType w:val="singleLevel"/>
    <w:tmpl w:val="33B7D8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BC8F928"/>
    <w:multiLevelType w:val="singleLevel"/>
    <w:tmpl w:val="4BC8F9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EB1DAF"/>
    <w:multiLevelType w:val="singleLevel"/>
    <w:tmpl w:val="59EB1D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6940EB06"/>
    <w:multiLevelType w:val="singleLevel"/>
    <w:tmpl w:val="6940EB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FC464CD"/>
    <w:multiLevelType w:val="singleLevel"/>
    <w:tmpl w:val="7FC464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2F53218"/>
    <w:rsid w:val="02FE6617"/>
    <w:rsid w:val="039E565E"/>
    <w:rsid w:val="042F3F1F"/>
    <w:rsid w:val="054D4525"/>
    <w:rsid w:val="05573D16"/>
    <w:rsid w:val="05C8669A"/>
    <w:rsid w:val="06C13C78"/>
    <w:rsid w:val="075D10C4"/>
    <w:rsid w:val="07EC4BEA"/>
    <w:rsid w:val="08055CAB"/>
    <w:rsid w:val="08CF5BBE"/>
    <w:rsid w:val="09615163"/>
    <w:rsid w:val="09905A49"/>
    <w:rsid w:val="09EA33AB"/>
    <w:rsid w:val="0A2C5771"/>
    <w:rsid w:val="0A60541B"/>
    <w:rsid w:val="0A99734E"/>
    <w:rsid w:val="0B13248D"/>
    <w:rsid w:val="0B930577"/>
    <w:rsid w:val="0C083FBC"/>
    <w:rsid w:val="0CA84E57"/>
    <w:rsid w:val="0E4869E6"/>
    <w:rsid w:val="0F343220"/>
    <w:rsid w:val="0F3C775A"/>
    <w:rsid w:val="0F70730C"/>
    <w:rsid w:val="0F7D25CB"/>
    <w:rsid w:val="100912AD"/>
    <w:rsid w:val="104D4694"/>
    <w:rsid w:val="10FE0644"/>
    <w:rsid w:val="112A43FB"/>
    <w:rsid w:val="119775A7"/>
    <w:rsid w:val="14036DAA"/>
    <w:rsid w:val="148F527B"/>
    <w:rsid w:val="15A9236C"/>
    <w:rsid w:val="160F7CF5"/>
    <w:rsid w:val="167A1613"/>
    <w:rsid w:val="16C265E3"/>
    <w:rsid w:val="170C7BDF"/>
    <w:rsid w:val="184F72F1"/>
    <w:rsid w:val="1A264519"/>
    <w:rsid w:val="1AC27A2C"/>
    <w:rsid w:val="1B8D153C"/>
    <w:rsid w:val="1BE45A7B"/>
    <w:rsid w:val="1CFA72C7"/>
    <w:rsid w:val="1D7B4B8F"/>
    <w:rsid w:val="1DF443A0"/>
    <w:rsid w:val="1DF92FB2"/>
    <w:rsid w:val="1E360515"/>
    <w:rsid w:val="20252AFD"/>
    <w:rsid w:val="202B7A06"/>
    <w:rsid w:val="209179EB"/>
    <w:rsid w:val="20C305B3"/>
    <w:rsid w:val="20CB7035"/>
    <w:rsid w:val="21617F9F"/>
    <w:rsid w:val="21F15A4A"/>
    <w:rsid w:val="2265761B"/>
    <w:rsid w:val="264D6D44"/>
    <w:rsid w:val="26747E2C"/>
    <w:rsid w:val="26B121BE"/>
    <w:rsid w:val="26C81630"/>
    <w:rsid w:val="27363334"/>
    <w:rsid w:val="279B1602"/>
    <w:rsid w:val="28862099"/>
    <w:rsid w:val="28AD3ACA"/>
    <w:rsid w:val="296511D8"/>
    <w:rsid w:val="2A0635A2"/>
    <w:rsid w:val="2B141C1D"/>
    <w:rsid w:val="2B9C4A12"/>
    <w:rsid w:val="2BC0763F"/>
    <w:rsid w:val="2D2500D2"/>
    <w:rsid w:val="2D381E44"/>
    <w:rsid w:val="2E516CA5"/>
    <w:rsid w:val="2E9D013C"/>
    <w:rsid w:val="2F135073"/>
    <w:rsid w:val="2F4A02C4"/>
    <w:rsid w:val="2FF80E15"/>
    <w:rsid w:val="301D1535"/>
    <w:rsid w:val="30CE770F"/>
    <w:rsid w:val="30FE3EB0"/>
    <w:rsid w:val="31C2234D"/>
    <w:rsid w:val="32A221C5"/>
    <w:rsid w:val="33896EE1"/>
    <w:rsid w:val="339A72EF"/>
    <w:rsid w:val="33AF4B9A"/>
    <w:rsid w:val="34034EE6"/>
    <w:rsid w:val="34C60CFA"/>
    <w:rsid w:val="35656C57"/>
    <w:rsid w:val="366559E4"/>
    <w:rsid w:val="36785717"/>
    <w:rsid w:val="36DE5F21"/>
    <w:rsid w:val="36F25E64"/>
    <w:rsid w:val="37BF1626"/>
    <w:rsid w:val="384A559C"/>
    <w:rsid w:val="38D86941"/>
    <w:rsid w:val="392A005F"/>
    <w:rsid w:val="3A3D6832"/>
    <w:rsid w:val="3B6E533A"/>
    <w:rsid w:val="3B87414A"/>
    <w:rsid w:val="3BB72BAF"/>
    <w:rsid w:val="3C28373B"/>
    <w:rsid w:val="3C634773"/>
    <w:rsid w:val="3C702875"/>
    <w:rsid w:val="3CB11983"/>
    <w:rsid w:val="3D156FFD"/>
    <w:rsid w:val="3D1E4B3E"/>
    <w:rsid w:val="3D347EBE"/>
    <w:rsid w:val="3D695DB9"/>
    <w:rsid w:val="3D7804FA"/>
    <w:rsid w:val="3E7C0C45"/>
    <w:rsid w:val="3EAB0654"/>
    <w:rsid w:val="3F5A203E"/>
    <w:rsid w:val="410A1661"/>
    <w:rsid w:val="41566655"/>
    <w:rsid w:val="426B25D4"/>
    <w:rsid w:val="43110B39"/>
    <w:rsid w:val="43A318F9"/>
    <w:rsid w:val="44E346A3"/>
    <w:rsid w:val="45C077B4"/>
    <w:rsid w:val="45E83F3B"/>
    <w:rsid w:val="4613720A"/>
    <w:rsid w:val="461865CE"/>
    <w:rsid w:val="4642189D"/>
    <w:rsid w:val="47062782"/>
    <w:rsid w:val="471A69C9"/>
    <w:rsid w:val="47432D89"/>
    <w:rsid w:val="47E81FD1"/>
    <w:rsid w:val="4800731A"/>
    <w:rsid w:val="4812529F"/>
    <w:rsid w:val="4893018E"/>
    <w:rsid w:val="499A2357"/>
    <w:rsid w:val="4AA3483E"/>
    <w:rsid w:val="4AC42881"/>
    <w:rsid w:val="4AD909E8"/>
    <w:rsid w:val="4B644252"/>
    <w:rsid w:val="4C013661"/>
    <w:rsid w:val="4ECA2430"/>
    <w:rsid w:val="4F540134"/>
    <w:rsid w:val="4FED7375"/>
    <w:rsid w:val="519626A2"/>
    <w:rsid w:val="51CA216E"/>
    <w:rsid w:val="523E560F"/>
    <w:rsid w:val="54423DF3"/>
    <w:rsid w:val="54B725CE"/>
    <w:rsid w:val="54CD67D6"/>
    <w:rsid w:val="57AC16EE"/>
    <w:rsid w:val="5859544B"/>
    <w:rsid w:val="587F12E4"/>
    <w:rsid w:val="58956A46"/>
    <w:rsid w:val="58C8202C"/>
    <w:rsid w:val="58D2085F"/>
    <w:rsid w:val="5A0F2BFE"/>
    <w:rsid w:val="5A786312"/>
    <w:rsid w:val="5A8D0C74"/>
    <w:rsid w:val="5ADC59C5"/>
    <w:rsid w:val="5BBB7799"/>
    <w:rsid w:val="5BC619FD"/>
    <w:rsid w:val="5C717B35"/>
    <w:rsid w:val="5C811703"/>
    <w:rsid w:val="5CFE60C6"/>
    <w:rsid w:val="5E133B7E"/>
    <w:rsid w:val="5E3B2A02"/>
    <w:rsid w:val="5E622163"/>
    <w:rsid w:val="5E8425FB"/>
    <w:rsid w:val="5FD0790C"/>
    <w:rsid w:val="608C7E04"/>
    <w:rsid w:val="60CD4AC4"/>
    <w:rsid w:val="60FF797D"/>
    <w:rsid w:val="62120252"/>
    <w:rsid w:val="62364D94"/>
    <w:rsid w:val="62853344"/>
    <w:rsid w:val="637B1AF3"/>
    <w:rsid w:val="65842EE1"/>
    <w:rsid w:val="65A260CC"/>
    <w:rsid w:val="65F22540"/>
    <w:rsid w:val="66AA5FAC"/>
    <w:rsid w:val="67284DEB"/>
    <w:rsid w:val="67931B01"/>
    <w:rsid w:val="689A2A1B"/>
    <w:rsid w:val="68CC52CB"/>
    <w:rsid w:val="69862A24"/>
    <w:rsid w:val="69A3798A"/>
    <w:rsid w:val="69B61AD7"/>
    <w:rsid w:val="6ADC556D"/>
    <w:rsid w:val="6B0D3978"/>
    <w:rsid w:val="6B6421C7"/>
    <w:rsid w:val="6C7C0DB6"/>
    <w:rsid w:val="6F9F11B8"/>
    <w:rsid w:val="711710AD"/>
    <w:rsid w:val="7148395C"/>
    <w:rsid w:val="71D074AE"/>
    <w:rsid w:val="72170B15"/>
    <w:rsid w:val="727E16B2"/>
    <w:rsid w:val="72895FDA"/>
    <w:rsid w:val="72DC0914"/>
    <w:rsid w:val="747D3301"/>
    <w:rsid w:val="747E1443"/>
    <w:rsid w:val="749E3893"/>
    <w:rsid w:val="7695113D"/>
    <w:rsid w:val="76A809F9"/>
    <w:rsid w:val="77020109"/>
    <w:rsid w:val="77950CA6"/>
    <w:rsid w:val="78570929"/>
    <w:rsid w:val="787E7C64"/>
    <w:rsid w:val="78CC6D3B"/>
    <w:rsid w:val="78DC469B"/>
    <w:rsid w:val="7A147095"/>
    <w:rsid w:val="7AA37E55"/>
    <w:rsid w:val="7AB91427"/>
    <w:rsid w:val="7AF366E7"/>
    <w:rsid w:val="7AF71F78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paragraph" w:customStyle="1" w:styleId="42">
    <w:name w:val="柴_标题4"/>
    <w:basedOn w:val="5"/>
    <w:next w:val="1"/>
    <w:qFormat/>
    <w:uiPriority w:val="0"/>
    <w:pPr>
      <w:ind w:leftChars="400"/>
    </w:pPr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2679</Words>
  <Characters>2770</Characters>
  <Lines>0</Lines>
  <Paragraphs>0</Paragraphs>
  <TotalTime>0</TotalTime>
  <ScaleCrop>false</ScaleCrop>
  <LinksUpToDate>false</LinksUpToDate>
  <CharactersWithSpaces>2842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2025-09-12T03:09:38Z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