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CB9772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2-02</w:t>
      </w:r>
    </w:p>
    <w:p w14:paraId="12D4FB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7F37627">
      <w:pPr>
        <w:pStyle w:val="24"/>
        <w:bidi w:val="0"/>
      </w:pPr>
      <w:bookmarkStart w:id="0" w:name="_Toc4335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1EAA4BCC">
      <w:pPr>
        <w:pStyle w:val="25"/>
        <w:bidi w:val="0"/>
        <w:rPr>
          <w:rFonts w:hint="default"/>
          <w:lang w:val="en-US"/>
        </w:rPr>
      </w:pPr>
      <w:bookmarkStart w:id="1" w:name="_Toc6698"/>
      <w:r>
        <w:rPr>
          <w:rFonts w:hint="eastAsia"/>
          <w:lang w:val="en-US" w:eastAsia="zh-CN"/>
        </w:rPr>
        <w:t>运维研发报告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66140E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491997C9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力</w:t>
            </w:r>
          </w:p>
        </w:tc>
        <w:tc>
          <w:tcPr>
            <w:tcW w:w="4261" w:type="dxa"/>
          </w:tcPr>
          <w:p w14:paraId="79129B8A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  <w:tr w14:paraId="2CAD7B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7E5488F4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1005B6D8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  <w:tr w14:paraId="2D25D6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151F853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2283C9A9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</w:tbl>
    <w:p w14:paraId="69297842">
      <w:r>
        <w:br w:type="page"/>
      </w:r>
    </w:p>
    <w:p w14:paraId="471F2898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1F55EE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19D13EBD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09D19CC7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03E844B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352CC1A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1116BEAF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8731445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15C018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8B09649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919" w:type="dxa"/>
          </w:tcPr>
          <w:p w14:paraId="2720BF5E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1C5D6F39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65BB8B1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fitText w:val="630" w:id="1210086631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none"/>
                <w:fitText w:val="630" w:id="1210086631"/>
                <w:vertAlign w:val="baseline"/>
                <w:lang w:val="en-US" w:eastAsia="zh-CN"/>
              </w:rPr>
              <w:t>力</w:t>
            </w:r>
          </w:p>
        </w:tc>
        <w:tc>
          <w:tcPr>
            <w:tcW w:w="1150" w:type="dxa"/>
          </w:tcPr>
          <w:p w14:paraId="5E7A29EA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6335AF0B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361F6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7ECDC93">
            <w:pPr>
              <w:pStyle w:val="27"/>
            </w:pPr>
          </w:p>
        </w:tc>
        <w:tc>
          <w:tcPr>
            <w:tcW w:w="919" w:type="dxa"/>
          </w:tcPr>
          <w:p w14:paraId="2A4AEE5E">
            <w:pPr>
              <w:pStyle w:val="27"/>
            </w:pPr>
          </w:p>
        </w:tc>
        <w:tc>
          <w:tcPr>
            <w:tcW w:w="2289" w:type="dxa"/>
          </w:tcPr>
          <w:p w14:paraId="68995356">
            <w:pPr>
              <w:pStyle w:val="27"/>
            </w:pPr>
          </w:p>
        </w:tc>
        <w:tc>
          <w:tcPr>
            <w:tcW w:w="1148" w:type="dxa"/>
          </w:tcPr>
          <w:p w14:paraId="3ED7A899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7BAA4ED6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28053F0">
            <w:pPr>
              <w:pStyle w:val="27"/>
            </w:pPr>
          </w:p>
        </w:tc>
      </w:tr>
      <w:tr w14:paraId="44E049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EA98336">
            <w:pPr>
              <w:pStyle w:val="27"/>
            </w:pPr>
          </w:p>
        </w:tc>
        <w:tc>
          <w:tcPr>
            <w:tcW w:w="919" w:type="dxa"/>
          </w:tcPr>
          <w:p w14:paraId="295FDE21">
            <w:pPr>
              <w:pStyle w:val="27"/>
            </w:pPr>
          </w:p>
        </w:tc>
        <w:tc>
          <w:tcPr>
            <w:tcW w:w="2289" w:type="dxa"/>
          </w:tcPr>
          <w:p w14:paraId="0D1B918F">
            <w:pPr>
              <w:pStyle w:val="27"/>
            </w:pPr>
          </w:p>
        </w:tc>
        <w:tc>
          <w:tcPr>
            <w:tcW w:w="1148" w:type="dxa"/>
          </w:tcPr>
          <w:p w14:paraId="06ABA15D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428A341C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492F15B">
            <w:pPr>
              <w:pStyle w:val="27"/>
            </w:pPr>
          </w:p>
        </w:tc>
      </w:tr>
      <w:tr w14:paraId="30AF48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4BC1AB0D">
            <w:pPr>
              <w:pStyle w:val="27"/>
            </w:pPr>
          </w:p>
        </w:tc>
        <w:tc>
          <w:tcPr>
            <w:tcW w:w="919" w:type="dxa"/>
          </w:tcPr>
          <w:p w14:paraId="2FFD55E1">
            <w:pPr>
              <w:pStyle w:val="27"/>
            </w:pPr>
          </w:p>
        </w:tc>
        <w:tc>
          <w:tcPr>
            <w:tcW w:w="2289" w:type="dxa"/>
          </w:tcPr>
          <w:p w14:paraId="77039277">
            <w:pPr>
              <w:pStyle w:val="27"/>
            </w:pPr>
          </w:p>
        </w:tc>
        <w:tc>
          <w:tcPr>
            <w:tcW w:w="1148" w:type="dxa"/>
          </w:tcPr>
          <w:p w14:paraId="34A680A3">
            <w:pPr>
              <w:pStyle w:val="27"/>
            </w:pPr>
          </w:p>
        </w:tc>
        <w:tc>
          <w:tcPr>
            <w:tcW w:w="1150" w:type="dxa"/>
          </w:tcPr>
          <w:p w14:paraId="7D51F84D">
            <w:pPr>
              <w:pStyle w:val="27"/>
            </w:pPr>
          </w:p>
        </w:tc>
        <w:tc>
          <w:tcPr>
            <w:tcW w:w="1240" w:type="dxa"/>
          </w:tcPr>
          <w:p w14:paraId="4D2C6F3E">
            <w:pPr>
              <w:pStyle w:val="27"/>
            </w:pPr>
          </w:p>
        </w:tc>
      </w:tr>
      <w:tr w14:paraId="6CB8EBB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1B1319B">
            <w:pPr>
              <w:pStyle w:val="27"/>
            </w:pPr>
          </w:p>
        </w:tc>
        <w:tc>
          <w:tcPr>
            <w:tcW w:w="919" w:type="dxa"/>
          </w:tcPr>
          <w:p w14:paraId="0887BA45">
            <w:pPr>
              <w:pStyle w:val="27"/>
            </w:pPr>
          </w:p>
        </w:tc>
        <w:tc>
          <w:tcPr>
            <w:tcW w:w="2289" w:type="dxa"/>
          </w:tcPr>
          <w:p w14:paraId="0E2A9652">
            <w:pPr>
              <w:pStyle w:val="27"/>
            </w:pPr>
          </w:p>
        </w:tc>
        <w:tc>
          <w:tcPr>
            <w:tcW w:w="1148" w:type="dxa"/>
          </w:tcPr>
          <w:p w14:paraId="028185D7">
            <w:pPr>
              <w:pStyle w:val="27"/>
            </w:pPr>
          </w:p>
        </w:tc>
        <w:tc>
          <w:tcPr>
            <w:tcW w:w="1150" w:type="dxa"/>
          </w:tcPr>
          <w:p w14:paraId="3B4A69D0">
            <w:pPr>
              <w:pStyle w:val="27"/>
            </w:pPr>
          </w:p>
        </w:tc>
        <w:tc>
          <w:tcPr>
            <w:tcW w:w="1240" w:type="dxa"/>
          </w:tcPr>
          <w:p w14:paraId="3C1D2BFD">
            <w:pPr>
              <w:pStyle w:val="27"/>
            </w:pPr>
          </w:p>
        </w:tc>
      </w:tr>
      <w:tr w14:paraId="3EC00C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063D278B">
            <w:pPr>
              <w:pStyle w:val="27"/>
            </w:pPr>
          </w:p>
        </w:tc>
        <w:tc>
          <w:tcPr>
            <w:tcW w:w="919" w:type="dxa"/>
          </w:tcPr>
          <w:p w14:paraId="6302D300">
            <w:pPr>
              <w:pStyle w:val="27"/>
            </w:pPr>
          </w:p>
        </w:tc>
        <w:tc>
          <w:tcPr>
            <w:tcW w:w="2289" w:type="dxa"/>
          </w:tcPr>
          <w:p w14:paraId="52F440E8">
            <w:pPr>
              <w:pStyle w:val="27"/>
            </w:pPr>
          </w:p>
        </w:tc>
        <w:tc>
          <w:tcPr>
            <w:tcW w:w="1148" w:type="dxa"/>
          </w:tcPr>
          <w:p w14:paraId="54CCA5AE">
            <w:pPr>
              <w:pStyle w:val="27"/>
            </w:pPr>
          </w:p>
        </w:tc>
        <w:tc>
          <w:tcPr>
            <w:tcW w:w="1150" w:type="dxa"/>
          </w:tcPr>
          <w:p w14:paraId="7053C57B">
            <w:pPr>
              <w:pStyle w:val="27"/>
            </w:pPr>
          </w:p>
        </w:tc>
        <w:tc>
          <w:tcPr>
            <w:tcW w:w="1240" w:type="dxa"/>
          </w:tcPr>
          <w:p w14:paraId="4155C618">
            <w:pPr>
              <w:pStyle w:val="27"/>
            </w:pPr>
          </w:p>
        </w:tc>
      </w:tr>
    </w:tbl>
    <w:p w14:paraId="4AD6F337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CA3A40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2852766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_Toc4335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_Toc4335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DBE6E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_Toc6698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运维研发报告</w:t>
          </w:r>
          <w:r>
            <w:tab/>
          </w:r>
          <w:r>
            <w:fldChar w:fldCharType="begin"/>
          </w:r>
          <w:r>
            <w:instrText xml:space="preserve"> PAGEREF _Toc6698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A5D34E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_Toc15408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运维工具研发进度</w:t>
          </w:r>
          <w:r>
            <w:tab/>
          </w:r>
          <w:r>
            <w:fldChar w:fldCharType="begin"/>
          </w:r>
          <w:r>
            <w:instrText xml:space="preserve"> PAGEREF _Toc15408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E5BC3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_Toc31977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研发进度</w:t>
          </w:r>
          <w:r>
            <w:tab/>
          </w:r>
          <w:r>
            <w:fldChar w:fldCharType="begin"/>
          </w:r>
          <w:r>
            <w:instrText xml:space="preserve"> PAGEREF _Toc31977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68EA08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_Toc26255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研发成果</w:t>
          </w:r>
          <w:r>
            <w:tab/>
          </w:r>
          <w:r>
            <w:fldChar w:fldCharType="begin"/>
          </w:r>
          <w:r>
            <w:instrText xml:space="preserve"> PAGEREF _Toc26255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2D709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研发现状</w:t>
          </w:r>
          <w:r>
            <w:tab/>
          </w:r>
          <w:r>
            <w:fldChar w:fldCharType="begin"/>
          </w:r>
          <w:r>
            <w:instrText xml:space="preserve"> PAGEREF _Toc1435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B5C4F6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_Toc13873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运维手册研发进度</w:t>
          </w:r>
          <w:r>
            <w:tab/>
          </w:r>
          <w:r>
            <w:fldChar w:fldCharType="begin"/>
          </w:r>
          <w:r>
            <w:instrText xml:space="preserve"> PAGEREF _Toc13873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D95A0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_Toc22064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研发进度</w:t>
          </w:r>
          <w:r>
            <w:tab/>
          </w:r>
          <w:r>
            <w:fldChar w:fldCharType="begin"/>
          </w:r>
          <w:r>
            <w:instrText xml:space="preserve"> PAGEREF _Toc22064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572A0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_Toc4126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研发成果</w:t>
          </w:r>
          <w:r>
            <w:tab/>
          </w:r>
          <w:r>
            <w:fldChar w:fldCharType="begin"/>
          </w:r>
          <w:r>
            <w:instrText xml:space="preserve"> PAGEREF _Toc4126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256A4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_Toc18180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研发现状</w:t>
          </w:r>
          <w:r>
            <w:tab/>
          </w:r>
          <w:r>
            <w:fldChar w:fldCharType="begin"/>
          </w:r>
          <w:r>
            <w:instrText xml:space="preserve"> PAGEREF _Toc18180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9B99E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_Toc7403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研发经费使用情况</w:t>
          </w:r>
          <w:r>
            <w:tab/>
          </w:r>
          <w:r>
            <w:fldChar w:fldCharType="begin"/>
          </w:r>
          <w:r>
            <w:instrText xml:space="preserve"> PAGEREF _Toc7403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686376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_Toc29020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新技术展望</w:t>
          </w:r>
          <w:r>
            <w:tab/>
          </w:r>
          <w:r>
            <w:fldChar w:fldCharType="begin"/>
          </w:r>
          <w:r>
            <w:instrText xml:space="preserve"> PAGEREF _Toc29020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2D9A3D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19172349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3ED5FF8D">
      <w:pPr>
        <w:pStyle w:val="28"/>
        <w:bidi w:val="0"/>
        <w:rPr>
          <w:rFonts w:hint="eastAsia"/>
          <w:lang w:val="en-US" w:eastAsia="zh-CN"/>
        </w:rPr>
      </w:pPr>
      <w:bookmarkStart w:id="2" w:name="_Toc15408"/>
      <w:r>
        <w:rPr>
          <w:rFonts w:hint="eastAsia"/>
          <w:lang w:val="en-US" w:eastAsia="zh-CN"/>
        </w:rPr>
        <w:t>运维工具研发进度</w:t>
      </w:r>
      <w:bookmarkEnd w:id="2"/>
    </w:p>
    <w:p w14:paraId="2EB964C0">
      <w:pPr>
        <w:pStyle w:val="30"/>
        <w:bidi w:val="0"/>
        <w:rPr>
          <w:rFonts w:hint="eastAsia"/>
          <w:lang w:val="en-US" w:eastAsia="zh-CN"/>
        </w:rPr>
      </w:pPr>
      <w:bookmarkStart w:id="3" w:name="_Toc31977"/>
      <w:r>
        <w:rPr>
          <w:rFonts w:hint="eastAsia"/>
          <w:lang w:val="en-US" w:eastAsia="zh-CN"/>
        </w:rPr>
        <w:t>研发进度</w:t>
      </w:r>
      <w:bookmarkEnd w:id="3"/>
    </w:p>
    <w:p w14:paraId="231BF21F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根据研发计划，研发进度如表1-1所示：</w:t>
      </w:r>
    </w:p>
    <w:p w14:paraId="4E7829FE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禅道项目管理系统升级完成情况</w:t>
      </w:r>
    </w:p>
    <w:tbl>
      <w:tblPr>
        <w:tblStyle w:val="21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799"/>
        <w:gridCol w:w="3417"/>
        <w:gridCol w:w="1509"/>
        <w:gridCol w:w="1509"/>
      </w:tblGrid>
      <w:tr w14:paraId="52C10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083CA91C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99" w:type="dxa"/>
          </w:tcPr>
          <w:p w14:paraId="46CD5E3F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任务阶段</w:t>
            </w:r>
          </w:p>
        </w:tc>
        <w:tc>
          <w:tcPr>
            <w:tcW w:w="3417" w:type="dxa"/>
          </w:tcPr>
          <w:p w14:paraId="058B5B23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任务内容</w:t>
            </w:r>
          </w:p>
        </w:tc>
        <w:tc>
          <w:tcPr>
            <w:tcW w:w="1509" w:type="dxa"/>
          </w:tcPr>
          <w:p w14:paraId="44197936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计划时间</w:t>
            </w:r>
          </w:p>
        </w:tc>
        <w:tc>
          <w:tcPr>
            <w:tcW w:w="1509" w:type="dxa"/>
          </w:tcPr>
          <w:p w14:paraId="250D89A4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</w:tr>
      <w:tr w14:paraId="5029F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7A46D5D2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</w:tcPr>
          <w:p w14:paraId="7B92872A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项目规划</w:t>
            </w:r>
          </w:p>
        </w:tc>
        <w:tc>
          <w:tcPr>
            <w:tcW w:w="3417" w:type="dxa"/>
          </w:tcPr>
          <w:p w14:paraId="4F9C1494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</w:pPr>
            <w:r>
              <w:t>项目相关人员沟通，进行相关技术调研及预演；</w:t>
            </w:r>
          </w:p>
          <w:p w14:paraId="4E1A61D9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编写项目规划</w:t>
            </w:r>
          </w:p>
        </w:tc>
        <w:tc>
          <w:tcPr>
            <w:tcW w:w="1509" w:type="dxa"/>
          </w:tcPr>
          <w:p w14:paraId="76F412CA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  <w:tc>
          <w:tcPr>
            <w:tcW w:w="1509" w:type="dxa"/>
          </w:tcPr>
          <w:p w14:paraId="26811E4C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3DE9C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099B3D61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</w:tcPr>
          <w:p w14:paraId="5EA71307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3417" w:type="dxa"/>
          </w:tcPr>
          <w:p w14:paraId="44C7735C"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调研用户需求及相关行业产品，形成优化需求说明</w:t>
            </w:r>
          </w:p>
        </w:tc>
        <w:tc>
          <w:tcPr>
            <w:tcW w:w="1509" w:type="dxa"/>
          </w:tcPr>
          <w:p w14:paraId="4C6173EB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  <w:tc>
          <w:tcPr>
            <w:tcW w:w="1509" w:type="dxa"/>
          </w:tcPr>
          <w:p w14:paraId="5D51E214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09225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36462942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</w:tcPr>
          <w:p w14:paraId="2C5AA411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项目筹划、设计</w:t>
            </w:r>
          </w:p>
        </w:tc>
        <w:tc>
          <w:tcPr>
            <w:tcW w:w="3417" w:type="dxa"/>
          </w:tcPr>
          <w:p w14:paraId="4158E6A5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</w:pPr>
            <w:r>
              <w:t>组建小组；</w:t>
            </w:r>
          </w:p>
          <w:p w14:paraId="0221D9B2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</w:pPr>
            <w:r>
              <w:t>完成系统设计方案编制；</w:t>
            </w:r>
          </w:p>
          <w:p w14:paraId="24B3B257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规划评审，评审通过后进行立项；</w:t>
            </w:r>
          </w:p>
        </w:tc>
        <w:tc>
          <w:tcPr>
            <w:tcW w:w="1509" w:type="dxa"/>
          </w:tcPr>
          <w:p w14:paraId="2A2D212A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2025年2月</w:t>
            </w:r>
          </w:p>
        </w:tc>
        <w:tc>
          <w:tcPr>
            <w:tcW w:w="1509" w:type="dxa"/>
          </w:tcPr>
          <w:p w14:paraId="4ABE0F34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026D9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77AAEC9B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Merge w:val="restart"/>
          </w:tcPr>
          <w:p w14:paraId="4E54DB96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开发、测试</w:t>
            </w:r>
          </w:p>
        </w:tc>
        <w:tc>
          <w:tcPr>
            <w:tcW w:w="3417" w:type="dxa"/>
          </w:tcPr>
          <w:p w14:paraId="5A9C601C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完善新建用例功能，支持导入测试用例，用例支持选择用例类型</w:t>
            </w:r>
          </w:p>
        </w:tc>
        <w:tc>
          <w:tcPr>
            <w:tcW w:w="1509" w:type="dxa"/>
          </w:tcPr>
          <w:p w14:paraId="5539B54B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2025年3月</w:t>
            </w:r>
          </w:p>
        </w:tc>
        <w:tc>
          <w:tcPr>
            <w:tcW w:w="1509" w:type="dxa"/>
            <w:shd w:val="clear" w:color="auto" w:fill="auto"/>
          </w:tcPr>
          <w:p w14:paraId="241D4B25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4F506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681B3435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Merge w:val="continue"/>
          </w:tcPr>
          <w:p w14:paraId="4F1A6827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7" w:type="dxa"/>
          </w:tcPr>
          <w:p w14:paraId="5974657E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完善执行用例功能，可将用例转为BUG</w:t>
            </w:r>
          </w:p>
        </w:tc>
        <w:tc>
          <w:tcPr>
            <w:tcW w:w="1509" w:type="dxa"/>
          </w:tcPr>
          <w:p w14:paraId="695937F2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2025年4月</w:t>
            </w:r>
          </w:p>
        </w:tc>
        <w:tc>
          <w:tcPr>
            <w:tcW w:w="1509" w:type="dxa"/>
            <w:shd w:val="clear" w:color="auto" w:fill="auto"/>
          </w:tcPr>
          <w:p w14:paraId="525FA946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5F69B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7C886405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Merge w:val="continue"/>
          </w:tcPr>
          <w:p w14:paraId="23FC2746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7" w:type="dxa"/>
          </w:tcPr>
          <w:p w14:paraId="53EA9820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完善提交BUG模块，可批量导入BUG,同时支持导出BUG</w:t>
            </w:r>
          </w:p>
        </w:tc>
        <w:tc>
          <w:tcPr>
            <w:tcW w:w="1509" w:type="dxa"/>
          </w:tcPr>
          <w:p w14:paraId="75584EEB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2025年5月</w:t>
            </w:r>
          </w:p>
        </w:tc>
        <w:tc>
          <w:tcPr>
            <w:tcW w:w="1509" w:type="dxa"/>
            <w:shd w:val="clear" w:color="auto" w:fill="auto"/>
          </w:tcPr>
          <w:p w14:paraId="7B95AA44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5DDE5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7A874269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Merge w:val="continue"/>
          </w:tcPr>
          <w:p w14:paraId="168C1641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7" w:type="dxa"/>
          </w:tcPr>
          <w:p w14:paraId="0C9A0678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BUG导出功能支持导出字段人工选择，</w:t>
            </w:r>
          </w:p>
        </w:tc>
        <w:tc>
          <w:tcPr>
            <w:tcW w:w="1509" w:type="dxa"/>
          </w:tcPr>
          <w:p w14:paraId="54E90450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2025年6月</w:t>
            </w:r>
          </w:p>
        </w:tc>
        <w:tc>
          <w:tcPr>
            <w:tcW w:w="1509" w:type="dxa"/>
            <w:shd w:val="clear" w:color="auto" w:fill="auto"/>
          </w:tcPr>
          <w:p w14:paraId="65FB8F69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24DF1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6FCF6439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Merge w:val="continue"/>
          </w:tcPr>
          <w:p w14:paraId="3B3E6358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7" w:type="dxa"/>
          </w:tcPr>
          <w:p w14:paraId="15F2F744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BUG报告面板查看</w:t>
            </w:r>
          </w:p>
        </w:tc>
        <w:tc>
          <w:tcPr>
            <w:tcW w:w="1509" w:type="dxa"/>
          </w:tcPr>
          <w:p w14:paraId="65DA56E4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2025年7月</w:t>
            </w:r>
          </w:p>
        </w:tc>
        <w:tc>
          <w:tcPr>
            <w:tcW w:w="1509" w:type="dxa"/>
            <w:shd w:val="clear" w:color="auto" w:fill="auto"/>
          </w:tcPr>
          <w:p w14:paraId="51507E6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03AF7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37" w:type="dxa"/>
          </w:tcPr>
          <w:p w14:paraId="2131B3D0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</w:tcPr>
          <w:p w14:paraId="34A1F0C6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上线试运行</w:t>
            </w:r>
          </w:p>
        </w:tc>
        <w:tc>
          <w:tcPr>
            <w:tcW w:w="3417" w:type="dxa"/>
          </w:tcPr>
          <w:p w14:paraId="095F129F"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测试完成后，首先在运维部试运行</w:t>
            </w:r>
          </w:p>
        </w:tc>
        <w:tc>
          <w:tcPr>
            <w:tcW w:w="1509" w:type="dxa"/>
          </w:tcPr>
          <w:p w14:paraId="08E97F1B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2025年8月</w:t>
            </w:r>
          </w:p>
        </w:tc>
        <w:tc>
          <w:tcPr>
            <w:tcW w:w="1509" w:type="dxa"/>
            <w:shd w:val="clear" w:color="auto" w:fill="auto"/>
          </w:tcPr>
          <w:p w14:paraId="7365CD3E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5F43E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7" w:type="dxa"/>
          </w:tcPr>
          <w:p w14:paraId="013BEBF5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</w:tcPr>
          <w:p w14:paraId="172D757C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BUG修复功能完善</w:t>
            </w:r>
          </w:p>
        </w:tc>
        <w:tc>
          <w:tcPr>
            <w:tcW w:w="3417" w:type="dxa"/>
          </w:tcPr>
          <w:p w14:paraId="07E7A91E"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修复使用过程中发现的BUG</w:t>
            </w:r>
          </w:p>
        </w:tc>
        <w:tc>
          <w:tcPr>
            <w:tcW w:w="1509" w:type="dxa"/>
          </w:tcPr>
          <w:p w14:paraId="1A821CA3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2025年9月</w:t>
            </w:r>
          </w:p>
        </w:tc>
        <w:tc>
          <w:tcPr>
            <w:tcW w:w="1509" w:type="dxa"/>
          </w:tcPr>
          <w:p w14:paraId="36B9A47D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未开始</w:t>
            </w:r>
          </w:p>
        </w:tc>
      </w:tr>
      <w:tr w14:paraId="72EF4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 w14:paraId="03DA000F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99" w:type="dxa"/>
          </w:tcPr>
          <w:p w14:paraId="1CA595D6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回归测试正式上线</w:t>
            </w:r>
          </w:p>
        </w:tc>
        <w:tc>
          <w:tcPr>
            <w:tcW w:w="3417" w:type="dxa"/>
          </w:tcPr>
          <w:p w14:paraId="418D9494"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BUG修复并验证后正式上线</w:t>
            </w:r>
          </w:p>
        </w:tc>
        <w:tc>
          <w:tcPr>
            <w:tcW w:w="1509" w:type="dxa"/>
          </w:tcPr>
          <w:p w14:paraId="18F12152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2025年10月</w:t>
            </w:r>
          </w:p>
        </w:tc>
        <w:tc>
          <w:tcPr>
            <w:tcW w:w="1509" w:type="dxa"/>
          </w:tcPr>
          <w:p w14:paraId="658F91D9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未开始</w:t>
            </w:r>
          </w:p>
        </w:tc>
      </w:tr>
    </w:tbl>
    <w:p w14:paraId="16EE27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A519A39">
      <w:pPr>
        <w:pStyle w:val="30"/>
        <w:bidi w:val="0"/>
        <w:rPr>
          <w:rFonts w:hint="default"/>
          <w:lang w:val="en-US" w:eastAsia="zh-CN"/>
        </w:rPr>
      </w:pPr>
      <w:bookmarkStart w:id="4" w:name="_Toc26255"/>
      <w:r>
        <w:rPr>
          <w:rFonts w:hint="eastAsia"/>
          <w:lang w:val="en-US" w:eastAsia="zh-CN"/>
        </w:rPr>
        <w:t>研发成果</w:t>
      </w:r>
      <w:bookmarkEnd w:id="4"/>
    </w:p>
    <w:p w14:paraId="550259F6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可以通过批量导入用例，减少重复操作，提高了效率</w:t>
      </w:r>
    </w:p>
    <w:p w14:paraId="735B76D4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如图1-1所示。</w:t>
      </w:r>
    </w:p>
    <w:p w14:paraId="1932D167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图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批量导入用例</w:t>
      </w:r>
    </w:p>
    <w:p w14:paraId="743DE669">
      <w:pPr>
        <w:pStyle w:val="29"/>
      </w:pPr>
      <w:r>
        <w:drawing>
          <wp:inline distT="0" distB="0" distL="114300" distR="114300">
            <wp:extent cx="5266690" cy="2823845"/>
            <wp:effectExtent l="0" t="0" r="635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95FD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添加用例的时候，支持上维护用例类型功能，更好的区分用例所属模块，如图1-2所示。</w:t>
      </w:r>
    </w:p>
    <w:p w14:paraId="40BE6494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用例选择类型</w:t>
      </w:r>
    </w:p>
    <w:p w14:paraId="7DE2611B">
      <w:pPr>
        <w:pStyle w:val="29"/>
        <w:rPr>
          <w:rFonts w:hint="eastAsia"/>
          <w:lang w:val="en-US" w:eastAsia="zh-CN"/>
        </w:rPr>
      </w:pPr>
    </w:p>
    <w:p w14:paraId="0AD00E77">
      <w:pPr>
        <w:pStyle w:val="29"/>
        <w:ind w:left="0" w:leftChars="0" w:firstLine="0" w:firstLineChars="0"/>
      </w:pPr>
      <w:r>
        <w:drawing>
          <wp:inline distT="0" distB="0" distL="114300" distR="114300">
            <wp:extent cx="5269230" cy="2664460"/>
            <wp:effectExtent l="0" t="0" r="381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8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361B437D">
      <w:pPr>
        <w:pStyle w:val="2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测试用例转BUG功能，如图1-3、图1-4所示。</w:t>
      </w:r>
    </w:p>
    <w:p w14:paraId="187D2CA2">
      <w:pPr>
        <w:spacing w:before="106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用例转BUG</w:t>
      </w:r>
    </w:p>
    <w:p w14:paraId="750EADC3">
      <w:pPr>
        <w:spacing w:before="106"/>
        <w:jc w:val="center"/>
      </w:pPr>
      <w:r>
        <w:drawing>
          <wp:inline distT="0" distB="0" distL="114300" distR="114300">
            <wp:extent cx="5274310" cy="2907030"/>
            <wp:effectExtent l="0" t="0" r="1397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CC139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4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用例转BUG列表</w:t>
      </w:r>
    </w:p>
    <w:p w14:paraId="0C8C09B0">
      <w:pPr>
        <w:spacing w:before="106"/>
        <w:jc w:val="center"/>
      </w:pPr>
    </w:p>
    <w:p w14:paraId="154A1CB6">
      <w:pPr>
        <w:pStyle w:val="29"/>
        <w:ind w:left="0" w:leftChars="0" w:firstLine="0" w:firstLineChars="0"/>
      </w:pPr>
      <w:r>
        <w:drawing>
          <wp:inline distT="0" distB="0" distL="114300" distR="114300">
            <wp:extent cx="5264150" cy="1876425"/>
            <wp:effectExtent l="0" t="0" r="889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365C">
      <w:pPr>
        <w:pStyle w:val="29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批量导入BUG，如图1-5所示，批量导出BUG如图1-6所示。</w:t>
      </w:r>
    </w:p>
    <w:p w14:paraId="47E18F93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5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批量导入BUG</w:t>
      </w:r>
    </w:p>
    <w:p w14:paraId="49A88148">
      <w:pPr>
        <w:pStyle w:val="29"/>
        <w:ind w:left="0" w:leftChars="0" w:firstLine="0" w:firstLineChars="0"/>
        <w:rPr>
          <w:rFonts w:hint="default"/>
          <w:lang w:val="en-US" w:eastAsia="zh-CN"/>
        </w:rPr>
      </w:pPr>
    </w:p>
    <w:p w14:paraId="331DC538">
      <w:pPr>
        <w:pStyle w:val="29"/>
        <w:ind w:left="0" w:leftChars="0" w:firstLine="0" w:firstLineChars="0"/>
      </w:pPr>
      <w:r>
        <w:drawing>
          <wp:inline distT="0" distB="0" distL="114300" distR="114300">
            <wp:extent cx="4832350" cy="1945640"/>
            <wp:effectExtent l="0" t="0" r="13970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4E10">
      <w:r>
        <w:br w:type="page"/>
      </w:r>
    </w:p>
    <w:p w14:paraId="3974577F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6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批量导出BUG</w:t>
      </w:r>
    </w:p>
    <w:p w14:paraId="4C0E65EF">
      <w:pPr>
        <w:pStyle w:val="29"/>
        <w:ind w:left="0" w:leftChars="0" w:firstLine="0" w:firstLineChars="0"/>
      </w:pPr>
      <w:r>
        <w:drawing>
          <wp:inline distT="0" distB="0" distL="114300" distR="114300">
            <wp:extent cx="5269865" cy="2724150"/>
            <wp:effectExtent l="0" t="0" r="3175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5242">
      <w:pPr>
        <w:pStyle w:val="2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导出BUG，可以根据运维实际需要，选择导出字段，如图1-7所示。</w:t>
      </w:r>
    </w:p>
    <w:p w14:paraId="51F5C06C">
      <w:pPr>
        <w:spacing w:before="106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7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设置导出字段</w:t>
      </w:r>
    </w:p>
    <w:p w14:paraId="63BF1F1F">
      <w:pPr>
        <w:spacing w:before="106"/>
        <w:jc w:val="center"/>
      </w:pPr>
      <w:r>
        <w:drawing>
          <wp:inline distT="0" distB="0" distL="114300" distR="114300">
            <wp:extent cx="5267960" cy="4759960"/>
            <wp:effectExtent l="0" t="0" r="508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80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47C3F6D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报表查看功能，如图1-8所示。</w:t>
      </w:r>
    </w:p>
    <w:p w14:paraId="19B5CFC6">
      <w:pPr>
        <w:spacing w:before="106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图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-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8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设置导出字段</w:t>
      </w:r>
    </w:p>
    <w:p w14:paraId="77CB58A4">
      <w:pPr>
        <w:pStyle w:val="29"/>
        <w:bidi w:val="0"/>
        <w:ind w:left="0" w:leftChars="0" w:firstLine="0" w:firstLineChars="0"/>
      </w:pPr>
      <w:r>
        <w:drawing>
          <wp:inline distT="0" distB="0" distL="114300" distR="114300">
            <wp:extent cx="5266055" cy="3110230"/>
            <wp:effectExtent l="0" t="0" r="6985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E59B">
      <w:pPr>
        <w:pStyle w:val="29"/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7EA2660D">
      <w:pPr>
        <w:pStyle w:val="30"/>
        <w:bidi w:val="0"/>
        <w:rPr>
          <w:rFonts w:hint="default"/>
          <w:lang w:val="en-US" w:eastAsia="zh-CN"/>
        </w:rPr>
      </w:pPr>
      <w:bookmarkStart w:id="5" w:name="_Toc1435"/>
      <w:r>
        <w:rPr>
          <w:rFonts w:hint="eastAsia"/>
          <w:lang w:val="en-US" w:eastAsia="zh-CN"/>
        </w:rPr>
        <w:t>研发现状</w:t>
      </w:r>
      <w:bookmarkEnd w:id="5"/>
    </w:p>
    <w:p w14:paraId="085A8D6A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按照研发计划，目前运维研发进展正常，禅道项目管理系统，已经在运维部事先开展试运行，截止目前系统运行良好，运维部根据实际使用情况提出需要改进的问题和使用过程中发现的BUG，由研发部进行改进。</w:t>
      </w:r>
    </w:p>
    <w:p w14:paraId="103FDDFD">
      <w:pPr>
        <w:tabs>
          <w:tab w:val="left" w:pos="658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33801E8F">
      <w:pPr>
        <w:pStyle w:val="28"/>
        <w:bidi w:val="0"/>
        <w:rPr>
          <w:rFonts w:hint="eastAsia"/>
          <w:lang w:val="en-US" w:eastAsia="zh-CN"/>
        </w:rPr>
      </w:pPr>
      <w:bookmarkStart w:id="6" w:name="_Toc13873"/>
      <w:r>
        <w:rPr>
          <w:rFonts w:hint="eastAsia"/>
          <w:lang w:val="en-US" w:eastAsia="zh-CN"/>
        </w:rPr>
        <w:t>运维手册研发进度</w:t>
      </w:r>
      <w:bookmarkEnd w:id="6"/>
    </w:p>
    <w:p w14:paraId="638D0E9C">
      <w:pPr>
        <w:pStyle w:val="30"/>
        <w:bidi w:val="0"/>
        <w:rPr>
          <w:rFonts w:hint="eastAsia"/>
          <w:lang w:val="en-US" w:eastAsia="zh-CN"/>
        </w:rPr>
      </w:pPr>
      <w:bookmarkStart w:id="7" w:name="_Toc22064"/>
      <w:r>
        <w:rPr>
          <w:rFonts w:hint="eastAsia"/>
          <w:lang w:val="en-US" w:eastAsia="zh-CN"/>
        </w:rPr>
        <w:t>研发进度</w:t>
      </w:r>
      <w:bookmarkEnd w:id="7"/>
    </w:p>
    <w:p w14:paraId="58E1AA0E">
      <w:pPr>
        <w:pStyle w:val="29"/>
        <w:tabs>
          <w:tab w:val="left" w:pos="5565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根据研发计划，手册研发进度如表2-1所示：</w:t>
      </w:r>
      <w:r>
        <w:rPr>
          <w:rFonts w:hint="eastAsia"/>
          <w:lang w:val="en-US" w:eastAsia="zh-CN"/>
        </w:rPr>
        <w:tab/>
      </w:r>
    </w:p>
    <w:p w14:paraId="46A91085">
      <w:pPr>
        <w:spacing w:before="106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研发手册完成情况</w:t>
      </w:r>
    </w:p>
    <w:tbl>
      <w:tblPr>
        <w:tblStyle w:val="26"/>
        <w:tblW w:w="644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2399"/>
        <w:gridCol w:w="1614"/>
        <w:gridCol w:w="1614"/>
      </w:tblGrid>
      <w:tr w14:paraId="5FF221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815" w:type="dxa"/>
            <w:shd w:val="clear" w:color="auto" w:fill="auto"/>
          </w:tcPr>
          <w:p w14:paraId="119432EC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2399" w:type="dxa"/>
            <w:shd w:val="clear" w:color="auto" w:fill="auto"/>
          </w:tcPr>
          <w:p w14:paraId="4C85A557">
            <w:pPr>
              <w:spacing w:before="90" w:line="222" w:lineRule="auto"/>
              <w:ind w:left="552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手册名称</w:t>
            </w:r>
          </w:p>
        </w:tc>
        <w:tc>
          <w:tcPr>
            <w:tcW w:w="1614" w:type="dxa"/>
            <w:shd w:val="clear" w:color="auto" w:fill="auto"/>
          </w:tcPr>
          <w:p w14:paraId="5C68FAA1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计划时间</w:t>
            </w:r>
          </w:p>
        </w:tc>
        <w:tc>
          <w:tcPr>
            <w:tcW w:w="1614" w:type="dxa"/>
            <w:shd w:val="clear" w:color="auto" w:fill="auto"/>
          </w:tcPr>
          <w:p w14:paraId="4763D687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pacing w:val="-3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完成情况</w:t>
            </w:r>
          </w:p>
        </w:tc>
      </w:tr>
      <w:tr w14:paraId="4AF71D5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0D68BF42">
            <w:pPr>
              <w:numPr>
                <w:ilvl w:val="0"/>
                <w:numId w:val="10"/>
              </w:numPr>
              <w:spacing w:before="89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6E6FFCD0">
            <w:pPr>
              <w:spacing w:before="89" w:line="220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lang w:val="en-US" w:eastAsia="zh-CN"/>
              </w:rPr>
              <w:t>VPN连接部署手册</w:t>
            </w:r>
          </w:p>
        </w:tc>
        <w:tc>
          <w:tcPr>
            <w:tcW w:w="1614" w:type="dxa"/>
          </w:tcPr>
          <w:p w14:paraId="214B78C5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2025年5月</w:t>
            </w:r>
          </w:p>
        </w:tc>
        <w:tc>
          <w:tcPr>
            <w:tcW w:w="1614" w:type="dxa"/>
          </w:tcPr>
          <w:p w14:paraId="2D1980B9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已完成</w:t>
            </w:r>
          </w:p>
        </w:tc>
      </w:tr>
      <w:tr w14:paraId="26D9FA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3D16F44E">
            <w:pPr>
              <w:numPr>
                <w:ilvl w:val="0"/>
                <w:numId w:val="10"/>
              </w:numPr>
              <w:spacing w:before="90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7D0B4BA2">
            <w:pPr>
              <w:spacing w:before="91" w:line="220" w:lineRule="auto"/>
              <w:ind w:left="11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Docker部署cas</w:t>
            </w:r>
          </w:p>
        </w:tc>
        <w:tc>
          <w:tcPr>
            <w:tcW w:w="1614" w:type="dxa"/>
          </w:tcPr>
          <w:p w14:paraId="7FA2F6C2">
            <w:pPr>
              <w:spacing w:before="91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2025年6月</w:t>
            </w:r>
          </w:p>
        </w:tc>
        <w:tc>
          <w:tcPr>
            <w:tcW w:w="1614" w:type="dxa"/>
          </w:tcPr>
          <w:p w14:paraId="62E87811">
            <w:pPr>
              <w:spacing w:before="91" w:line="219" w:lineRule="auto"/>
              <w:ind w:left="113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已完成</w:t>
            </w:r>
          </w:p>
        </w:tc>
      </w:tr>
      <w:tr w14:paraId="75F34FC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815" w:type="dxa"/>
          </w:tcPr>
          <w:p w14:paraId="5901CC21">
            <w:pPr>
              <w:numPr>
                <w:ilvl w:val="0"/>
                <w:numId w:val="10"/>
              </w:numPr>
              <w:spacing w:before="99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7BEC55CA">
            <w:pPr>
              <w:spacing w:before="100" w:line="219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Docker部署Redis</w:t>
            </w:r>
          </w:p>
        </w:tc>
        <w:tc>
          <w:tcPr>
            <w:tcW w:w="1614" w:type="dxa"/>
          </w:tcPr>
          <w:p w14:paraId="01A8D7E3">
            <w:pPr>
              <w:spacing w:before="100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2025年6月</w:t>
            </w:r>
          </w:p>
        </w:tc>
        <w:tc>
          <w:tcPr>
            <w:tcW w:w="1614" w:type="dxa"/>
          </w:tcPr>
          <w:p w14:paraId="720604EF">
            <w:pPr>
              <w:spacing w:before="100" w:line="219" w:lineRule="auto"/>
              <w:ind w:left="113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已完成</w:t>
            </w:r>
          </w:p>
        </w:tc>
      </w:tr>
    </w:tbl>
    <w:p w14:paraId="42F4D115">
      <w:pPr>
        <w:spacing w:before="106"/>
        <w:jc w:val="center"/>
        <w:rPr>
          <w:rFonts w:hint="default" w:eastAsia="宋体"/>
          <w:lang w:val="en-US" w:eastAsia="zh-CN"/>
        </w:rPr>
      </w:pPr>
    </w:p>
    <w:p w14:paraId="2F697509">
      <w:pPr>
        <w:pStyle w:val="29"/>
        <w:tabs>
          <w:tab w:val="left" w:pos="5565"/>
        </w:tabs>
        <w:bidi w:val="0"/>
        <w:rPr>
          <w:rFonts w:hint="eastAsia"/>
          <w:lang w:val="en-US" w:eastAsia="zh-CN"/>
        </w:rPr>
      </w:pPr>
    </w:p>
    <w:p w14:paraId="790A1981">
      <w:pPr>
        <w:pStyle w:val="30"/>
        <w:bidi w:val="0"/>
        <w:rPr>
          <w:rFonts w:hint="eastAsia"/>
          <w:lang w:val="en-US" w:eastAsia="zh-CN"/>
        </w:rPr>
      </w:pPr>
      <w:bookmarkStart w:id="8" w:name="_Toc4126"/>
      <w:r>
        <w:rPr>
          <w:rFonts w:hint="eastAsia"/>
          <w:lang w:val="en-US" w:eastAsia="zh-CN"/>
        </w:rPr>
        <w:t>研发成果</w:t>
      </w:r>
      <w:bookmarkEnd w:id="8"/>
    </w:p>
    <w:p w14:paraId="57908FEE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相应手册，全部按进度研发完成，如图2-1所示。</w:t>
      </w:r>
    </w:p>
    <w:p w14:paraId="785F9AF6">
      <w:pPr>
        <w:pStyle w:val="29"/>
        <w:bidi w:val="0"/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研发手册完成情况</w:t>
      </w:r>
    </w:p>
    <w:p w14:paraId="1CCF3C10">
      <w:pPr>
        <w:pStyle w:val="29"/>
        <w:bidi w:val="0"/>
      </w:pPr>
      <w:r>
        <w:drawing>
          <wp:inline distT="0" distB="0" distL="114300" distR="114300">
            <wp:extent cx="5273040" cy="1480820"/>
            <wp:effectExtent l="0" t="0" r="0" b="1270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494E">
      <w:pPr>
        <w:pStyle w:val="30"/>
        <w:bidi w:val="0"/>
        <w:rPr>
          <w:rFonts w:hint="default"/>
          <w:lang w:val="en-US" w:eastAsia="zh-CN"/>
        </w:rPr>
      </w:pPr>
      <w:bookmarkStart w:id="9" w:name="_Toc18180"/>
      <w:r>
        <w:rPr>
          <w:rFonts w:hint="eastAsia"/>
          <w:lang w:val="en-US" w:eastAsia="zh-CN"/>
        </w:rPr>
        <w:t>研发现状</w:t>
      </w:r>
      <w:bookmarkEnd w:id="9"/>
    </w:p>
    <w:p w14:paraId="23A410C9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研发进度正常，按计划开展后期工作</w:t>
      </w:r>
      <w:bookmarkStart w:id="12" w:name="_GoBack"/>
      <w:bookmarkEnd w:id="12"/>
      <w:r>
        <w:rPr>
          <w:rFonts w:hint="eastAsia"/>
          <w:lang w:val="en-US" w:eastAsia="zh-CN"/>
        </w:rPr>
        <w:t>。</w:t>
      </w:r>
    </w:p>
    <w:p w14:paraId="1E3CC9EA">
      <w:pPr>
        <w:pStyle w:val="28"/>
        <w:bidi w:val="0"/>
        <w:rPr>
          <w:rFonts w:hint="eastAsia"/>
          <w:lang w:val="en-US" w:eastAsia="zh-CN"/>
        </w:rPr>
      </w:pPr>
      <w:bookmarkStart w:id="10" w:name="_Toc7403"/>
      <w:r>
        <w:rPr>
          <w:rFonts w:hint="eastAsia"/>
          <w:lang w:val="en-US" w:eastAsia="zh-CN"/>
        </w:rPr>
        <w:t>研发经费使用情况</w:t>
      </w:r>
      <w:bookmarkEnd w:id="10"/>
    </w:p>
    <w:p w14:paraId="046B82E1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截止目前，研发经费使用情况，如表3-1所示：</w:t>
      </w:r>
    </w:p>
    <w:p w14:paraId="2C901499">
      <w:pPr>
        <w:spacing w:before="106"/>
        <w:jc w:val="center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研发经费使用情况</w:t>
      </w:r>
    </w:p>
    <w:tbl>
      <w:tblPr>
        <w:tblStyle w:val="26"/>
        <w:tblW w:w="644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2399"/>
        <w:gridCol w:w="1614"/>
        <w:gridCol w:w="1614"/>
      </w:tblGrid>
      <w:tr w14:paraId="21480C6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815" w:type="dxa"/>
            <w:shd w:val="clear" w:color="auto" w:fill="auto"/>
          </w:tcPr>
          <w:p w14:paraId="363A2BD7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2399" w:type="dxa"/>
            <w:shd w:val="clear" w:color="auto" w:fill="auto"/>
          </w:tcPr>
          <w:p w14:paraId="71B51092">
            <w:pPr>
              <w:spacing w:before="90" w:line="222" w:lineRule="auto"/>
              <w:ind w:left="552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投入项目</w:t>
            </w:r>
          </w:p>
        </w:tc>
        <w:tc>
          <w:tcPr>
            <w:tcW w:w="1614" w:type="dxa"/>
            <w:shd w:val="clear" w:color="auto" w:fill="auto"/>
          </w:tcPr>
          <w:p w14:paraId="45C46121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投入费用</w:t>
            </w:r>
          </w:p>
        </w:tc>
        <w:tc>
          <w:tcPr>
            <w:tcW w:w="1614" w:type="dxa"/>
            <w:shd w:val="clear" w:color="auto" w:fill="auto"/>
          </w:tcPr>
          <w:p w14:paraId="1A860A58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已使用</w:t>
            </w:r>
          </w:p>
        </w:tc>
      </w:tr>
      <w:tr w14:paraId="080DC1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338971FC">
            <w:pPr>
              <w:numPr>
                <w:ilvl w:val="0"/>
                <w:numId w:val="11"/>
              </w:numPr>
              <w:spacing w:before="89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7045BC95">
            <w:pPr>
              <w:spacing w:before="89" w:line="220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lang w:val="en-US" w:eastAsia="zh-CN"/>
              </w:rPr>
              <w:t>人员研发经费</w:t>
            </w:r>
          </w:p>
        </w:tc>
        <w:tc>
          <w:tcPr>
            <w:tcW w:w="1614" w:type="dxa"/>
          </w:tcPr>
          <w:p w14:paraId="7F22DCAA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21万</w:t>
            </w:r>
          </w:p>
        </w:tc>
        <w:tc>
          <w:tcPr>
            <w:tcW w:w="1614" w:type="dxa"/>
          </w:tcPr>
          <w:p w14:paraId="0A581729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17.2万</w:t>
            </w:r>
          </w:p>
        </w:tc>
      </w:tr>
      <w:tr w14:paraId="7A27D8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3DDE5ABA">
            <w:pPr>
              <w:numPr>
                <w:ilvl w:val="0"/>
                <w:numId w:val="11"/>
              </w:numPr>
              <w:spacing w:before="90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341E09C8">
            <w:pPr>
              <w:spacing w:before="91" w:line="220" w:lineRule="auto"/>
              <w:ind w:left="11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硬件设备经费</w:t>
            </w:r>
          </w:p>
        </w:tc>
        <w:tc>
          <w:tcPr>
            <w:tcW w:w="1614" w:type="dxa"/>
          </w:tcPr>
          <w:p w14:paraId="64433C07">
            <w:pPr>
              <w:spacing w:before="91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4万</w:t>
            </w:r>
          </w:p>
        </w:tc>
        <w:tc>
          <w:tcPr>
            <w:tcW w:w="1614" w:type="dxa"/>
          </w:tcPr>
          <w:p w14:paraId="5E424DD1">
            <w:pPr>
              <w:spacing w:before="91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4万</w:t>
            </w:r>
          </w:p>
        </w:tc>
      </w:tr>
      <w:tr w14:paraId="7A15DC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815" w:type="dxa"/>
          </w:tcPr>
          <w:p w14:paraId="4A52ED1E">
            <w:pPr>
              <w:numPr>
                <w:ilvl w:val="0"/>
                <w:numId w:val="11"/>
              </w:numPr>
              <w:spacing w:before="99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2638A54E">
            <w:pPr>
              <w:spacing w:before="100" w:line="219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手册研发经费</w:t>
            </w:r>
          </w:p>
        </w:tc>
        <w:tc>
          <w:tcPr>
            <w:tcW w:w="1614" w:type="dxa"/>
          </w:tcPr>
          <w:p w14:paraId="1B5D06C3">
            <w:pPr>
              <w:spacing w:before="10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2万</w:t>
            </w:r>
          </w:p>
        </w:tc>
        <w:tc>
          <w:tcPr>
            <w:tcW w:w="1614" w:type="dxa"/>
          </w:tcPr>
          <w:p w14:paraId="4D16B7D2">
            <w:pPr>
              <w:spacing w:before="10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2万</w:t>
            </w:r>
          </w:p>
        </w:tc>
      </w:tr>
    </w:tbl>
    <w:p w14:paraId="68493408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截止目前，研发人员使用经费17.2万元，硬件设备使用经费4万元，手册研发2万元，总计使用23.2万元，经费使用合理。</w:t>
      </w:r>
    </w:p>
    <w:p w14:paraId="3DCB5495">
      <w:pPr>
        <w:pStyle w:val="28"/>
        <w:bidi w:val="0"/>
        <w:rPr>
          <w:rFonts w:hint="default"/>
          <w:lang w:val="en-US" w:eastAsia="zh-CN"/>
        </w:rPr>
      </w:pPr>
      <w:bookmarkStart w:id="11" w:name="_Toc29020"/>
      <w:r>
        <w:rPr>
          <w:rFonts w:hint="eastAsia"/>
          <w:lang w:val="en-US" w:eastAsia="zh-CN"/>
        </w:rPr>
        <w:t>新技术展望</w:t>
      </w:r>
      <w:bookmarkEnd w:id="11"/>
    </w:p>
    <w:p w14:paraId="5E54E81E">
      <w:pPr>
        <w:pStyle w:val="29"/>
        <w:bidi w:val="0"/>
        <w:rPr>
          <w:rFonts w:hint="default"/>
          <w:lang w:val="en-US" w:eastAsia="zh-CN"/>
        </w:rPr>
      </w:pPr>
      <w:r>
        <w:t>通过</w:t>
      </w:r>
      <w:r>
        <w:rPr>
          <w:rFonts w:hint="eastAsia"/>
          <w:lang w:val="en-US" w:eastAsia="zh-CN"/>
        </w:rPr>
        <w:t>组织</w:t>
      </w:r>
      <w:r>
        <w:t>系统性学习与工程实践，通过Spring AI构建的多模态智能中枢实现了告警事件的语义解析与根因推理。团队基于Java 21虚拟线程重构事件处理流水线，采用LangChain4J构建运维知识图谱的向量化检索模块，通过RAG技术将历史故障库、CMDB拓扑关系及运维手册注入LLM上下文。利用Apache Flink实现实时指标流与日志事件的关联分析，借助GraalVM Native Image将诊断引擎编译为毫秒级响应的原生镜像，最终实现Level-1/2事件自动处置率提升至85%，平均故障定位时间（MTTR）缩短62%。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7151EC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55F90"/>
    <w:multiLevelType w:val="singleLevel"/>
    <w:tmpl w:val="8AC55F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BD1F4BC"/>
    <w:multiLevelType w:val="singleLevel"/>
    <w:tmpl w:val="8BD1F4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C91E336"/>
    <w:multiLevelType w:val="singleLevel"/>
    <w:tmpl w:val="8C91E3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E45434A0"/>
    <w:multiLevelType w:val="singleLevel"/>
    <w:tmpl w:val="E45434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4C4C4CB"/>
    <w:multiLevelType w:val="singleLevel"/>
    <w:tmpl w:val="E4C4C4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1F24204"/>
    <w:multiLevelType w:val="singleLevel"/>
    <w:tmpl w:val="F1F242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3EBFA7E"/>
    <w:multiLevelType w:val="singleLevel"/>
    <w:tmpl w:val="F3EBFA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4E7994DE"/>
    <w:multiLevelType w:val="singleLevel"/>
    <w:tmpl w:val="4E7994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6A28AFB9"/>
    <w:multiLevelType w:val="singleLevel"/>
    <w:tmpl w:val="6A28AF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6B557B81"/>
    <w:multiLevelType w:val="singleLevel"/>
    <w:tmpl w:val="6B557B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0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D5D6B7F"/>
    <w:rsid w:val="0F3D3F7D"/>
    <w:rsid w:val="13790111"/>
    <w:rsid w:val="14E610E5"/>
    <w:rsid w:val="14F04523"/>
    <w:rsid w:val="1BC05D1A"/>
    <w:rsid w:val="21AB121A"/>
    <w:rsid w:val="2F7610B9"/>
    <w:rsid w:val="2F833C5E"/>
    <w:rsid w:val="3B955E55"/>
    <w:rsid w:val="446D3B9C"/>
    <w:rsid w:val="461B1C1B"/>
    <w:rsid w:val="486E697A"/>
    <w:rsid w:val="501D2750"/>
    <w:rsid w:val="527C6137"/>
    <w:rsid w:val="548E5CAE"/>
    <w:rsid w:val="61120392"/>
    <w:rsid w:val="615564D1"/>
    <w:rsid w:val="65FA31A3"/>
    <w:rsid w:val="69F04FE9"/>
    <w:rsid w:val="7997162C"/>
    <w:rsid w:val="79DD66D7"/>
    <w:rsid w:val="7A3C1B84"/>
    <w:rsid w:val="7F21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1371</Words>
  <Characters>1666</Characters>
  <Lines>0</Lines>
  <Paragraphs>0</Paragraphs>
  <TotalTime>1</TotalTime>
  <ScaleCrop>false</ScaleCrop>
  <LinksUpToDate>false</LinksUpToDate>
  <CharactersWithSpaces>1747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2025-09-18T11:21:23Z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