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26000"/>
      <w:bookmarkStart w:id="1" w:name="_Toc30678"/>
      <w:r>
        <w:rPr>
          <w:rFonts w:hint="eastAsia"/>
          <w:lang w:val="en-US" w:eastAsia="zh-CN"/>
        </w:rPr>
        <w:t>万洲奇智（青岛）信息科技有限</w:t>
      </w:r>
      <w:r>
        <w:t>公司</w:t>
      </w:r>
      <w:bookmarkEnd w:id="0"/>
      <w:bookmarkEnd w:id="1"/>
    </w:p>
    <w:p w14:paraId="3D74D20A">
      <w:pPr>
        <w:pStyle w:val="25"/>
        <w:bidi w:val="0"/>
        <w:rPr>
          <w:rFonts w:hint="default"/>
          <w:lang w:val="en-US"/>
        </w:rPr>
      </w:pPr>
      <w:bookmarkStart w:id="2" w:name="_Toc25751"/>
      <w:bookmarkStart w:id="3" w:name="_Toc32044"/>
      <w:r>
        <w:rPr>
          <w:rFonts w:hint="eastAsia"/>
          <w:lang w:val="en-US" w:eastAsia="zh-CN"/>
        </w:rPr>
        <w:t>运维工具管理制度</w:t>
      </w:r>
      <w:bookmarkEnd w:id="2"/>
      <w:bookmarkEnd w:id="3"/>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8875461">
      <w:r>
        <w:br w:type="page"/>
      </w:r>
    </w:p>
    <w:sdt>
      <w:sdtPr>
        <w:rPr>
          <w:rFonts w:ascii="宋体" w:hAnsi="宋体" w:eastAsia="宋体" w:cs="Arial"/>
          <w:snapToGrid w:val="0"/>
          <w:color w:val="000000"/>
          <w:kern w:val="0"/>
          <w:sz w:val="21"/>
          <w:szCs w:val="21"/>
          <w:lang w:val="en-US" w:eastAsia="en-US" w:bidi="ar-SA"/>
        </w:rPr>
        <w:id w:val="147467159"/>
        <w15:color w:val="DBDBDB"/>
        <w:docPartObj>
          <w:docPartGallery w:val="Table of Contents"/>
          <w:docPartUnique/>
        </w:docPartObj>
      </w:sdtPr>
      <w:sdtEndPr>
        <w:rPr>
          <w:rFonts w:ascii="宋体" w:hAnsi="宋体" w:eastAsia="宋体" w:cs="Arial"/>
          <w:snapToGrid w:val="0"/>
          <w:color w:val="000000"/>
          <w:kern w:val="0"/>
          <w:sz w:val="21"/>
          <w:szCs w:val="21"/>
          <w:lang w:val="en-US" w:eastAsia="en-US" w:bidi="ar-SA"/>
        </w:rPr>
      </w:sdtEndPr>
      <w:sdtContent>
        <w:p w14:paraId="42E1E719">
          <w:pPr>
            <w:spacing w:before="0" w:beforeLines="0" w:after="0" w:afterLines="0" w:line="240" w:lineRule="auto"/>
            <w:ind w:left="0" w:leftChars="0" w:right="0" w:rightChars="0" w:firstLine="0" w:firstLineChars="0"/>
            <w:jc w:val="center"/>
          </w:pPr>
          <w:r>
            <w:rPr>
              <w:rFonts w:ascii="宋体" w:hAnsi="宋体" w:eastAsia="宋体"/>
              <w:sz w:val="21"/>
            </w:rPr>
            <w:t>目录</w:t>
          </w:r>
        </w:p>
        <w:p w14:paraId="0EA0FBB6">
          <w:pPr>
            <w:pStyle w:val="16"/>
            <w:tabs>
              <w:tab w:val="right" w:leader="dot" w:pos="8306"/>
            </w:tabs>
          </w:pPr>
          <w:r>
            <w:fldChar w:fldCharType="begin"/>
          </w:r>
          <w:r>
            <w:instrText xml:space="preserve">TOC \o "1-3" \h \u </w:instrText>
          </w:r>
          <w:r>
            <w:fldChar w:fldCharType="separate"/>
          </w:r>
          <w:r>
            <w:fldChar w:fldCharType="begin"/>
          </w:r>
          <w:r>
            <w:instrText xml:space="preserve"> HYPERLINK \l _Toc30678 </w:instrText>
          </w:r>
          <w:r>
            <w:fldChar w:fldCharType="separate"/>
          </w:r>
          <w:r>
            <w:rPr>
              <w:rFonts w:hint="eastAsia"/>
              <w:lang w:val="en-US" w:eastAsia="zh-CN"/>
            </w:rPr>
            <w:t>万洲奇智（青岛）信息科技有限</w:t>
          </w:r>
          <w:r>
            <w:t>公司</w:t>
          </w:r>
          <w:r>
            <w:tab/>
          </w:r>
          <w:r>
            <w:fldChar w:fldCharType="begin"/>
          </w:r>
          <w:r>
            <w:instrText xml:space="preserve"> PAGEREF _Toc30678 \h </w:instrText>
          </w:r>
          <w:r>
            <w:fldChar w:fldCharType="separate"/>
          </w:r>
          <w:r>
            <w:t>1</w:t>
          </w:r>
          <w:r>
            <w:fldChar w:fldCharType="end"/>
          </w:r>
          <w:r>
            <w:fldChar w:fldCharType="end"/>
          </w:r>
        </w:p>
        <w:p w14:paraId="0A1AAB2C">
          <w:pPr>
            <w:pStyle w:val="16"/>
            <w:tabs>
              <w:tab w:val="right" w:leader="dot" w:pos="8306"/>
            </w:tabs>
          </w:pPr>
          <w:r>
            <w:fldChar w:fldCharType="begin"/>
          </w:r>
          <w:r>
            <w:instrText xml:space="preserve"> HYPERLINK \l _Toc32044 </w:instrText>
          </w:r>
          <w:r>
            <w:fldChar w:fldCharType="separate"/>
          </w:r>
          <w:r>
            <w:rPr>
              <w:rFonts w:hint="eastAsia"/>
              <w:lang w:val="en-US" w:eastAsia="zh-CN"/>
            </w:rPr>
            <w:t>运维工具管理制度</w:t>
          </w:r>
          <w:r>
            <w:tab/>
          </w:r>
          <w:r>
            <w:fldChar w:fldCharType="begin"/>
          </w:r>
          <w:r>
            <w:instrText xml:space="preserve"> PAGEREF _Toc32044 \h </w:instrText>
          </w:r>
          <w:r>
            <w:fldChar w:fldCharType="separate"/>
          </w:r>
          <w:r>
            <w:t>1</w:t>
          </w:r>
          <w:r>
            <w:fldChar w:fldCharType="end"/>
          </w:r>
          <w:r>
            <w:fldChar w:fldCharType="end"/>
          </w:r>
        </w:p>
        <w:p w14:paraId="292B9354">
          <w:pPr>
            <w:pStyle w:val="16"/>
            <w:tabs>
              <w:tab w:val="right" w:leader="dot" w:pos="8306"/>
            </w:tabs>
          </w:pPr>
          <w:r>
            <w:fldChar w:fldCharType="begin"/>
          </w:r>
          <w:r>
            <w:instrText xml:space="preserve"> HYPERLINK \l _Toc19244 </w:instrText>
          </w:r>
          <w:r>
            <w:fldChar w:fldCharType="separate"/>
          </w:r>
          <w:r>
            <w:rPr>
              <w:rFonts w:hint="default"/>
            </w:rPr>
            <w:t xml:space="preserve">1. </w:t>
          </w:r>
          <w:r>
            <w:t>目的</w:t>
          </w:r>
          <w:r>
            <w:tab/>
          </w:r>
          <w:r>
            <w:fldChar w:fldCharType="begin"/>
          </w:r>
          <w:r>
            <w:instrText xml:space="preserve"> PAGEREF _Toc19244 \h </w:instrText>
          </w:r>
          <w:r>
            <w:fldChar w:fldCharType="separate"/>
          </w:r>
          <w:r>
            <w:t>4</w:t>
          </w:r>
          <w:r>
            <w:fldChar w:fldCharType="end"/>
          </w:r>
          <w:r>
            <w:fldChar w:fldCharType="end"/>
          </w:r>
        </w:p>
        <w:p w14:paraId="26DAF744">
          <w:pPr>
            <w:pStyle w:val="16"/>
            <w:tabs>
              <w:tab w:val="right" w:leader="dot" w:pos="8306"/>
            </w:tabs>
          </w:pPr>
          <w:r>
            <w:fldChar w:fldCharType="begin"/>
          </w:r>
          <w:r>
            <w:instrText xml:space="preserve"> HYPERLINK \l _Toc10901 </w:instrText>
          </w:r>
          <w: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_Toc10901 \h </w:instrText>
          </w:r>
          <w:r>
            <w:fldChar w:fldCharType="separate"/>
          </w:r>
          <w:r>
            <w:t>4</w:t>
          </w:r>
          <w:r>
            <w:fldChar w:fldCharType="end"/>
          </w:r>
          <w:r>
            <w:fldChar w:fldCharType="end"/>
          </w:r>
        </w:p>
        <w:p w14:paraId="61C9DEC1">
          <w:pPr>
            <w:pStyle w:val="16"/>
            <w:tabs>
              <w:tab w:val="right" w:leader="dot" w:pos="8306"/>
            </w:tabs>
          </w:pPr>
          <w:r>
            <w:fldChar w:fldCharType="begin"/>
          </w:r>
          <w:r>
            <w:instrText xml:space="preserve"> HYPERLINK \l _Toc17868 </w:instrText>
          </w:r>
          <w:r>
            <w:fldChar w:fldCharType="separate"/>
          </w:r>
          <w:r>
            <w:rPr>
              <w:rFonts w:hint="default"/>
            </w:rPr>
            <w:t xml:space="preserve">3. </w:t>
          </w:r>
          <w:r>
            <w:rPr>
              <w:rFonts w:hint="eastAsia"/>
              <w:lang w:val="en-US" w:eastAsia="zh-CN"/>
            </w:rPr>
            <w:t>适用</w:t>
          </w:r>
          <w:r>
            <w:t>范围</w:t>
          </w:r>
          <w:r>
            <w:tab/>
          </w:r>
          <w:r>
            <w:fldChar w:fldCharType="begin"/>
          </w:r>
          <w:r>
            <w:instrText xml:space="preserve"> PAGEREF _Toc17868 \h </w:instrText>
          </w:r>
          <w:r>
            <w:fldChar w:fldCharType="separate"/>
          </w:r>
          <w:r>
            <w:t>4</w:t>
          </w:r>
          <w:r>
            <w:fldChar w:fldCharType="end"/>
          </w:r>
          <w:r>
            <w:fldChar w:fldCharType="end"/>
          </w:r>
        </w:p>
        <w:p w14:paraId="222BC269">
          <w:pPr>
            <w:pStyle w:val="16"/>
            <w:tabs>
              <w:tab w:val="right" w:leader="dot" w:pos="8306"/>
            </w:tabs>
          </w:pPr>
          <w:r>
            <w:fldChar w:fldCharType="begin"/>
          </w:r>
          <w:r>
            <w:instrText xml:space="preserve"> HYPERLINK \l _Toc18111 </w:instrText>
          </w:r>
          <w: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_Toc18111 \h </w:instrText>
          </w:r>
          <w:r>
            <w:fldChar w:fldCharType="separate"/>
          </w:r>
          <w:r>
            <w:t>4</w:t>
          </w:r>
          <w:r>
            <w:fldChar w:fldCharType="end"/>
          </w:r>
          <w:r>
            <w:fldChar w:fldCharType="end"/>
          </w:r>
        </w:p>
        <w:p w14:paraId="3578C01C">
          <w:pPr>
            <w:pStyle w:val="17"/>
            <w:tabs>
              <w:tab w:val="right" w:leader="dot" w:pos="8306"/>
            </w:tabs>
          </w:pPr>
          <w:r>
            <w:fldChar w:fldCharType="begin"/>
          </w:r>
          <w:r>
            <w:instrText xml:space="preserve"> HYPERLINK \l _Toc3921 </w:instrText>
          </w:r>
          <w:r>
            <w:fldChar w:fldCharType="separate"/>
          </w:r>
          <w:r>
            <w:rPr>
              <w:rFonts w:hint="default"/>
              <w:lang w:val="en-US" w:eastAsia="zh-CN"/>
            </w:rPr>
            <w:t xml:space="preserve">4.1. </w:t>
          </w:r>
          <w:r>
            <w:rPr>
              <w:rFonts w:hint="eastAsia"/>
              <w:lang w:val="en-US" w:eastAsia="zh-CN"/>
            </w:rPr>
            <w:t>研发部</w:t>
          </w:r>
          <w:r>
            <w:tab/>
          </w:r>
          <w:r>
            <w:fldChar w:fldCharType="begin"/>
          </w:r>
          <w:r>
            <w:instrText xml:space="preserve"> PAGEREF _Toc3921 \h </w:instrText>
          </w:r>
          <w:r>
            <w:fldChar w:fldCharType="separate"/>
          </w:r>
          <w:r>
            <w:t>4</w:t>
          </w:r>
          <w:r>
            <w:fldChar w:fldCharType="end"/>
          </w:r>
          <w:r>
            <w:fldChar w:fldCharType="end"/>
          </w:r>
        </w:p>
        <w:p w14:paraId="09ABAFAF">
          <w:pPr>
            <w:pStyle w:val="17"/>
            <w:tabs>
              <w:tab w:val="right" w:leader="dot" w:pos="8306"/>
            </w:tabs>
          </w:pPr>
          <w:r>
            <w:fldChar w:fldCharType="begin"/>
          </w:r>
          <w:r>
            <w:instrText xml:space="preserve"> HYPERLINK \l _Toc18889 </w:instrText>
          </w:r>
          <w:r>
            <w:fldChar w:fldCharType="separate"/>
          </w:r>
          <w:r>
            <w:rPr>
              <w:rFonts w:hint="default"/>
            </w:rPr>
            <w:t xml:space="preserve">4.2. </w:t>
          </w:r>
          <w:r>
            <w:t>运维部</w:t>
          </w:r>
          <w:r>
            <w:tab/>
          </w:r>
          <w:r>
            <w:fldChar w:fldCharType="begin"/>
          </w:r>
          <w:r>
            <w:instrText xml:space="preserve"> PAGEREF _Toc18889 \h </w:instrText>
          </w:r>
          <w:r>
            <w:fldChar w:fldCharType="separate"/>
          </w:r>
          <w:r>
            <w:t>4</w:t>
          </w:r>
          <w:r>
            <w:fldChar w:fldCharType="end"/>
          </w:r>
          <w:r>
            <w:fldChar w:fldCharType="end"/>
          </w:r>
        </w:p>
        <w:p w14:paraId="48C65A07">
          <w:pPr>
            <w:pStyle w:val="16"/>
            <w:tabs>
              <w:tab w:val="right" w:leader="dot" w:pos="8306"/>
            </w:tabs>
          </w:pPr>
          <w:r>
            <w:fldChar w:fldCharType="begin"/>
          </w:r>
          <w:r>
            <w:instrText xml:space="preserve"> HYPERLINK \l _Toc14980 </w:instrText>
          </w:r>
          <w:r>
            <w:fldChar w:fldCharType="separate"/>
          </w:r>
          <w:r>
            <w:rPr>
              <w:rFonts w:hint="default" w:eastAsia="宋体"/>
              <w:lang w:val="en-US" w:eastAsia="zh-CN"/>
            </w:rPr>
            <w:t xml:space="preserve">5. </w:t>
          </w:r>
          <w:r>
            <w:rPr>
              <w:rFonts w:hint="eastAsia"/>
              <w:lang w:val="en-US" w:eastAsia="zh-CN"/>
            </w:rPr>
            <w:t>运维工具管理流程</w:t>
          </w:r>
          <w:r>
            <w:tab/>
          </w:r>
          <w:r>
            <w:fldChar w:fldCharType="begin"/>
          </w:r>
          <w:r>
            <w:instrText xml:space="preserve"> PAGEREF _Toc14980 \h </w:instrText>
          </w:r>
          <w:r>
            <w:fldChar w:fldCharType="separate"/>
          </w:r>
          <w:r>
            <w:t>4</w:t>
          </w:r>
          <w:r>
            <w:fldChar w:fldCharType="end"/>
          </w:r>
          <w:r>
            <w:fldChar w:fldCharType="end"/>
          </w:r>
        </w:p>
        <w:p w14:paraId="382BA900">
          <w:pPr>
            <w:pStyle w:val="17"/>
            <w:tabs>
              <w:tab w:val="right" w:leader="dot" w:pos="8306"/>
            </w:tabs>
          </w:pPr>
          <w:r>
            <w:fldChar w:fldCharType="begin"/>
          </w:r>
          <w:r>
            <w:instrText xml:space="preserve"> HYPERLINK \l _Toc12767 </w:instrText>
          </w:r>
          <w:r>
            <w:fldChar w:fldCharType="separate"/>
          </w:r>
          <w:r>
            <w:rPr>
              <w:rFonts w:hint="default"/>
              <w:lang w:val="en-US" w:eastAsia="zh-CN"/>
            </w:rPr>
            <w:t xml:space="preserve">5.1. </w:t>
          </w:r>
          <w:r>
            <w:rPr>
              <w:rFonts w:hint="eastAsia"/>
              <w:lang w:val="en-US" w:eastAsia="zh-CN"/>
            </w:rPr>
            <w:t>工具需求识别</w:t>
          </w:r>
          <w:r>
            <w:tab/>
          </w:r>
          <w:r>
            <w:fldChar w:fldCharType="begin"/>
          </w:r>
          <w:r>
            <w:instrText xml:space="preserve"> PAGEREF _Toc12767 \h </w:instrText>
          </w:r>
          <w:r>
            <w:fldChar w:fldCharType="separate"/>
          </w:r>
          <w:r>
            <w:t>5</w:t>
          </w:r>
          <w:r>
            <w:fldChar w:fldCharType="end"/>
          </w:r>
          <w:r>
            <w:fldChar w:fldCharType="end"/>
          </w:r>
        </w:p>
        <w:p w14:paraId="1DBF44B3">
          <w:pPr>
            <w:pStyle w:val="17"/>
            <w:tabs>
              <w:tab w:val="right" w:leader="dot" w:pos="8306"/>
            </w:tabs>
          </w:pPr>
          <w:r>
            <w:fldChar w:fldCharType="begin"/>
          </w:r>
          <w:r>
            <w:instrText xml:space="preserve"> HYPERLINK \l _Toc12636 </w:instrText>
          </w:r>
          <w:r>
            <w:fldChar w:fldCharType="separate"/>
          </w:r>
          <w:r>
            <w:rPr>
              <w:rFonts w:hint="default"/>
              <w:lang w:val="en-US" w:eastAsia="zh-CN"/>
            </w:rPr>
            <w:t xml:space="preserve">5.2. </w:t>
          </w:r>
          <w:r>
            <w:rPr>
              <w:rFonts w:hint="eastAsia"/>
              <w:lang w:val="en-US" w:eastAsia="zh-CN"/>
            </w:rPr>
            <w:t>工具研发（或采购）</w:t>
          </w:r>
          <w:r>
            <w:tab/>
          </w:r>
          <w:r>
            <w:fldChar w:fldCharType="begin"/>
          </w:r>
          <w:r>
            <w:instrText xml:space="preserve"> PAGEREF _Toc12636 \h </w:instrText>
          </w:r>
          <w:r>
            <w:fldChar w:fldCharType="separate"/>
          </w:r>
          <w:r>
            <w:t>5</w:t>
          </w:r>
          <w:r>
            <w:fldChar w:fldCharType="end"/>
          </w:r>
          <w:r>
            <w:fldChar w:fldCharType="end"/>
          </w:r>
        </w:p>
        <w:p w14:paraId="1F3AE156">
          <w:pPr>
            <w:pStyle w:val="17"/>
            <w:tabs>
              <w:tab w:val="right" w:leader="dot" w:pos="8306"/>
            </w:tabs>
          </w:pPr>
          <w:r>
            <w:fldChar w:fldCharType="begin"/>
          </w:r>
          <w:r>
            <w:instrText xml:space="preserve"> HYPERLINK \l _Toc31654 </w:instrText>
          </w:r>
          <w:r>
            <w:fldChar w:fldCharType="separate"/>
          </w:r>
          <w:r>
            <w:rPr>
              <w:rFonts w:hint="default"/>
              <w:lang w:val="en-US" w:eastAsia="zh-CN"/>
            </w:rPr>
            <w:t xml:space="preserve">5.3. </w:t>
          </w:r>
          <w:r>
            <w:rPr>
              <w:rFonts w:hint="eastAsia"/>
              <w:lang w:val="en-US" w:eastAsia="zh-CN"/>
            </w:rPr>
            <w:t>工具推广使用</w:t>
          </w:r>
          <w:r>
            <w:tab/>
          </w:r>
          <w:r>
            <w:fldChar w:fldCharType="begin"/>
          </w:r>
          <w:r>
            <w:instrText xml:space="preserve"> PAGEREF _Toc31654 \h </w:instrText>
          </w:r>
          <w:r>
            <w:fldChar w:fldCharType="separate"/>
          </w:r>
          <w:r>
            <w:t>5</w:t>
          </w:r>
          <w:r>
            <w:fldChar w:fldCharType="end"/>
          </w:r>
          <w:r>
            <w:fldChar w:fldCharType="end"/>
          </w:r>
        </w:p>
        <w:p w14:paraId="65D7A635">
          <w:pPr>
            <w:pStyle w:val="17"/>
            <w:tabs>
              <w:tab w:val="right" w:leader="dot" w:pos="8306"/>
            </w:tabs>
          </w:pPr>
          <w:r>
            <w:fldChar w:fldCharType="begin"/>
          </w:r>
          <w:r>
            <w:instrText xml:space="preserve"> HYPERLINK \l _Toc5684 </w:instrText>
          </w:r>
          <w:r>
            <w:fldChar w:fldCharType="separate"/>
          </w:r>
          <w:r>
            <w:rPr>
              <w:rFonts w:hint="default"/>
              <w:lang w:val="en-US" w:eastAsia="zh-CN"/>
            </w:rPr>
            <w:t xml:space="preserve">5.4. </w:t>
          </w:r>
          <w:r>
            <w:rPr>
              <w:rFonts w:hint="eastAsia"/>
              <w:lang w:val="en-US" w:eastAsia="zh-CN"/>
            </w:rPr>
            <w:t>工具评估改进</w:t>
          </w:r>
          <w:r>
            <w:tab/>
          </w:r>
          <w:r>
            <w:fldChar w:fldCharType="begin"/>
          </w:r>
          <w:r>
            <w:instrText xml:space="preserve"> PAGEREF _Toc5684 \h </w:instrText>
          </w:r>
          <w:r>
            <w:fldChar w:fldCharType="separate"/>
          </w:r>
          <w:r>
            <w:t>5</w:t>
          </w:r>
          <w:r>
            <w:fldChar w:fldCharType="end"/>
          </w:r>
          <w:r>
            <w:fldChar w:fldCharType="end"/>
          </w:r>
        </w:p>
        <w:p w14:paraId="256D6FA8">
          <w:pPr>
            <w:pStyle w:val="16"/>
            <w:tabs>
              <w:tab w:val="right" w:leader="dot" w:pos="8306"/>
            </w:tabs>
          </w:pPr>
          <w:r>
            <w:fldChar w:fldCharType="begin"/>
          </w:r>
          <w:r>
            <w:instrText xml:space="preserve"> HYPERLINK \l _Toc7988 </w:instrText>
          </w:r>
          <w:r>
            <w:fldChar w:fldCharType="separate"/>
          </w:r>
          <w:r>
            <w:rPr>
              <w:rFonts w:hint="default"/>
              <w:lang w:val="en-US" w:eastAsia="zh-CN"/>
            </w:rPr>
            <w:t xml:space="preserve">6. </w:t>
          </w:r>
          <w:r>
            <w:rPr>
              <w:rFonts w:hint="eastAsia"/>
              <w:lang w:val="en-US" w:eastAsia="zh-CN"/>
            </w:rPr>
            <w:t>考核指标</w:t>
          </w:r>
          <w:r>
            <w:tab/>
          </w:r>
          <w:r>
            <w:fldChar w:fldCharType="begin"/>
          </w:r>
          <w:r>
            <w:instrText xml:space="preserve"> PAGEREF _Toc7988 \h </w:instrText>
          </w:r>
          <w:r>
            <w:fldChar w:fldCharType="separate"/>
          </w:r>
          <w:r>
            <w:t>6</w:t>
          </w:r>
          <w:r>
            <w:fldChar w:fldCharType="end"/>
          </w:r>
          <w:r>
            <w:fldChar w:fldCharType="end"/>
          </w:r>
        </w:p>
        <w:p w14:paraId="66AC68FA">
          <w:pPr>
            <w:pStyle w:val="16"/>
            <w:tabs>
              <w:tab w:val="right" w:leader="dot" w:pos="8306"/>
            </w:tabs>
          </w:pPr>
          <w:r>
            <w:fldChar w:fldCharType="begin"/>
          </w:r>
          <w:r>
            <w:instrText xml:space="preserve"> HYPERLINK \l _Toc27493 </w:instrText>
          </w:r>
          <w:r>
            <w:fldChar w:fldCharType="separate"/>
          </w:r>
          <w:r>
            <w:rPr>
              <w:rFonts w:hint="default"/>
              <w:lang w:val="en-US" w:eastAsia="zh-CN"/>
            </w:rPr>
            <w:t xml:space="preserve">7. </w:t>
          </w:r>
          <w:r>
            <w:rPr>
              <w:rFonts w:hint="eastAsia"/>
              <w:lang w:val="en-US" w:eastAsia="zh-CN"/>
            </w:rPr>
            <w:t>附则</w:t>
          </w:r>
          <w:r>
            <w:tab/>
          </w:r>
          <w:r>
            <w:fldChar w:fldCharType="begin"/>
          </w:r>
          <w:r>
            <w:instrText xml:space="preserve"> PAGEREF _Toc27493 \h </w:instrText>
          </w:r>
          <w:r>
            <w:fldChar w:fldCharType="separate"/>
          </w:r>
          <w:r>
            <w:t>6</w:t>
          </w:r>
          <w:r>
            <w:fldChar w:fldCharType="end"/>
          </w:r>
          <w:r>
            <w:fldChar w:fldCharType="end"/>
          </w:r>
        </w:p>
        <w:p w14:paraId="6FDF7DDE">
          <w:pPr>
            <w:pStyle w:val="16"/>
            <w:tabs>
              <w:tab w:val="right" w:leader="dot" w:pos="8306"/>
            </w:tabs>
          </w:pPr>
          <w:r>
            <w:fldChar w:fldCharType="begin"/>
          </w:r>
          <w:r>
            <w:instrText xml:space="preserve"> HYPERLINK \l _Toc15794 </w:instrText>
          </w:r>
          <w:r>
            <w:fldChar w:fldCharType="separate"/>
          </w:r>
          <w:r>
            <w:rPr>
              <w:rFonts w:hint="default"/>
              <w:lang w:val="en-US" w:eastAsia="zh-CN"/>
            </w:rPr>
            <w:t xml:space="preserve">8. </w:t>
          </w:r>
          <w:r>
            <w:rPr>
              <w:rFonts w:hint="eastAsia"/>
              <w:lang w:val="en-US" w:eastAsia="zh-CN"/>
            </w:rPr>
            <w:t>附件</w:t>
          </w:r>
          <w:r>
            <w:tab/>
          </w:r>
          <w:r>
            <w:fldChar w:fldCharType="begin"/>
          </w:r>
          <w:r>
            <w:instrText xml:space="preserve"> PAGEREF _Toc15794 \h </w:instrText>
          </w:r>
          <w:r>
            <w:fldChar w:fldCharType="separate"/>
          </w:r>
          <w:r>
            <w:t>6</w:t>
          </w:r>
          <w:r>
            <w:fldChar w:fldCharType="end"/>
          </w:r>
          <w:r>
            <w:fldChar w:fldCharType="end"/>
          </w:r>
        </w:p>
        <w:p w14:paraId="59122BE5">
          <w:pPr>
            <w:pStyle w:val="16"/>
            <w:tabs>
              <w:tab w:val="right" w:leader="dot" w:pos="8306"/>
            </w:tabs>
          </w:pPr>
          <w:r>
            <w:fldChar w:fldCharType="begin"/>
          </w:r>
          <w:r>
            <w:instrText xml:space="preserve"> HYPERLINK \l _Toc7389 </w:instrText>
          </w:r>
          <w:r>
            <w:fldChar w:fldCharType="separate"/>
          </w:r>
          <w:r>
            <w:rPr>
              <w:rFonts w:hint="default"/>
              <w:lang w:val="en-US" w:eastAsia="zh-CN"/>
            </w:rPr>
            <w:t xml:space="preserve">9. </w:t>
          </w:r>
          <w:r>
            <w:rPr>
              <w:rFonts w:hint="eastAsia"/>
              <w:lang w:val="en-US" w:eastAsia="zh-CN"/>
            </w:rPr>
            <w:t>记录</w:t>
          </w:r>
          <w:r>
            <w:tab/>
          </w:r>
          <w:r>
            <w:fldChar w:fldCharType="begin"/>
          </w:r>
          <w:r>
            <w:instrText xml:space="preserve"> PAGEREF _Toc7389 \h </w:instrText>
          </w:r>
          <w:r>
            <w:fldChar w:fldCharType="separate"/>
          </w:r>
          <w:r>
            <w:t>6</w:t>
          </w:r>
          <w:r>
            <w:fldChar w:fldCharType="end"/>
          </w:r>
          <w:r>
            <w:fldChar w:fldCharType="end"/>
          </w:r>
        </w:p>
        <w:p w14:paraId="2E589D8F">
          <w:r>
            <w:fldChar w:fldCharType="end"/>
          </w:r>
        </w:p>
      </w:sdtContent>
    </w:sdt>
    <w:p w14:paraId="64976A67"/>
    <w:p w14:paraId="757D1BA6">
      <w:r>
        <w:br w:type="page"/>
      </w:r>
    </w:p>
    <w:p w14:paraId="7C1D896E"/>
    <w:p w14:paraId="191B6498">
      <w:pPr>
        <w:pStyle w:val="28"/>
        <w:bidi w:val="0"/>
      </w:pPr>
      <w:bookmarkStart w:id="4" w:name="_Toc28077"/>
      <w:bookmarkStart w:id="5" w:name="_Toc19244"/>
      <w:r>
        <w:t>目的</w:t>
      </w:r>
      <w:bookmarkEnd w:id="4"/>
      <w:bookmarkEnd w:id="5"/>
    </w:p>
    <w:p w14:paraId="4CD7AC26">
      <w:pPr>
        <w:spacing w:before="264" w:line="362" w:lineRule="auto"/>
        <w:ind w:left="23" w:right="213" w:firstLine="360"/>
        <w:rPr>
          <w:rFonts w:hint="eastAsia" w:eastAsia="宋体"/>
          <w:lang w:val="en-US" w:eastAsia="zh-CN"/>
        </w:rPr>
      </w:pPr>
      <w:r>
        <w:rPr>
          <w:rFonts w:ascii="宋体" w:hAnsi="宋体" w:eastAsia="宋体" w:cs="宋体"/>
          <w:sz w:val="24"/>
          <w:szCs w:val="24"/>
        </w:rPr>
        <w:t>本制度用于规范公司运行维护工具的管理，提高运行维护工具使用率，提高</w:t>
      </w:r>
      <w:r>
        <w:rPr>
          <w:rFonts w:ascii="宋体" w:hAnsi="宋体" w:eastAsia="宋体" w:cs="宋体"/>
          <w:spacing w:val="-2"/>
          <w:sz w:val="24"/>
          <w:szCs w:val="24"/>
        </w:rPr>
        <w:t>运维服务水平。</w:t>
      </w:r>
    </w:p>
    <w:p w14:paraId="2D240536">
      <w:pPr>
        <w:pStyle w:val="28"/>
        <w:bidi w:val="0"/>
        <w:rPr>
          <w:rFonts w:hint="eastAsia"/>
          <w:lang w:val="en-US" w:eastAsia="zh-CN"/>
        </w:rPr>
      </w:pPr>
      <w:bookmarkStart w:id="6" w:name="_Toc14615"/>
      <w:bookmarkStart w:id="7" w:name="_Toc10901"/>
      <w:r>
        <w:rPr>
          <w:rFonts w:hint="eastAsia"/>
          <w:lang w:val="en-US" w:eastAsia="zh-CN"/>
        </w:rPr>
        <w:t>原则</w:t>
      </w:r>
      <w:bookmarkEnd w:id="6"/>
      <w:bookmarkEnd w:id="7"/>
    </w:p>
    <w:p w14:paraId="1CEE5E8D">
      <w:pPr>
        <w:pStyle w:val="29"/>
        <w:rPr>
          <w:rFonts w:hint="eastAsia"/>
          <w:lang w:val="en-US" w:eastAsia="zh-CN"/>
        </w:rPr>
      </w:pPr>
    </w:p>
    <w:p w14:paraId="6BD52D84">
      <w:pPr>
        <w:pStyle w:val="28"/>
        <w:bidi w:val="0"/>
      </w:pPr>
      <w:bookmarkStart w:id="8" w:name="_Toc30539"/>
      <w:bookmarkStart w:id="9" w:name="_Toc17868"/>
      <w:r>
        <w:rPr>
          <w:rFonts w:hint="eastAsia"/>
          <w:lang w:val="en-US" w:eastAsia="zh-CN"/>
        </w:rPr>
        <w:t>适用</w:t>
      </w:r>
      <w:r>
        <w:t>范围</w:t>
      </w:r>
      <w:bookmarkEnd w:id="8"/>
      <w:bookmarkEnd w:id="9"/>
    </w:p>
    <w:p w14:paraId="2940FEA5">
      <w:pPr>
        <w:pStyle w:val="29"/>
        <w:rPr>
          <w:rFonts w:hint="eastAsia" w:eastAsia="宋体"/>
          <w:lang w:val="en-US" w:eastAsia="zh-CN"/>
        </w:rPr>
      </w:pPr>
      <w:r>
        <w:rPr>
          <w:rFonts w:ascii="宋体" w:hAnsi="宋体" w:eastAsia="宋体" w:cs="宋体"/>
          <w:spacing w:val="-2"/>
          <w:sz w:val="24"/>
          <w:szCs w:val="24"/>
        </w:rPr>
        <w:t>公司运行维护工具的使用和维护</w:t>
      </w:r>
      <w:r>
        <w:rPr>
          <w:rFonts w:hint="eastAsia" w:ascii="宋体" w:hAnsi="宋体" w:cs="宋体"/>
          <w:spacing w:val="-2"/>
          <w:sz w:val="24"/>
          <w:szCs w:val="24"/>
          <w:lang w:eastAsia="zh-CN"/>
        </w:rPr>
        <w:t>。</w:t>
      </w:r>
    </w:p>
    <w:p w14:paraId="72F6781A">
      <w:pPr>
        <w:pStyle w:val="28"/>
        <w:bidi w:val="0"/>
        <w:rPr>
          <w:rFonts w:hint="eastAsia"/>
          <w:lang w:val="en-US" w:eastAsia="zh-CN"/>
        </w:rPr>
      </w:pPr>
      <w:bookmarkStart w:id="10" w:name="_Toc7692"/>
      <w:bookmarkStart w:id="11" w:name="_Toc18111"/>
      <w:r>
        <w:rPr>
          <w:rFonts w:hint="eastAsia"/>
          <w:lang w:val="en-US" w:eastAsia="zh-CN"/>
        </w:rPr>
        <w:t>岗位职责</w:t>
      </w:r>
      <w:bookmarkEnd w:id="10"/>
      <w:bookmarkEnd w:id="11"/>
    </w:p>
    <w:p w14:paraId="1FE30E72">
      <w:pPr>
        <w:pStyle w:val="30"/>
        <w:bidi w:val="0"/>
        <w:rPr>
          <w:rFonts w:hint="eastAsia"/>
          <w:lang w:val="en-US" w:eastAsia="zh-CN"/>
        </w:rPr>
      </w:pPr>
      <w:bookmarkStart w:id="12" w:name="_Toc3921"/>
      <w:r>
        <w:rPr>
          <w:rFonts w:hint="eastAsia"/>
          <w:lang w:val="en-US" w:eastAsia="zh-CN"/>
        </w:rPr>
        <w:t>研发部</w:t>
      </w:r>
      <w:bookmarkEnd w:id="12"/>
    </w:p>
    <w:p w14:paraId="6580C411">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运维工具规划、研发，版本管理。</w:t>
      </w:r>
    </w:p>
    <w:p w14:paraId="43905903">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对运维工具的修正和改进。</w:t>
      </w:r>
    </w:p>
    <w:p w14:paraId="5035C547">
      <w:pPr>
        <w:pStyle w:val="30"/>
        <w:bidi w:val="0"/>
      </w:pPr>
      <w:bookmarkStart w:id="13" w:name="bookmark5"/>
      <w:bookmarkEnd w:id="13"/>
      <w:bookmarkStart w:id="14" w:name="_Toc18889"/>
      <w:r>
        <w:t>运维部</w:t>
      </w:r>
      <w:bookmarkEnd w:id="14"/>
    </w:p>
    <w:p w14:paraId="1498098B">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运维工具的需求识别、规划。</w:t>
      </w:r>
    </w:p>
    <w:p w14:paraId="09286511">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运维工具的开发、采购立项审批等的申报、跟踪和落实。</w:t>
      </w:r>
    </w:p>
    <w:p w14:paraId="748CE890">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运维工具的测试、试用、推广使用。</w:t>
      </w:r>
    </w:p>
    <w:p w14:paraId="03A1972F">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运维工具缺陷及改进意见提出。</w:t>
      </w:r>
    </w:p>
    <w:p w14:paraId="68CB6FE2">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各类资源利用的协调平衡及检查、考核工作。</w:t>
      </w:r>
    </w:p>
    <w:p w14:paraId="1292F1DE">
      <w:pPr>
        <w:pStyle w:val="28"/>
        <w:bidi w:val="0"/>
        <w:rPr>
          <w:rStyle w:val="38"/>
          <w:rFonts w:hint="default" w:eastAsia="宋体"/>
          <w:lang w:val="en-US" w:eastAsia="zh-CN"/>
        </w:rPr>
      </w:pPr>
      <w:bookmarkStart w:id="15" w:name="bookmark3"/>
      <w:bookmarkEnd w:id="15"/>
      <w:bookmarkStart w:id="16" w:name="_Toc17424"/>
      <w:bookmarkStart w:id="17" w:name="_Toc15244"/>
      <w:bookmarkStart w:id="18" w:name="_Toc14980"/>
      <w:r>
        <w:rPr>
          <w:rFonts w:hint="eastAsia"/>
          <w:lang w:val="en-US" w:eastAsia="zh-CN"/>
        </w:rPr>
        <w:t>运维工具管理流程</w:t>
      </w:r>
      <w:bookmarkEnd w:id="16"/>
      <w:bookmarkEnd w:id="17"/>
      <w:bookmarkEnd w:id="18"/>
    </w:p>
    <w:p w14:paraId="3A391167">
      <w:pPr>
        <w:pStyle w:val="29"/>
        <w:rPr>
          <w:rFonts w:hint="eastAsia"/>
          <w:lang w:val="en-US" w:eastAsia="zh-CN"/>
        </w:rPr>
      </w:pPr>
      <w:r>
        <w:rPr>
          <w:rFonts w:hint="eastAsia"/>
          <w:lang w:val="en-US" w:eastAsia="zh-CN"/>
        </w:rPr>
        <w:t>运维工具管理流程如图5-1所示：</w:t>
      </w:r>
    </w:p>
    <w:p w14:paraId="7B289D20">
      <w:pPr>
        <w:pStyle w:val="29"/>
        <w:jc w:val="center"/>
        <w:rPr>
          <w:rFonts w:hint="eastAsia"/>
          <w:lang w:val="en-US" w:eastAsia="zh-CN"/>
        </w:rPr>
      </w:pPr>
      <w:r>
        <w:rPr>
          <w:rFonts w:hint="eastAsia"/>
          <w:lang w:val="en-US" w:eastAsia="zh-CN"/>
        </w:rPr>
        <w:t>图</w:t>
      </w:r>
      <w:r>
        <w:rPr>
          <w:rFonts w:hint="eastAsia"/>
          <w:lang w:val="en-US" w:eastAsia="zh-CN"/>
        </w:rPr>
        <w:tab/>
      </w:r>
      <w:r>
        <w:rPr>
          <w:rFonts w:hint="default"/>
          <w:lang w:val="en-US" w:eastAsia="zh-CN"/>
        </w:rPr>
        <w:fldChar w:fldCharType="begin"/>
      </w:r>
      <w:r>
        <w:rPr>
          <w:rFonts w:hint="default"/>
          <w:lang w:val="en-US" w:eastAsia="zh-CN"/>
        </w:rPr>
        <w:instrText xml:space="preserve"> STYLEREF "柴_标题1" \n \* Charformat </w:instrText>
      </w:r>
      <w:r>
        <w:rPr>
          <w:rFonts w:hint="default"/>
          <w:lang w:val="en-US" w:eastAsia="zh-CN"/>
        </w:rPr>
        <w:fldChar w:fldCharType="separate"/>
      </w:r>
      <w:r>
        <w:rPr>
          <w:rFonts w:hint="default"/>
          <w:lang w:val="en-US" w:eastAsia="zh-CN"/>
        </w:rPr>
        <w:t>5</w:t>
      </w:r>
      <w:r>
        <w:rPr>
          <w:rFonts w:hint="default"/>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 \* ARABIC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运维工具管理流程</w:t>
      </w:r>
    </w:p>
    <w:p w14:paraId="57BA1347">
      <w:pPr>
        <w:pStyle w:val="29"/>
        <w:rPr>
          <w:rFonts w:hint="default"/>
          <w:lang w:val="en-US" w:eastAsia="zh-CN"/>
        </w:rPr>
      </w:pPr>
      <w:r>
        <w:drawing>
          <wp:inline distT="0" distB="0" distL="114300" distR="114300">
            <wp:extent cx="5271770" cy="699135"/>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1770" cy="699135"/>
                    </a:xfrm>
                    <a:prstGeom prst="rect">
                      <a:avLst/>
                    </a:prstGeom>
                    <a:noFill/>
                    <a:ln>
                      <a:noFill/>
                    </a:ln>
                  </pic:spPr>
                </pic:pic>
              </a:graphicData>
            </a:graphic>
          </wp:inline>
        </w:drawing>
      </w:r>
    </w:p>
    <w:p w14:paraId="7C53BBD9">
      <w:pPr>
        <w:pStyle w:val="30"/>
        <w:bidi w:val="0"/>
        <w:rPr>
          <w:rFonts w:hint="eastAsia"/>
          <w:lang w:val="en-US" w:eastAsia="zh-CN"/>
        </w:rPr>
      </w:pPr>
      <w:bookmarkStart w:id="19" w:name="_Toc12767"/>
      <w:r>
        <w:rPr>
          <w:rFonts w:hint="eastAsia"/>
          <w:lang w:val="en-US" w:eastAsia="zh-CN"/>
        </w:rPr>
        <w:t>工具需求识别</w:t>
      </w:r>
      <w:bookmarkEnd w:id="19"/>
    </w:p>
    <w:p w14:paraId="6EC51483">
      <w:pPr>
        <w:pStyle w:val="29"/>
        <w:rPr>
          <w:rFonts w:hint="eastAsia"/>
          <w:lang w:val="en-US" w:eastAsia="zh-CN"/>
        </w:rPr>
      </w:pPr>
      <w:r>
        <w:rPr>
          <w:rFonts w:ascii="宋体" w:hAnsi="宋体" w:eastAsia="宋体" w:cs="宋体"/>
          <w:spacing w:val="-1"/>
          <w:sz w:val="24"/>
          <w:szCs w:val="24"/>
        </w:rPr>
        <w:t>运维部根据公司运维服务战略、运维服务级别协议和运维工作需要，收集、分析、汇总运维工具需求，形成《运维工具需求清单》</w:t>
      </w:r>
    </w:p>
    <w:p w14:paraId="0B75CC82">
      <w:pPr>
        <w:pStyle w:val="30"/>
        <w:bidi w:val="0"/>
        <w:rPr>
          <w:rFonts w:hint="eastAsia"/>
          <w:lang w:val="en-US" w:eastAsia="zh-CN"/>
        </w:rPr>
      </w:pPr>
      <w:bookmarkStart w:id="20" w:name="_Toc12636"/>
      <w:r>
        <w:rPr>
          <w:rFonts w:hint="eastAsia"/>
          <w:lang w:val="en-US" w:eastAsia="zh-CN"/>
        </w:rPr>
        <w:t>工具研发（或采购）</w:t>
      </w:r>
      <w:bookmarkEnd w:id="20"/>
    </w:p>
    <w:p w14:paraId="5A507171">
      <w:pPr>
        <w:spacing w:before="273" w:line="360" w:lineRule="auto"/>
        <w:ind w:left="35" w:right="115" w:firstLine="376"/>
        <w:rPr>
          <w:rFonts w:ascii="宋体" w:hAnsi="宋体" w:eastAsia="宋体" w:cs="宋体"/>
          <w:sz w:val="24"/>
          <w:szCs w:val="24"/>
        </w:rPr>
      </w:pPr>
      <w:r>
        <w:rPr>
          <w:rFonts w:ascii="宋体" w:hAnsi="宋体" w:eastAsia="宋体" w:cs="宋体"/>
          <w:spacing w:val="-1"/>
          <w:sz w:val="24"/>
          <w:szCs w:val="24"/>
        </w:rPr>
        <w:t>由</w:t>
      </w:r>
      <w:r>
        <w:rPr>
          <w:rFonts w:hint="eastAsia" w:ascii="宋体" w:hAnsi="宋体" w:eastAsia="宋体" w:cs="宋体"/>
          <w:spacing w:val="-1"/>
          <w:sz w:val="24"/>
          <w:szCs w:val="24"/>
          <w:lang w:val="en-US" w:eastAsia="zh-CN"/>
        </w:rPr>
        <w:t>研发部</w:t>
      </w:r>
      <w:r>
        <w:rPr>
          <w:rFonts w:ascii="宋体" w:hAnsi="宋体" w:eastAsia="宋体" w:cs="宋体"/>
          <w:spacing w:val="-1"/>
          <w:sz w:val="24"/>
          <w:szCs w:val="24"/>
        </w:rPr>
        <w:t>受理《运维工具需求清单》进行可行性分析，并提交结果至总经办</w:t>
      </w:r>
      <w:r>
        <w:rPr>
          <w:rFonts w:ascii="宋体" w:hAnsi="宋体" w:eastAsia="宋体" w:cs="宋体"/>
          <w:spacing w:val="-2"/>
          <w:sz w:val="24"/>
          <w:szCs w:val="24"/>
        </w:rPr>
        <w:t>审批，明确工具获取方式。</w:t>
      </w:r>
    </w:p>
    <w:p w14:paraId="1945DE7F">
      <w:pPr>
        <w:spacing w:before="3" w:line="359" w:lineRule="auto"/>
        <w:ind w:left="25" w:firstLine="361"/>
        <w:jc w:val="both"/>
        <w:rPr>
          <w:rFonts w:ascii="宋体" w:hAnsi="宋体" w:eastAsia="宋体" w:cs="宋体"/>
          <w:sz w:val="24"/>
          <w:szCs w:val="24"/>
        </w:rPr>
      </w:pPr>
      <w:r>
        <w:rPr>
          <w:rFonts w:ascii="宋体" w:hAnsi="宋体" w:eastAsia="宋体" w:cs="宋体"/>
          <w:spacing w:val="-4"/>
          <w:sz w:val="24"/>
          <w:szCs w:val="24"/>
        </w:rPr>
        <w:t>如果工具需要自己开发，则由已确定的研发负责人按照《软件开发管理制度》</w:t>
      </w:r>
      <w:r>
        <w:rPr>
          <w:rFonts w:ascii="宋体" w:hAnsi="宋体" w:eastAsia="宋体" w:cs="宋体"/>
          <w:spacing w:val="-3"/>
          <w:sz w:val="24"/>
          <w:szCs w:val="24"/>
        </w:rPr>
        <w:t>编制《运维工具研发计划》，并按计划进行运维工具的开发，通过测试后移交运</w:t>
      </w:r>
      <w:r>
        <w:rPr>
          <w:rFonts w:ascii="宋体" w:hAnsi="宋体" w:eastAsia="宋体" w:cs="宋体"/>
          <w:spacing w:val="-2"/>
          <w:sz w:val="24"/>
          <w:szCs w:val="24"/>
        </w:rPr>
        <w:t>维部进行试用。</w:t>
      </w:r>
    </w:p>
    <w:p w14:paraId="3FD507C1">
      <w:pPr>
        <w:pStyle w:val="29"/>
        <w:rPr>
          <w:rFonts w:hint="eastAsia"/>
          <w:lang w:val="en-US" w:eastAsia="zh-CN"/>
        </w:rPr>
      </w:pPr>
      <w:r>
        <w:rPr>
          <w:rFonts w:ascii="宋体" w:hAnsi="宋体" w:eastAsia="宋体" w:cs="宋体"/>
          <w:sz w:val="24"/>
          <w:szCs w:val="24"/>
        </w:rPr>
        <w:t>如果工具需要外采，则由运维部门编制采购申请，向采购部门提出采购书面</w:t>
      </w:r>
      <w:r>
        <w:rPr>
          <w:rFonts w:ascii="宋体" w:hAnsi="宋体" w:eastAsia="宋体" w:cs="宋体"/>
          <w:spacing w:val="-1"/>
          <w:sz w:val="24"/>
          <w:szCs w:val="24"/>
        </w:rPr>
        <w:t>说明，由采购部门实施采购，运维部门跟踪采购过、程确认采购结果。</w:t>
      </w:r>
    </w:p>
    <w:p w14:paraId="56799963">
      <w:pPr>
        <w:pStyle w:val="30"/>
        <w:bidi w:val="0"/>
        <w:rPr>
          <w:rFonts w:hint="eastAsia"/>
          <w:lang w:val="en-US" w:eastAsia="zh-CN"/>
        </w:rPr>
      </w:pPr>
      <w:bookmarkStart w:id="21" w:name="_Toc31654"/>
      <w:r>
        <w:rPr>
          <w:rFonts w:hint="eastAsia"/>
          <w:lang w:val="en-US" w:eastAsia="zh-CN"/>
        </w:rPr>
        <w:t>工具推广使用</w:t>
      </w:r>
      <w:bookmarkEnd w:id="21"/>
    </w:p>
    <w:p w14:paraId="3DD5775B">
      <w:pPr>
        <w:pStyle w:val="29"/>
        <w:bidi w:val="0"/>
      </w:pPr>
      <w:r>
        <w:t>运维部内由各项目按照实际服务需求申请工具使用权限，运维部负责人批准后由工具管理员分配相关权限。</w:t>
      </w:r>
    </w:p>
    <w:p w14:paraId="7B5DF256">
      <w:pPr>
        <w:pStyle w:val="29"/>
        <w:bidi w:val="0"/>
      </w:pPr>
      <w:r>
        <w:t>运维工程师在使用运维工具的过程中，将发现的缺陷以及对工具的建议及时告知工具管理员，并记录在《运维工具自评估报告》中。</w:t>
      </w:r>
    </w:p>
    <w:p w14:paraId="5711B2EA">
      <w:pPr>
        <w:pStyle w:val="30"/>
        <w:bidi w:val="0"/>
        <w:rPr>
          <w:rFonts w:hint="default"/>
          <w:lang w:val="en-US" w:eastAsia="zh-CN"/>
        </w:rPr>
      </w:pPr>
      <w:bookmarkStart w:id="22" w:name="_Toc5684"/>
      <w:r>
        <w:rPr>
          <w:rFonts w:hint="eastAsia"/>
          <w:lang w:val="en-US" w:eastAsia="zh-CN"/>
        </w:rPr>
        <w:t>工具评估改进</w:t>
      </w:r>
      <w:bookmarkEnd w:id="22"/>
    </w:p>
    <w:p w14:paraId="43E64104">
      <w:pPr>
        <w:pStyle w:val="29"/>
        <w:bidi w:val="0"/>
      </w:pPr>
      <w:r>
        <w:t>在运维工具的使用过程中会有需求的变化，在需求变化的时候，</w:t>
      </w:r>
      <w:r>
        <w:rPr>
          <w:rFonts w:hint="eastAsia"/>
          <w:lang w:val="en-US" w:eastAsia="zh-CN"/>
        </w:rPr>
        <w:t>自评估</w:t>
      </w:r>
      <w:r>
        <w:t>工作是确保运维工具具有适应价值的最基本保证，通过组织相关技术专家评审可确认工具的实际满足程度以及改进方向。</w:t>
      </w:r>
    </w:p>
    <w:p w14:paraId="391F9CEC">
      <w:pPr>
        <w:pStyle w:val="29"/>
        <w:bidi w:val="0"/>
      </w:pPr>
      <w:r>
        <w:t>运维部门需要每年对运维工具进行应用效果评估，进一步提炼改进需求。运维工具的评估和改进，通过召开评审会议方式进行，运维部主持管理评审会议，相关负责人和有关人员对运维工具的适用性作出评价，运维部对评审内容做出结论，记录在《运维工具自评估报告》中。</w:t>
      </w:r>
    </w:p>
    <w:p w14:paraId="15F58E19">
      <w:pPr>
        <w:rPr>
          <w:rFonts w:hint="default"/>
          <w:lang w:val="en-US" w:eastAsia="zh-CN"/>
        </w:rPr>
      </w:pPr>
      <w:r>
        <w:br w:type="page"/>
      </w:r>
    </w:p>
    <w:p w14:paraId="1F96E7DA">
      <w:pPr>
        <w:pStyle w:val="30"/>
        <w:bidi w:val="0"/>
        <w:rPr>
          <w:rFonts w:hint="default"/>
          <w:lang w:val="en-US" w:eastAsia="zh-CN"/>
        </w:rPr>
      </w:pPr>
      <w:bookmarkStart w:id="23" w:name="_Toc7988"/>
      <w:r>
        <w:rPr>
          <w:rFonts w:hint="eastAsia"/>
          <w:lang w:val="en-US" w:eastAsia="zh-CN"/>
        </w:rPr>
        <w:t>考核指</w:t>
      </w:r>
      <w:bookmarkStart w:id="30" w:name="_GoBack"/>
      <w:bookmarkEnd w:id="30"/>
      <w:r>
        <w:rPr>
          <w:rFonts w:hint="eastAsia"/>
          <w:lang w:val="en-US" w:eastAsia="zh-CN"/>
        </w:rPr>
        <w:t>标</w:t>
      </w:r>
      <w:bookmarkEnd w:id="23"/>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8"/>
        <w:gridCol w:w="3706"/>
        <w:gridCol w:w="1147"/>
        <w:gridCol w:w="911"/>
      </w:tblGrid>
      <w:tr w14:paraId="22DDEA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8" w:type="dxa"/>
            <w:vAlign w:val="center"/>
          </w:tcPr>
          <w:p w14:paraId="430A85E8">
            <w:pPr>
              <w:widowControl w:val="0"/>
              <w:jc w:val="center"/>
              <w:rPr>
                <w:rFonts w:hint="default" w:eastAsia="宋体"/>
                <w:b/>
                <w:bCs/>
                <w:vertAlign w:val="baseline"/>
                <w:lang w:val="en-US" w:eastAsia="zh-CN"/>
              </w:rPr>
            </w:pPr>
            <w:r>
              <w:rPr>
                <w:rFonts w:hint="eastAsia" w:eastAsia="宋体"/>
                <w:b/>
                <w:bCs/>
                <w:vertAlign w:val="baseline"/>
                <w:lang w:val="en-US" w:eastAsia="zh-CN"/>
              </w:rPr>
              <w:t>指标度量项</w:t>
            </w:r>
          </w:p>
        </w:tc>
        <w:tc>
          <w:tcPr>
            <w:tcW w:w="3706" w:type="dxa"/>
            <w:vAlign w:val="center"/>
          </w:tcPr>
          <w:p w14:paraId="2EA6F2F1">
            <w:pPr>
              <w:widowControl w:val="0"/>
              <w:jc w:val="center"/>
              <w:rPr>
                <w:rFonts w:hint="default" w:eastAsia="宋体"/>
                <w:b/>
                <w:bCs/>
                <w:vertAlign w:val="baseline"/>
                <w:lang w:val="en-US" w:eastAsia="zh-CN"/>
              </w:rPr>
            </w:pPr>
            <w:r>
              <w:rPr>
                <w:rFonts w:hint="eastAsia" w:eastAsia="宋体"/>
                <w:b/>
                <w:bCs/>
                <w:vertAlign w:val="baseline"/>
                <w:lang w:val="en-US" w:eastAsia="zh-CN"/>
              </w:rPr>
              <w:t>计算公式</w:t>
            </w:r>
          </w:p>
        </w:tc>
        <w:tc>
          <w:tcPr>
            <w:tcW w:w="1147" w:type="dxa"/>
            <w:vAlign w:val="center"/>
          </w:tcPr>
          <w:p w14:paraId="67639B5C">
            <w:pPr>
              <w:widowControl w:val="0"/>
              <w:jc w:val="center"/>
              <w:rPr>
                <w:rFonts w:hint="default" w:eastAsia="宋体"/>
                <w:b/>
                <w:bCs/>
                <w:vertAlign w:val="baseline"/>
                <w:lang w:val="en-US" w:eastAsia="zh-CN"/>
              </w:rPr>
            </w:pPr>
            <w:r>
              <w:rPr>
                <w:rFonts w:hint="eastAsia" w:eastAsia="宋体"/>
                <w:b/>
                <w:bCs/>
                <w:vertAlign w:val="baseline"/>
                <w:lang w:val="en-US" w:eastAsia="zh-CN"/>
              </w:rPr>
              <w:t>指标要求</w:t>
            </w:r>
          </w:p>
        </w:tc>
        <w:tc>
          <w:tcPr>
            <w:tcW w:w="911" w:type="dxa"/>
            <w:shd w:val="clear" w:color="auto" w:fill="auto"/>
            <w:vAlign w:val="center"/>
          </w:tcPr>
          <w:p w14:paraId="5E4DC024">
            <w:pPr>
              <w:widowControl w:val="0"/>
              <w:jc w:val="center"/>
              <w:rPr>
                <w:rFonts w:hint="eastAsia" w:ascii="宋体" w:hAnsi="宋体" w:eastAsia="宋体" w:cs="宋体"/>
                <w:b/>
                <w:bCs/>
                <w:snapToGrid w:val="0"/>
                <w:color w:val="000000"/>
                <w:kern w:val="0"/>
                <w:sz w:val="18"/>
                <w:szCs w:val="18"/>
                <w:lang w:val="en-US" w:eastAsia="en-US" w:bidi="ar-SA"/>
              </w:rPr>
            </w:pPr>
            <w:r>
              <w:rPr>
                <w:rFonts w:hint="eastAsia" w:ascii="宋体" w:hAnsi="宋体" w:eastAsia="宋体" w:cs="宋体"/>
                <w:b/>
                <w:bCs/>
                <w:sz w:val="18"/>
                <w:szCs w:val="18"/>
              </w:rPr>
              <w:t>频率</w:t>
            </w:r>
          </w:p>
        </w:tc>
      </w:tr>
      <w:tr w14:paraId="0A2FF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848" w:type="dxa"/>
            <w:vAlign w:val="center"/>
          </w:tcPr>
          <w:p w14:paraId="7B309D29">
            <w:pPr>
              <w:widowControl w:val="0"/>
              <w:rPr>
                <w:vertAlign w:val="baseline"/>
              </w:rPr>
            </w:pPr>
            <w:r>
              <w:rPr>
                <w:rFonts w:hint="eastAsia" w:ascii="宋体" w:hAnsi="宋体" w:eastAsia="宋体" w:cs="宋体"/>
                <w:sz w:val="18"/>
                <w:szCs w:val="18"/>
              </w:rPr>
              <w:t>工具使用自评估</w:t>
            </w:r>
            <w:r>
              <w:rPr>
                <w:rFonts w:hint="eastAsia" w:ascii="宋体" w:hAnsi="宋体" w:eastAsia="宋体" w:cs="宋体"/>
                <w:sz w:val="18"/>
                <w:szCs w:val="18"/>
                <w:lang w:val="en-US" w:eastAsia="zh-CN"/>
              </w:rPr>
              <w:t>次</w:t>
            </w:r>
            <w:r>
              <w:rPr>
                <w:rFonts w:hint="eastAsia" w:ascii="宋体" w:hAnsi="宋体" w:eastAsia="宋体" w:cs="宋体"/>
                <w:sz w:val="18"/>
                <w:szCs w:val="18"/>
              </w:rPr>
              <w:t>数</w:t>
            </w:r>
          </w:p>
        </w:tc>
        <w:tc>
          <w:tcPr>
            <w:tcW w:w="3706" w:type="dxa"/>
            <w:vAlign w:val="center"/>
          </w:tcPr>
          <w:p w14:paraId="3B86BECF">
            <w:pPr>
              <w:widowControl w:val="0"/>
              <w:rPr>
                <w:vertAlign w:val="baseline"/>
              </w:rPr>
            </w:pPr>
            <w:r>
              <w:rPr>
                <w:rFonts w:hint="eastAsia" w:ascii="宋体" w:hAnsi="宋体" w:eastAsia="宋体" w:cs="宋体"/>
                <w:sz w:val="18"/>
                <w:szCs w:val="18"/>
              </w:rPr>
              <w:t>工具使用自评估</w:t>
            </w:r>
            <w:r>
              <w:rPr>
                <w:rFonts w:hint="eastAsia" w:ascii="宋体" w:hAnsi="宋体" w:eastAsia="宋体" w:cs="宋体"/>
                <w:sz w:val="18"/>
                <w:szCs w:val="18"/>
                <w:lang w:val="en-US" w:eastAsia="zh-CN"/>
              </w:rPr>
              <w:t>次</w:t>
            </w:r>
            <w:r>
              <w:rPr>
                <w:rFonts w:hint="eastAsia" w:ascii="宋体" w:hAnsi="宋体" w:eastAsia="宋体" w:cs="宋体"/>
                <w:sz w:val="18"/>
                <w:szCs w:val="18"/>
              </w:rPr>
              <w:t>数</w:t>
            </w:r>
          </w:p>
        </w:tc>
        <w:tc>
          <w:tcPr>
            <w:tcW w:w="1147" w:type="dxa"/>
            <w:vAlign w:val="center"/>
          </w:tcPr>
          <w:p w14:paraId="088EF1CA">
            <w:pPr>
              <w:widowControl w:val="0"/>
              <w:jc w:val="center"/>
              <w:rPr>
                <w:vertAlign w:val="baseline"/>
              </w:rPr>
            </w:pPr>
            <w:r>
              <w:rPr>
                <w:rFonts w:hint="eastAsia" w:ascii="宋体" w:hAnsi="宋体" w:eastAsia="宋体" w:cs="宋体"/>
                <w:sz w:val="18"/>
                <w:szCs w:val="18"/>
              </w:rPr>
              <w:t>≥1次</w:t>
            </w:r>
          </w:p>
        </w:tc>
        <w:tc>
          <w:tcPr>
            <w:tcW w:w="911" w:type="dxa"/>
            <w:shd w:val="clear" w:color="auto" w:fill="auto"/>
            <w:vAlign w:val="center"/>
          </w:tcPr>
          <w:p w14:paraId="76626D17">
            <w:pPr>
              <w:widowControl w:val="0"/>
              <w:jc w:val="center"/>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w:t>
            </w:r>
            <w:r>
              <w:rPr>
                <w:rFonts w:hint="eastAsia" w:ascii="宋体" w:hAnsi="宋体" w:eastAsia="宋体" w:cs="宋体"/>
                <w:sz w:val="18"/>
                <w:szCs w:val="18"/>
                <w:lang w:val="en-US" w:eastAsia="zh-CN"/>
              </w:rPr>
              <w:t>月</w:t>
            </w:r>
          </w:p>
        </w:tc>
      </w:tr>
    </w:tbl>
    <w:p w14:paraId="10F1AB39">
      <w:pPr>
        <w:pStyle w:val="28"/>
        <w:bidi w:val="0"/>
        <w:rPr>
          <w:rFonts w:hint="default"/>
          <w:lang w:val="en-US" w:eastAsia="zh-CN"/>
        </w:rPr>
      </w:pPr>
      <w:bookmarkStart w:id="24" w:name="_Toc27493"/>
      <w:r>
        <w:rPr>
          <w:rFonts w:hint="eastAsia"/>
          <w:lang w:val="en-US" w:eastAsia="zh-CN"/>
        </w:rPr>
        <w:t>附则</w:t>
      </w:r>
      <w:bookmarkEnd w:id="24"/>
    </w:p>
    <w:p w14:paraId="02F24E85">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6C30FD62">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25" w:name="bookmark14"/>
      <w:bookmarkEnd w:id="25"/>
      <w:bookmarkStart w:id="26" w:name="_Toc9024"/>
      <w:bookmarkStart w:id="27" w:name="_Toc15794"/>
      <w:r>
        <w:rPr>
          <w:rFonts w:hint="eastAsia"/>
          <w:lang w:val="en-US" w:eastAsia="zh-CN"/>
        </w:rPr>
        <w:t>附件</w:t>
      </w:r>
      <w:bookmarkEnd w:id="26"/>
      <w:bookmarkEnd w:id="27"/>
    </w:p>
    <w:p w14:paraId="57173FE0">
      <w:pPr>
        <w:pStyle w:val="29"/>
        <w:rPr>
          <w:rFonts w:hint="default"/>
          <w:lang w:val="en-US" w:eastAsia="zh-CN"/>
        </w:rPr>
      </w:pPr>
      <w:r>
        <w:rPr>
          <w:rFonts w:hint="eastAsia"/>
          <w:lang w:val="en-US" w:eastAsia="zh-CN"/>
        </w:rPr>
        <w:t>无</w:t>
      </w:r>
    </w:p>
    <w:p w14:paraId="3B578C70">
      <w:pPr>
        <w:pStyle w:val="28"/>
        <w:bidi w:val="0"/>
        <w:rPr>
          <w:rFonts w:hint="eastAsia"/>
          <w:lang w:val="en-US" w:eastAsia="zh-CN"/>
        </w:rPr>
      </w:pPr>
      <w:bookmarkStart w:id="28" w:name="_Toc8549"/>
      <w:bookmarkStart w:id="29" w:name="_Toc7389"/>
      <w:r>
        <w:rPr>
          <w:rFonts w:hint="eastAsia"/>
          <w:lang w:val="en-US" w:eastAsia="zh-CN"/>
        </w:rPr>
        <w:t>记录</w:t>
      </w:r>
      <w:bookmarkEnd w:id="28"/>
      <w:bookmarkEnd w:id="29"/>
    </w:p>
    <w:p w14:paraId="2585DEC1">
      <w:pPr>
        <w:spacing w:before="271" w:line="220" w:lineRule="auto"/>
        <w:ind w:left="307"/>
        <w:rPr>
          <w:rFonts w:ascii="宋体" w:hAnsi="宋体" w:eastAsia="宋体" w:cs="宋体"/>
          <w:sz w:val="24"/>
          <w:szCs w:val="24"/>
        </w:rPr>
      </w:pPr>
      <w:r>
        <w:rPr>
          <w:rFonts w:ascii="宋体" w:hAnsi="宋体" w:eastAsia="宋体" w:cs="宋体"/>
          <w:spacing w:val="-2"/>
          <w:sz w:val="24"/>
          <w:szCs w:val="24"/>
        </w:rPr>
        <w:t>《运维工具需求清单》</w:t>
      </w:r>
    </w:p>
    <w:p w14:paraId="49D9DB38">
      <w:pPr>
        <w:spacing w:before="113" w:line="220" w:lineRule="auto"/>
        <w:ind w:left="307"/>
        <w:rPr>
          <w:rFonts w:ascii="宋体" w:hAnsi="宋体" w:eastAsia="宋体" w:cs="宋体"/>
          <w:sz w:val="24"/>
          <w:szCs w:val="24"/>
        </w:rPr>
      </w:pPr>
      <w:r>
        <w:rPr>
          <w:rFonts w:ascii="宋体" w:hAnsi="宋体" w:eastAsia="宋体" w:cs="宋体"/>
          <w:spacing w:val="-2"/>
          <w:sz w:val="24"/>
          <w:szCs w:val="24"/>
        </w:rPr>
        <w:t>《运维工具研发计划》</w:t>
      </w:r>
    </w:p>
    <w:p w14:paraId="6EDCD5DC">
      <w:pPr>
        <w:spacing w:before="182" w:line="361" w:lineRule="auto"/>
        <w:ind w:left="307" w:right="5165"/>
        <w:rPr>
          <w:rFonts w:ascii="宋体" w:hAnsi="宋体" w:eastAsia="宋体" w:cs="宋体"/>
          <w:sz w:val="24"/>
          <w:szCs w:val="24"/>
        </w:rPr>
      </w:pPr>
      <w:r>
        <w:rPr>
          <w:rFonts w:ascii="宋体" w:hAnsi="宋体" w:eastAsia="宋体" w:cs="宋体"/>
          <w:spacing w:val="-2"/>
          <w:sz w:val="24"/>
          <w:szCs w:val="24"/>
        </w:rPr>
        <w:t>《运维工具应用情况说明》</w:t>
      </w:r>
      <w:r>
        <w:rPr>
          <w:rFonts w:ascii="宋体" w:hAnsi="宋体" w:eastAsia="宋体" w:cs="宋体"/>
          <w:spacing w:val="3"/>
          <w:sz w:val="24"/>
          <w:szCs w:val="24"/>
        </w:rPr>
        <w:t xml:space="preserve"> </w:t>
      </w:r>
      <w:r>
        <w:rPr>
          <w:rFonts w:ascii="宋体" w:hAnsi="宋体" w:eastAsia="宋体" w:cs="宋体"/>
          <w:spacing w:val="-1"/>
          <w:sz w:val="24"/>
          <w:szCs w:val="24"/>
        </w:rPr>
        <w:t>《运维工具自评估报告》</w:t>
      </w:r>
    </w:p>
    <w:p w14:paraId="647E7EFA">
      <w:pPr>
        <w:pStyle w:val="29"/>
        <w:rPr>
          <w:rFonts w:hint="default"/>
          <w:lang w:val="en-US" w:eastAsia="zh-CN"/>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9539CF3"/>
    <w:multiLevelType w:val="singleLevel"/>
    <w:tmpl w:val="F9539CF3"/>
    <w:lvl w:ilvl="0" w:tentative="0">
      <w:start w:val="1"/>
      <w:numFmt w:val="decimal"/>
      <w:lvlText w:val="%1."/>
      <w:lvlJc w:val="left"/>
      <w:pPr>
        <w:ind w:left="425" w:hanging="425"/>
      </w:pPr>
      <w:rPr>
        <w:rFonts w:hint="default"/>
      </w:rPr>
    </w:lvl>
  </w:abstractNum>
  <w:abstractNum w:abstractNumId="2">
    <w:nsid w:val="1CFC285D"/>
    <w:multiLevelType w:val="singleLevel"/>
    <w:tmpl w:val="1CFC285D"/>
    <w:lvl w:ilvl="0" w:tentative="0">
      <w:start w:val="1"/>
      <w:numFmt w:val="decimal"/>
      <w:lvlText w:val="%1."/>
      <w:lvlJc w:val="left"/>
      <w:pPr>
        <w:ind w:left="425" w:hanging="425"/>
      </w:pPr>
      <w:rPr>
        <w:rFonts w:hint="default"/>
      </w:rPr>
    </w:lvl>
  </w:abstractNum>
  <w:abstractNum w:abstractNumId="3">
    <w:nsid w:val="6D5CD4D0"/>
    <w:multiLevelType w:val="singleLevel"/>
    <w:tmpl w:val="6D5CD4D0"/>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0975D66"/>
    <w:rsid w:val="01EB68FC"/>
    <w:rsid w:val="02105DD0"/>
    <w:rsid w:val="02117D9A"/>
    <w:rsid w:val="027F3841"/>
    <w:rsid w:val="051E0804"/>
    <w:rsid w:val="05573D16"/>
    <w:rsid w:val="05872B13"/>
    <w:rsid w:val="05AA653C"/>
    <w:rsid w:val="05C8669A"/>
    <w:rsid w:val="06A047E4"/>
    <w:rsid w:val="07496F61"/>
    <w:rsid w:val="08055CAB"/>
    <w:rsid w:val="09615163"/>
    <w:rsid w:val="09C37BCC"/>
    <w:rsid w:val="0B13248D"/>
    <w:rsid w:val="0B930577"/>
    <w:rsid w:val="0BC81863"/>
    <w:rsid w:val="0CA84E57"/>
    <w:rsid w:val="0D3037CB"/>
    <w:rsid w:val="0D72790C"/>
    <w:rsid w:val="0DC14423"/>
    <w:rsid w:val="0DD028B8"/>
    <w:rsid w:val="0E4869E6"/>
    <w:rsid w:val="100912AD"/>
    <w:rsid w:val="1045758D"/>
    <w:rsid w:val="104D4694"/>
    <w:rsid w:val="112A43FB"/>
    <w:rsid w:val="119775A7"/>
    <w:rsid w:val="13DC2831"/>
    <w:rsid w:val="14A44CA5"/>
    <w:rsid w:val="15D04A1F"/>
    <w:rsid w:val="160F7CF5"/>
    <w:rsid w:val="167A1613"/>
    <w:rsid w:val="16873D30"/>
    <w:rsid w:val="16C265E3"/>
    <w:rsid w:val="170C7BDF"/>
    <w:rsid w:val="177644D0"/>
    <w:rsid w:val="18AF5EEB"/>
    <w:rsid w:val="1A264519"/>
    <w:rsid w:val="1AC27A2C"/>
    <w:rsid w:val="1B8D153C"/>
    <w:rsid w:val="1CFA72C7"/>
    <w:rsid w:val="1D7B4B8F"/>
    <w:rsid w:val="1DE005DE"/>
    <w:rsid w:val="1E360515"/>
    <w:rsid w:val="1EDF295B"/>
    <w:rsid w:val="1FEC17D3"/>
    <w:rsid w:val="209179EB"/>
    <w:rsid w:val="21617F9F"/>
    <w:rsid w:val="221962A5"/>
    <w:rsid w:val="23C9590F"/>
    <w:rsid w:val="25237319"/>
    <w:rsid w:val="26747E2C"/>
    <w:rsid w:val="269229A8"/>
    <w:rsid w:val="26B648E9"/>
    <w:rsid w:val="27363334"/>
    <w:rsid w:val="279B1602"/>
    <w:rsid w:val="27A50D40"/>
    <w:rsid w:val="28862099"/>
    <w:rsid w:val="28B9246E"/>
    <w:rsid w:val="296511D8"/>
    <w:rsid w:val="296561E3"/>
    <w:rsid w:val="29A076EC"/>
    <w:rsid w:val="2A0635A2"/>
    <w:rsid w:val="2B141C1D"/>
    <w:rsid w:val="2B9C4A12"/>
    <w:rsid w:val="2BC0763F"/>
    <w:rsid w:val="2D381E44"/>
    <w:rsid w:val="2E516CA5"/>
    <w:rsid w:val="2E847C4C"/>
    <w:rsid w:val="2E9D013C"/>
    <w:rsid w:val="2F135073"/>
    <w:rsid w:val="2F266D26"/>
    <w:rsid w:val="2F4A02C4"/>
    <w:rsid w:val="2FF80E15"/>
    <w:rsid w:val="300852DE"/>
    <w:rsid w:val="301D1535"/>
    <w:rsid w:val="31490108"/>
    <w:rsid w:val="31A041CB"/>
    <w:rsid w:val="322A618B"/>
    <w:rsid w:val="32C13470"/>
    <w:rsid w:val="33896EE1"/>
    <w:rsid w:val="34034EE6"/>
    <w:rsid w:val="352B64A2"/>
    <w:rsid w:val="366559E4"/>
    <w:rsid w:val="36785717"/>
    <w:rsid w:val="36D84354"/>
    <w:rsid w:val="36F25E64"/>
    <w:rsid w:val="37BF1626"/>
    <w:rsid w:val="384A559C"/>
    <w:rsid w:val="39B46C32"/>
    <w:rsid w:val="3A3D6832"/>
    <w:rsid w:val="3B6E533A"/>
    <w:rsid w:val="3C28373B"/>
    <w:rsid w:val="3C634773"/>
    <w:rsid w:val="3D156FFD"/>
    <w:rsid w:val="3D695DB9"/>
    <w:rsid w:val="3E7C0C45"/>
    <w:rsid w:val="3EAB0654"/>
    <w:rsid w:val="3EB91BEB"/>
    <w:rsid w:val="3F5A203E"/>
    <w:rsid w:val="400242A3"/>
    <w:rsid w:val="40672358"/>
    <w:rsid w:val="40BD701A"/>
    <w:rsid w:val="410A1661"/>
    <w:rsid w:val="41230975"/>
    <w:rsid w:val="41566655"/>
    <w:rsid w:val="416E29A7"/>
    <w:rsid w:val="426B25D4"/>
    <w:rsid w:val="429D0A4E"/>
    <w:rsid w:val="433504EC"/>
    <w:rsid w:val="43A318F9"/>
    <w:rsid w:val="4613720A"/>
    <w:rsid w:val="461865CE"/>
    <w:rsid w:val="4642189D"/>
    <w:rsid w:val="471A69C9"/>
    <w:rsid w:val="47432D89"/>
    <w:rsid w:val="47E81FD1"/>
    <w:rsid w:val="4893018E"/>
    <w:rsid w:val="4A5D4EF8"/>
    <w:rsid w:val="4A7617B6"/>
    <w:rsid w:val="4A871F75"/>
    <w:rsid w:val="4AA3483E"/>
    <w:rsid w:val="4AC42881"/>
    <w:rsid w:val="4AD60806"/>
    <w:rsid w:val="4AD909E8"/>
    <w:rsid w:val="4B644252"/>
    <w:rsid w:val="4BE37302"/>
    <w:rsid w:val="4C013661"/>
    <w:rsid w:val="4CDE53C4"/>
    <w:rsid w:val="4ECA2430"/>
    <w:rsid w:val="4F540134"/>
    <w:rsid w:val="501F38DE"/>
    <w:rsid w:val="507A2CD6"/>
    <w:rsid w:val="5106201A"/>
    <w:rsid w:val="5354676C"/>
    <w:rsid w:val="537F5EDF"/>
    <w:rsid w:val="54254B00"/>
    <w:rsid w:val="54B725CE"/>
    <w:rsid w:val="54CD67D6"/>
    <w:rsid w:val="55C91469"/>
    <w:rsid w:val="56815ACA"/>
    <w:rsid w:val="57AC16EE"/>
    <w:rsid w:val="5859544B"/>
    <w:rsid w:val="58956A46"/>
    <w:rsid w:val="58C8202C"/>
    <w:rsid w:val="58FE78A6"/>
    <w:rsid w:val="59635767"/>
    <w:rsid w:val="59E607DE"/>
    <w:rsid w:val="59FF573D"/>
    <w:rsid w:val="5ADC59C5"/>
    <w:rsid w:val="5B8C73EB"/>
    <w:rsid w:val="5BBB7799"/>
    <w:rsid w:val="5BC619FD"/>
    <w:rsid w:val="5C5A50CF"/>
    <w:rsid w:val="5C717B35"/>
    <w:rsid w:val="5CC32DF4"/>
    <w:rsid w:val="5D5977A1"/>
    <w:rsid w:val="5D647EF4"/>
    <w:rsid w:val="5D761F43"/>
    <w:rsid w:val="5E133B7E"/>
    <w:rsid w:val="5E3B2A02"/>
    <w:rsid w:val="5E8425FB"/>
    <w:rsid w:val="5FEA14E8"/>
    <w:rsid w:val="603B085D"/>
    <w:rsid w:val="608C7E04"/>
    <w:rsid w:val="60FF797D"/>
    <w:rsid w:val="61202383"/>
    <w:rsid w:val="614C4F26"/>
    <w:rsid w:val="61FB6259"/>
    <w:rsid w:val="62364D94"/>
    <w:rsid w:val="62853344"/>
    <w:rsid w:val="637B1AF3"/>
    <w:rsid w:val="6431668F"/>
    <w:rsid w:val="6457120A"/>
    <w:rsid w:val="64BB489D"/>
    <w:rsid w:val="64D12823"/>
    <w:rsid w:val="65F22540"/>
    <w:rsid w:val="66042274"/>
    <w:rsid w:val="66153663"/>
    <w:rsid w:val="66583FA2"/>
    <w:rsid w:val="678A4ED6"/>
    <w:rsid w:val="67931B01"/>
    <w:rsid w:val="689A2A1B"/>
    <w:rsid w:val="69862A24"/>
    <w:rsid w:val="69B61AD7"/>
    <w:rsid w:val="69D9062E"/>
    <w:rsid w:val="6ADC556D"/>
    <w:rsid w:val="6B533A81"/>
    <w:rsid w:val="6B6421C7"/>
    <w:rsid w:val="6B947BF6"/>
    <w:rsid w:val="6BCE07B8"/>
    <w:rsid w:val="6C7C0DB6"/>
    <w:rsid w:val="6E677844"/>
    <w:rsid w:val="6FC7059A"/>
    <w:rsid w:val="711710AD"/>
    <w:rsid w:val="7148395C"/>
    <w:rsid w:val="71D074AE"/>
    <w:rsid w:val="71F47A9F"/>
    <w:rsid w:val="724E45DF"/>
    <w:rsid w:val="72895FDA"/>
    <w:rsid w:val="72DC0914"/>
    <w:rsid w:val="7460704D"/>
    <w:rsid w:val="747E1443"/>
    <w:rsid w:val="748C526A"/>
    <w:rsid w:val="7695113D"/>
    <w:rsid w:val="76BC122C"/>
    <w:rsid w:val="77020109"/>
    <w:rsid w:val="78CC6D3B"/>
    <w:rsid w:val="78DC469B"/>
    <w:rsid w:val="7A147095"/>
    <w:rsid w:val="7A4153ED"/>
    <w:rsid w:val="7A523156"/>
    <w:rsid w:val="7A5E1AFB"/>
    <w:rsid w:val="7AB636E5"/>
    <w:rsid w:val="7AB756AF"/>
    <w:rsid w:val="7AF366E7"/>
    <w:rsid w:val="7B734B9C"/>
    <w:rsid w:val="7BB97BA2"/>
    <w:rsid w:val="7C124B80"/>
    <w:rsid w:val="7C182C28"/>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1101</Words>
  <Characters>1188</Characters>
  <Lines>0</Lines>
  <Paragraphs>0</Paragraphs>
  <TotalTime>0</TotalTime>
  <ScaleCrop>false</ScaleCrop>
  <LinksUpToDate>false</LinksUpToDate>
  <CharactersWithSpaces>1252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2025-09-12T02:02:30Z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