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-04</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27395"/>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16162"/>
      <w:r>
        <w:rPr>
          <w:rFonts w:hint="eastAsia"/>
          <w:lang w:val="en-US" w:eastAsia="zh-CN"/>
        </w:rPr>
        <w:t>服务知识管理制度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18482674">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_Toc27395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_Toc27395 \h </w:instrText>
          </w:r>
          <w:r>
            <w:fldChar w:fldCharType="separate"/>
          </w:r>
          <w:r>
            <w:t>1</w:t>
          </w:r>
          <w:r>
            <w:fldChar w:fldCharType="end"/>
          </w:r>
          <w:r>
            <w:rPr>
              <w:rFonts w:hint="eastAsia" w:ascii="宋体" w:hAnsi="宋体" w:eastAsia="宋体" w:cs="宋体"/>
              <w:szCs w:val="24"/>
            </w:rPr>
            <w:fldChar w:fldCharType="end"/>
          </w:r>
        </w:p>
        <w:p w14:paraId="6D5A189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_Toc16162 </w:instrText>
          </w:r>
          <w:r>
            <w:rPr>
              <w:rFonts w:hint="eastAsia" w:ascii="宋体" w:hAnsi="宋体" w:eastAsia="宋体" w:cs="宋体"/>
              <w:szCs w:val="24"/>
            </w:rPr>
            <w:fldChar w:fldCharType="separate"/>
          </w:r>
          <w:r>
            <w:rPr>
              <w:rFonts w:hint="eastAsia"/>
              <w:lang w:val="en-US" w:eastAsia="zh-CN"/>
            </w:rPr>
            <w:t>服务知识管理制度</w:t>
          </w:r>
          <w:r>
            <w:tab/>
          </w:r>
          <w:r>
            <w:fldChar w:fldCharType="begin"/>
          </w:r>
          <w:r>
            <w:instrText xml:space="preserve"> PAGEREF _Toc16162 \h </w:instrText>
          </w:r>
          <w:r>
            <w:fldChar w:fldCharType="separate"/>
          </w:r>
          <w:r>
            <w:t>1</w:t>
          </w:r>
          <w:r>
            <w:fldChar w:fldCharType="end"/>
          </w:r>
          <w:r>
            <w:rPr>
              <w:rFonts w:hint="eastAsia" w:ascii="宋体" w:hAnsi="宋体" w:eastAsia="宋体" w:cs="宋体"/>
              <w:szCs w:val="24"/>
            </w:rPr>
            <w:fldChar w:fldCharType="end"/>
          </w:r>
        </w:p>
        <w:p w14:paraId="60157A0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_Toc2929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_Toc2929 \h </w:instrText>
          </w:r>
          <w:r>
            <w:fldChar w:fldCharType="separate"/>
          </w:r>
          <w:r>
            <w:t>4</w:t>
          </w:r>
          <w:r>
            <w:fldChar w:fldCharType="end"/>
          </w:r>
          <w:r>
            <w:rPr>
              <w:rFonts w:hint="eastAsia" w:ascii="宋体" w:hAnsi="宋体" w:eastAsia="宋体" w:cs="宋体"/>
              <w:szCs w:val="24"/>
            </w:rPr>
            <w:fldChar w:fldCharType="end"/>
          </w:r>
        </w:p>
        <w:p w14:paraId="625684A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_Toc19826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_Toc19826 \h </w:instrText>
          </w:r>
          <w:r>
            <w:fldChar w:fldCharType="separate"/>
          </w:r>
          <w:r>
            <w:t>4</w:t>
          </w:r>
          <w:r>
            <w:fldChar w:fldCharType="end"/>
          </w:r>
          <w:r>
            <w:rPr>
              <w:rFonts w:hint="eastAsia" w:ascii="宋体" w:hAnsi="宋体" w:eastAsia="宋体" w:cs="宋体"/>
              <w:szCs w:val="24"/>
            </w:rPr>
            <w:fldChar w:fldCharType="end"/>
          </w:r>
        </w:p>
        <w:p w14:paraId="66BFF0A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_Toc20438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_Toc20438 \h </w:instrText>
          </w:r>
          <w:r>
            <w:fldChar w:fldCharType="separate"/>
          </w:r>
          <w:r>
            <w:t>4</w:t>
          </w:r>
          <w:r>
            <w:fldChar w:fldCharType="end"/>
          </w:r>
          <w:r>
            <w:rPr>
              <w:rFonts w:hint="eastAsia" w:ascii="宋体" w:hAnsi="宋体" w:eastAsia="宋体" w:cs="宋体"/>
              <w:szCs w:val="24"/>
            </w:rPr>
            <w:fldChar w:fldCharType="end"/>
          </w:r>
        </w:p>
        <w:p w14:paraId="2360702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_Toc30690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_Toc30690 \h </w:instrText>
          </w:r>
          <w:r>
            <w:fldChar w:fldCharType="separate"/>
          </w:r>
          <w:r>
            <w:t>5</w:t>
          </w:r>
          <w:r>
            <w:fldChar w:fldCharType="end"/>
          </w:r>
          <w:r>
            <w:rPr>
              <w:rFonts w:hint="eastAsia" w:ascii="宋体" w:hAnsi="宋体" w:eastAsia="宋体" w:cs="宋体"/>
              <w:szCs w:val="24"/>
            </w:rPr>
            <w:fldChar w:fldCharType="end"/>
          </w:r>
        </w:p>
        <w:p w14:paraId="63B423F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_Toc6338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服务知识经理</w:t>
          </w:r>
          <w:r>
            <w:tab/>
          </w:r>
          <w:r>
            <w:fldChar w:fldCharType="begin"/>
          </w:r>
          <w:r>
            <w:instrText xml:space="preserve"> PAGEREF _Toc6338 \h </w:instrText>
          </w:r>
          <w:r>
            <w:fldChar w:fldCharType="separate"/>
          </w:r>
          <w:r>
            <w:t>5</w:t>
          </w:r>
          <w:r>
            <w:fldChar w:fldCharType="end"/>
          </w:r>
          <w:r>
            <w:rPr>
              <w:rFonts w:hint="eastAsia" w:ascii="宋体" w:hAnsi="宋体" w:eastAsia="宋体" w:cs="宋体"/>
              <w:szCs w:val="24"/>
            </w:rPr>
            <w:fldChar w:fldCharType="end"/>
          </w:r>
        </w:p>
        <w:p w14:paraId="109336A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_Toc14092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服务知识管理员</w:t>
          </w:r>
          <w:r>
            <w:tab/>
          </w:r>
          <w:r>
            <w:fldChar w:fldCharType="begin"/>
          </w:r>
          <w:r>
            <w:instrText xml:space="preserve"> PAGEREF _Toc14092 \h </w:instrText>
          </w:r>
          <w:r>
            <w:fldChar w:fldCharType="separate"/>
          </w:r>
          <w:r>
            <w:t>5</w:t>
          </w:r>
          <w:r>
            <w:fldChar w:fldCharType="end"/>
          </w:r>
          <w:r>
            <w:rPr>
              <w:rFonts w:hint="eastAsia" w:ascii="宋体" w:hAnsi="宋体" w:eastAsia="宋体" w:cs="宋体"/>
              <w:szCs w:val="24"/>
            </w:rPr>
            <w:fldChar w:fldCharType="end"/>
          </w:r>
        </w:p>
        <w:p w14:paraId="232371E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_Toc13729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服务知识生命周期管理</w:t>
          </w:r>
          <w:r>
            <w:tab/>
          </w:r>
          <w:r>
            <w:fldChar w:fldCharType="begin"/>
          </w:r>
          <w:r>
            <w:instrText xml:space="preserve"> PAGEREF _Toc13729 \h </w:instrText>
          </w:r>
          <w:r>
            <w:fldChar w:fldCharType="separate"/>
          </w:r>
          <w:r>
            <w:t>6</w:t>
          </w:r>
          <w:r>
            <w:fldChar w:fldCharType="end"/>
          </w:r>
          <w:r>
            <w:rPr>
              <w:rFonts w:hint="eastAsia" w:ascii="宋体" w:hAnsi="宋体" w:eastAsia="宋体" w:cs="宋体"/>
              <w:szCs w:val="24"/>
            </w:rPr>
            <w:fldChar w:fldCharType="end"/>
          </w:r>
        </w:p>
        <w:p w14:paraId="4D310A7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_Toc22773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服务知识分类</w:t>
          </w:r>
          <w:r>
            <w:tab/>
          </w:r>
          <w:r>
            <w:fldChar w:fldCharType="begin"/>
          </w:r>
          <w:r>
            <w:instrText xml:space="preserve"> PAGEREF _Toc22773 \h </w:instrText>
          </w:r>
          <w:r>
            <w:fldChar w:fldCharType="separate"/>
          </w:r>
          <w:r>
            <w:t>6</w:t>
          </w:r>
          <w:r>
            <w:fldChar w:fldCharType="end"/>
          </w:r>
          <w:r>
            <w:rPr>
              <w:rFonts w:hint="eastAsia" w:ascii="宋体" w:hAnsi="宋体" w:eastAsia="宋体" w:cs="宋体"/>
              <w:szCs w:val="24"/>
            </w:rPr>
            <w:fldChar w:fldCharType="end"/>
          </w:r>
        </w:p>
        <w:p w14:paraId="3CE2392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_Toc20336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服务知识来源</w:t>
          </w:r>
          <w:r>
            <w:tab/>
          </w:r>
          <w:r>
            <w:fldChar w:fldCharType="begin"/>
          </w:r>
          <w:r>
            <w:instrText xml:space="preserve"> PAGEREF _Toc20336 \h </w:instrText>
          </w:r>
          <w:r>
            <w:fldChar w:fldCharType="separate"/>
          </w:r>
          <w:r>
            <w:t>6</w:t>
          </w:r>
          <w:r>
            <w:fldChar w:fldCharType="end"/>
          </w:r>
          <w:r>
            <w:rPr>
              <w:rFonts w:hint="eastAsia" w:ascii="宋体" w:hAnsi="宋体" w:eastAsia="宋体" w:cs="宋体"/>
              <w:szCs w:val="24"/>
            </w:rPr>
            <w:fldChar w:fldCharType="end"/>
          </w:r>
        </w:p>
        <w:p w14:paraId="55DBB33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_Toc20879 </w:instrText>
          </w:r>
          <w:r>
            <w:rPr>
              <w:rFonts w:hint="eastAsia" w:ascii="宋体" w:hAnsi="宋体" w:eastAsia="宋体" w:cs="宋体"/>
              <w:szCs w:val="24"/>
            </w:rPr>
            <w:fldChar w:fldCharType="separate"/>
          </w:r>
          <w:r>
            <w:rPr>
              <w:rFonts w:hint="default"/>
              <w:lang w:val="en-US" w:eastAsia="zh-CN"/>
            </w:rPr>
            <w:t xml:space="preserve">5.3. </w:t>
          </w:r>
          <w:r>
            <w:rPr>
              <w:rFonts w:hint="eastAsia"/>
              <w:lang w:val="en-US" w:eastAsia="zh-CN"/>
            </w:rPr>
            <w:t>服务知识与其他流程的关系</w:t>
          </w:r>
          <w:r>
            <w:tab/>
          </w:r>
          <w:r>
            <w:fldChar w:fldCharType="begin"/>
          </w:r>
          <w:r>
            <w:instrText xml:space="preserve"> PAGEREF _Toc20879 \h </w:instrText>
          </w:r>
          <w:r>
            <w:fldChar w:fldCharType="separate"/>
          </w:r>
          <w:r>
            <w:t>6</w:t>
          </w:r>
          <w:r>
            <w:fldChar w:fldCharType="end"/>
          </w:r>
          <w:r>
            <w:rPr>
              <w:rFonts w:hint="eastAsia" w:ascii="宋体" w:hAnsi="宋体" w:eastAsia="宋体" w:cs="宋体"/>
              <w:szCs w:val="24"/>
            </w:rPr>
            <w:fldChar w:fldCharType="end"/>
          </w:r>
        </w:p>
        <w:p w14:paraId="5593C7C5">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_Toc17838 </w:instrText>
          </w:r>
          <w:r>
            <w:rPr>
              <w:rFonts w:hint="eastAsia" w:ascii="宋体" w:hAnsi="宋体" w:eastAsia="宋体" w:cs="宋体"/>
              <w:szCs w:val="24"/>
            </w:rPr>
            <w:fldChar w:fldCharType="separate"/>
          </w:r>
          <w:r>
            <w:rPr>
              <w:rFonts w:hint="default"/>
            </w:rPr>
            <w:t xml:space="preserve">5.4. </w:t>
          </w:r>
          <w:r>
            <w:rPr>
              <w:rFonts w:hint="eastAsia"/>
              <w:lang w:val="en-US" w:eastAsia="zh-CN"/>
            </w:rPr>
            <w:t>服务</w:t>
          </w:r>
          <w:r>
            <w:t>知识的收集、提供、发布</w:t>
          </w:r>
          <w:r>
            <w:tab/>
          </w:r>
          <w:r>
            <w:fldChar w:fldCharType="begin"/>
          </w:r>
          <w:r>
            <w:instrText xml:space="preserve"> PAGEREF _Toc17838 \h </w:instrText>
          </w:r>
          <w:r>
            <w:fldChar w:fldCharType="separate"/>
          </w:r>
          <w:r>
            <w:t>6</w:t>
          </w:r>
          <w:r>
            <w:fldChar w:fldCharType="end"/>
          </w:r>
          <w:r>
            <w:rPr>
              <w:rFonts w:hint="eastAsia" w:ascii="宋体" w:hAnsi="宋体" w:eastAsia="宋体" w:cs="宋体"/>
              <w:szCs w:val="24"/>
            </w:rPr>
            <w:fldChar w:fldCharType="end"/>
          </w:r>
        </w:p>
        <w:p w14:paraId="6330383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_Toc14411 </w:instrText>
          </w:r>
          <w:r>
            <w:rPr>
              <w:rFonts w:hint="eastAsia" w:ascii="宋体" w:hAnsi="宋体" w:eastAsia="宋体" w:cs="宋体"/>
              <w:szCs w:val="24"/>
            </w:rPr>
            <w:fldChar w:fldCharType="separate"/>
          </w:r>
          <w:r>
            <w:rPr>
              <w:rFonts w:hint="default"/>
            </w:rPr>
            <w:t xml:space="preserve">5.5. </w:t>
          </w:r>
          <w:r>
            <w:t>知识的整理、更改</w:t>
          </w:r>
          <w:r>
            <w:tab/>
          </w:r>
          <w:r>
            <w:fldChar w:fldCharType="begin"/>
          </w:r>
          <w:r>
            <w:instrText xml:space="preserve"> PAGEREF _Toc14411 \h </w:instrText>
          </w:r>
          <w:r>
            <w:fldChar w:fldCharType="separate"/>
          </w:r>
          <w:r>
            <w:t>7</w:t>
          </w:r>
          <w:r>
            <w:fldChar w:fldCharType="end"/>
          </w:r>
          <w:r>
            <w:rPr>
              <w:rFonts w:hint="eastAsia" w:ascii="宋体" w:hAnsi="宋体" w:eastAsia="宋体" w:cs="宋体"/>
              <w:szCs w:val="24"/>
            </w:rPr>
            <w:fldChar w:fldCharType="end"/>
          </w:r>
        </w:p>
        <w:p w14:paraId="1EB4A649">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_Toc30775 </w:instrText>
          </w:r>
          <w:r>
            <w:rPr>
              <w:rFonts w:hint="eastAsia" w:ascii="宋体" w:hAnsi="宋体" w:eastAsia="宋体" w:cs="宋体"/>
              <w:szCs w:val="24"/>
            </w:rPr>
            <w:fldChar w:fldCharType="separate"/>
          </w:r>
          <w:r>
            <w:rPr>
              <w:rFonts w:hint="default"/>
            </w:rPr>
            <w:t xml:space="preserve">5.6. </w:t>
          </w:r>
          <w:r>
            <w:t>知识的公开、限制与保密</w:t>
          </w:r>
          <w:r>
            <w:tab/>
          </w:r>
          <w:r>
            <w:fldChar w:fldCharType="begin"/>
          </w:r>
          <w:r>
            <w:instrText xml:space="preserve"> PAGEREF _Toc30775 \h </w:instrText>
          </w:r>
          <w:r>
            <w:fldChar w:fldCharType="separate"/>
          </w:r>
          <w:r>
            <w:t>7</w:t>
          </w:r>
          <w:r>
            <w:fldChar w:fldCharType="end"/>
          </w:r>
          <w:r>
            <w:rPr>
              <w:rFonts w:hint="eastAsia" w:ascii="宋体" w:hAnsi="宋体" w:eastAsia="宋体" w:cs="宋体"/>
              <w:szCs w:val="24"/>
            </w:rPr>
            <w:fldChar w:fldCharType="end"/>
          </w:r>
        </w:p>
        <w:p w14:paraId="5B329DF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_Toc8984 </w:instrText>
          </w:r>
          <w:r>
            <w:rPr>
              <w:rFonts w:hint="eastAsia" w:ascii="宋体" w:hAnsi="宋体" w:eastAsia="宋体" w:cs="宋体"/>
              <w:szCs w:val="24"/>
            </w:rPr>
            <w:fldChar w:fldCharType="separate"/>
          </w:r>
          <w:r>
            <w:rPr>
              <w:rFonts w:hint="default"/>
            </w:rPr>
            <w:t xml:space="preserve">5.7. </w:t>
          </w:r>
          <w:r>
            <w:t>知识的使用</w:t>
          </w:r>
          <w:r>
            <w:tab/>
          </w:r>
          <w:r>
            <w:fldChar w:fldCharType="begin"/>
          </w:r>
          <w:r>
            <w:instrText xml:space="preserve"> PAGEREF _Toc8984 \h </w:instrText>
          </w:r>
          <w:r>
            <w:fldChar w:fldCharType="separate"/>
          </w:r>
          <w:r>
            <w:t>7</w:t>
          </w:r>
          <w:r>
            <w:fldChar w:fldCharType="end"/>
          </w:r>
          <w:r>
            <w:rPr>
              <w:rFonts w:hint="eastAsia" w:ascii="宋体" w:hAnsi="宋体" w:eastAsia="宋体" w:cs="宋体"/>
              <w:szCs w:val="24"/>
            </w:rPr>
            <w:fldChar w:fldCharType="end"/>
          </w:r>
        </w:p>
        <w:p w14:paraId="3D0E85D4">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_Toc3255 </w:instrText>
          </w:r>
          <w:r>
            <w:rPr>
              <w:rFonts w:hint="eastAsia" w:ascii="宋体" w:hAnsi="宋体" w:eastAsia="宋体" w:cs="宋体"/>
              <w:szCs w:val="24"/>
            </w:rPr>
            <w:fldChar w:fldCharType="separate"/>
          </w:r>
          <w:r>
            <w:rPr>
              <w:rFonts w:hint="default"/>
            </w:rPr>
            <w:t xml:space="preserve">5.8. </w:t>
          </w:r>
          <w:r>
            <w:rPr>
              <w:rFonts w:hint="eastAsia"/>
              <w:lang w:val="en-US" w:eastAsia="zh-CN"/>
            </w:rPr>
            <w:t>服务知识淘汰</w:t>
          </w:r>
          <w:r>
            <w:tab/>
          </w:r>
          <w:r>
            <w:fldChar w:fldCharType="begin"/>
          </w:r>
          <w:r>
            <w:instrText xml:space="preserve"> PAGEREF _Toc3255 \h </w:instrText>
          </w:r>
          <w:r>
            <w:fldChar w:fldCharType="separate"/>
          </w:r>
          <w:r>
            <w:t>8</w:t>
          </w:r>
          <w:r>
            <w:fldChar w:fldCharType="end"/>
          </w:r>
          <w:r>
            <w:rPr>
              <w:rFonts w:hint="eastAsia" w:ascii="宋体" w:hAnsi="宋体" w:eastAsia="宋体" w:cs="宋体"/>
              <w:szCs w:val="24"/>
            </w:rPr>
            <w:fldChar w:fldCharType="end"/>
          </w:r>
        </w:p>
        <w:p w14:paraId="260DB77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_Toc21126 </w:instrText>
          </w:r>
          <w:r>
            <w:rPr>
              <w:rFonts w:hint="eastAsia" w:ascii="宋体" w:hAnsi="宋体" w:eastAsia="宋体" w:cs="宋体"/>
              <w:szCs w:val="24"/>
            </w:rPr>
            <w:fldChar w:fldCharType="separate"/>
          </w:r>
          <w:r>
            <w:rPr>
              <w:rFonts w:hint="default"/>
              <w:lang w:val="en-US" w:eastAsia="zh-CN"/>
            </w:rPr>
            <w:t xml:space="preserve">5.9. </w:t>
          </w:r>
          <w:r>
            <w:rPr>
              <w:rFonts w:hint="eastAsia"/>
              <w:lang w:val="en-US" w:eastAsia="zh-CN"/>
            </w:rPr>
            <w:t>服务知识考核指标</w:t>
          </w:r>
          <w:r>
            <w:tab/>
          </w:r>
          <w:r>
            <w:fldChar w:fldCharType="begin"/>
          </w:r>
          <w:r>
            <w:instrText xml:space="preserve"> PAGEREF _Toc21126 \h </w:instrText>
          </w:r>
          <w:r>
            <w:fldChar w:fldCharType="separate"/>
          </w:r>
          <w:r>
            <w:t>8</w:t>
          </w:r>
          <w:r>
            <w:fldChar w:fldCharType="end"/>
          </w:r>
          <w:r>
            <w:rPr>
              <w:rFonts w:hint="eastAsia" w:ascii="宋体" w:hAnsi="宋体" w:eastAsia="宋体" w:cs="宋体"/>
              <w:szCs w:val="24"/>
            </w:rPr>
            <w:fldChar w:fldCharType="end"/>
          </w:r>
        </w:p>
        <w:p w14:paraId="086CBDA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_Toc29894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_Toc29894 \h </w:instrText>
          </w:r>
          <w:r>
            <w:fldChar w:fldCharType="separate"/>
          </w:r>
          <w:r>
            <w:t>8</w:t>
          </w:r>
          <w:r>
            <w:fldChar w:fldCharType="end"/>
          </w:r>
          <w:r>
            <w:rPr>
              <w:rFonts w:hint="eastAsia" w:ascii="宋体" w:hAnsi="宋体" w:eastAsia="宋体" w:cs="宋体"/>
              <w:szCs w:val="24"/>
            </w:rPr>
            <w:fldChar w:fldCharType="end"/>
          </w:r>
        </w:p>
        <w:p w14:paraId="4421F28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_Toc32748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_Toc32748 \h </w:instrText>
          </w:r>
          <w:r>
            <w:fldChar w:fldCharType="separate"/>
          </w:r>
          <w:r>
            <w:t>8</w:t>
          </w:r>
          <w:r>
            <w:fldChar w:fldCharType="end"/>
          </w:r>
          <w:r>
            <w:rPr>
              <w:rFonts w:hint="eastAsia" w:ascii="宋体" w:hAnsi="宋体" w:eastAsia="宋体" w:cs="宋体"/>
              <w:szCs w:val="24"/>
            </w:rPr>
            <w:fldChar w:fldCharType="end"/>
          </w:r>
        </w:p>
        <w:p w14:paraId="213AD72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_Toc25082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_Toc25082 \h </w:instrText>
          </w:r>
          <w:r>
            <w:fldChar w:fldCharType="separate"/>
          </w:r>
          <w:r>
            <w:t>8</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2929"/>
      <w:r>
        <w:t>目的</w:t>
      </w:r>
      <w:bookmarkEnd w:id="2"/>
    </w:p>
    <w:p w14:paraId="7DFF77EB">
      <w:pPr>
        <w:pStyle w:val="29"/>
        <w:bidi w:val="0"/>
        <w:rPr>
          <w:rFonts w:hint="default" w:eastAsia="宋体"/>
          <w:lang w:val="en-US" w:eastAsia="zh-CN"/>
        </w:rPr>
      </w:pPr>
      <w:r>
        <w:t>为规范公司服务知识管理，推进知识成果共享，进一步提升公司服务知识管理水平，确保公司智力资产得到有效积累与传递</w:t>
      </w:r>
      <w:r>
        <w:rPr>
          <w:rFonts w:hint="eastAsia"/>
          <w:lang w:eastAsia="zh-CN"/>
        </w:rPr>
        <w:t>，</w:t>
      </w:r>
      <w:r>
        <w:rPr>
          <w:rFonts w:hint="eastAsia"/>
          <w:lang w:val="en-US" w:eastAsia="zh-CN"/>
        </w:rPr>
        <w:t>特制定此制度</w:t>
      </w:r>
    </w:p>
    <w:p w14:paraId="2D240536">
      <w:pPr>
        <w:pStyle w:val="28"/>
        <w:bidi w:val="0"/>
        <w:rPr>
          <w:rFonts w:hint="eastAsia"/>
          <w:lang w:val="en-US" w:eastAsia="zh-CN"/>
        </w:rPr>
      </w:pPr>
      <w:bookmarkStart w:id="3" w:name="_Toc19826"/>
      <w:r>
        <w:rPr>
          <w:rFonts w:hint="eastAsia"/>
          <w:lang w:val="en-US" w:eastAsia="zh-CN"/>
        </w:rPr>
        <w:t>原则</w:t>
      </w:r>
      <w:bookmarkEnd w:id="3"/>
    </w:p>
    <w:p w14:paraId="65A9E97C">
      <w:pPr>
        <w:pStyle w:val="29"/>
        <w:numPr>
          <w:ilvl w:val="0"/>
          <w:numId w:val="2"/>
        </w:numPr>
        <w:ind w:left="425" w:leftChars="0" w:hanging="425" w:firstLineChars="0"/>
        <w:rPr>
          <w:rFonts w:hint="eastAsia"/>
          <w:lang w:val="en-US" w:eastAsia="zh-CN"/>
        </w:rPr>
      </w:pPr>
      <w:r>
        <w:rPr>
          <w:rFonts w:hint="eastAsia"/>
          <w:lang w:val="en-US" w:eastAsia="zh-CN"/>
        </w:rPr>
        <w:t>集中统一原则</w:t>
      </w:r>
    </w:p>
    <w:p w14:paraId="5F7EFDE3">
      <w:pPr>
        <w:pStyle w:val="29"/>
        <w:rPr>
          <w:rFonts w:hint="eastAsia"/>
          <w:lang w:val="en-US" w:eastAsia="zh-CN"/>
        </w:rPr>
      </w:pPr>
      <w:r>
        <w:rPr>
          <w:rFonts w:hint="eastAsia"/>
          <w:lang w:val="en-US" w:eastAsia="zh-CN"/>
        </w:rPr>
        <w:t>所有服务过程中产生的知识（如解决方案、技术案例、应急预案等）必须统一归档至公司指定的知识库平台，确保知识来源的唯一性和准确性，避免信息孤岛。</w:t>
      </w:r>
    </w:p>
    <w:p w14:paraId="3DCBC276">
      <w:pPr>
        <w:pStyle w:val="29"/>
        <w:numPr>
          <w:ilvl w:val="0"/>
          <w:numId w:val="2"/>
        </w:numPr>
        <w:ind w:left="425" w:leftChars="0" w:hanging="425" w:firstLineChars="0"/>
        <w:rPr>
          <w:rFonts w:hint="eastAsia"/>
          <w:lang w:val="en-US" w:eastAsia="zh-CN"/>
        </w:rPr>
      </w:pPr>
      <w:r>
        <w:rPr>
          <w:rFonts w:hint="eastAsia"/>
          <w:lang w:val="en-US" w:eastAsia="zh-CN"/>
        </w:rPr>
        <w:t>共享复用原则</w:t>
      </w:r>
    </w:p>
    <w:p w14:paraId="1DED9A03">
      <w:pPr>
        <w:pStyle w:val="29"/>
        <w:rPr>
          <w:rFonts w:hint="eastAsia"/>
          <w:lang w:val="en-US" w:eastAsia="zh-CN"/>
        </w:rPr>
      </w:pPr>
      <w:r>
        <w:rPr>
          <w:rFonts w:hint="eastAsia"/>
          <w:lang w:val="en-US" w:eastAsia="zh-CN"/>
        </w:rPr>
        <w:t>知识管理的核心价值在于共享与应用。鼓励全员贡献和分享知识，通过有效的检索机制，确保知识能被方便地查询和复用，旨在提升一线解决率，减少重复劳动。</w:t>
      </w:r>
    </w:p>
    <w:p w14:paraId="0F829FAD">
      <w:pPr>
        <w:pStyle w:val="29"/>
        <w:numPr>
          <w:ilvl w:val="0"/>
          <w:numId w:val="2"/>
        </w:numPr>
        <w:ind w:left="425" w:leftChars="0" w:hanging="425" w:firstLineChars="0"/>
        <w:rPr>
          <w:rFonts w:hint="eastAsia"/>
          <w:lang w:val="en-US" w:eastAsia="zh-CN"/>
        </w:rPr>
      </w:pPr>
      <w:r>
        <w:rPr>
          <w:rFonts w:hint="eastAsia"/>
          <w:lang w:val="en-US" w:eastAsia="zh-CN"/>
        </w:rPr>
        <w:t>生命周期原则</w:t>
      </w:r>
    </w:p>
    <w:p w14:paraId="7D1AA53E">
      <w:pPr>
        <w:pStyle w:val="29"/>
        <w:bidi w:val="0"/>
        <w:rPr>
          <w:rFonts w:hint="eastAsia"/>
          <w:lang w:val="en-US" w:eastAsia="zh-CN"/>
        </w:rPr>
      </w:pPr>
      <w:r>
        <w:rPr>
          <w:rFonts w:hint="eastAsia"/>
          <w:lang w:val="en-US" w:eastAsia="zh-CN"/>
        </w:rPr>
        <w:t>对知识的创建、审核、发布、使用、更新和退休进行全生命周期管理。定期评审知识条目，确保其时效性、准确性和有效性，及时归档或废止过时知识。</w:t>
      </w:r>
    </w:p>
    <w:p w14:paraId="02A1A3B9">
      <w:pPr>
        <w:pStyle w:val="29"/>
        <w:numPr>
          <w:ilvl w:val="0"/>
          <w:numId w:val="2"/>
        </w:numPr>
        <w:ind w:left="425" w:leftChars="0" w:hanging="425" w:firstLineChars="0"/>
        <w:rPr>
          <w:rFonts w:hint="eastAsia"/>
          <w:lang w:val="en-US" w:eastAsia="zh-CN"/>
        </w:rPr>
      </w:pPr>
      <w:r>
        <w:rPr>
          <w:rFonts w:hint="eastAsia"/>
          <w:lang w:val="en-US" w:eastAsia="zh-CN"/>
        </w:rPr>
        <w:t>价值导向原则</w:t>
      </w:r>
    </w:p>
    <w:p w14:paraId="2CEEB3ED">
      <w:pPr>
        <w:pStyle w:val="29"/>
        <w:bidi w:val="0"/>
        <w:rPr>
          <w:rFonts w:hint="eastAsia"/>
          <w:lang w:val="en-US" w:eastAsia="zh-CN"/>
        </w:rPr>
      </w:pPr>
      <w:r>
        <w:rPr>
          <w:rFonts w:hint="eastAsia"/>
          <w:lang w:val="en-US" w:eastAsia="zh-CN"/>
        </w:rPr>
        <w:t>知识的创造与积累应紧密围绕业务价值，以解决实际问题、规避已知风险、提升客户满意度为目标。鼓励提炼和共享高价值、可复用的解决方案和最佳实践。</w:t>
      </w:r>
    </w:p>
    <w:p w14:paraId="04E1B051">
      <w:pPr>
        <w:pStyle w:val="29"/>
        <w:numPr>
          <w:ilvl w:val="0"/>
          <w:numId w:val="2"/>
        </w:numPr>
        <w:ind w:left="425" w:leftChars="0" w:hanging="425" w:firstLineChars="0"/>
        <w:rPr>
          <w:rFonts w:hint="eastAsia"/>
          <w:lang w:val="en-US" w:eastAsia="zh-CN"/>
        </w:rPr>
      </w:pPr>
      <w:r>
        <w:rPr>
          <w:rFonts w:hint="eastAsia"/>
          <w:lang w:val="en-US" w:eastAsia="zh-CN"/>
        </w:rPr>
        <w:t>激励贡献原则</w:t>
      </w:r>
    </w:p>
    <w:p w14:paraId="3F35B63F">
      <w:pPr>
        <w:pStyle w:val="29"/>
        <w:bidi w:val="0"/>
        <w:rPr>
          <w:rFonts w:hint="eastAsia"/>
          <w:lang w:val="en-US" w:eastAsia="zh-CN"/>
        </w:rPr>
      </w:pPr>
      <w:r>
        <w:rPr>
          <w:rFonts w:hint="eastAsia"/>
          <w:lang w:val="en-US" w:eastAsia="zh-CN"/>
        </w:rPr>
        <w:t>建立知识与绩效挂钩的激励机制，对知识贡献者、优秀案例创作者予以认可和奖励，营造积极主动的知识分享文化。</w:t>
      </w:r>
    </w:p>
    <w:p w14:paraId="6BD52D84">
      <w:pPr>
        <w:pStyle w:val="28"/>
        <w:bidi w:val="0"/>
      </w:pPr>
      <w:bookmarkStart w:id="4" w:name="_Toc20438"/>
      <w:r>
        <w:rPr>
          <w:rFonts w:hint="eastAsia"/>
          <w:lang w:val="en-US" w:eastAsia="zh-CN"/>
        </w:rPr>
        <w:t>适用</w:t>
      </w:r>
      <w:r>
        <w:t>范围</w:t>
      </w:r>
      <w:bookmarkEnd w:id="4"/>
    </w:p>
    <w:p w14:paraId="72F6781A">
      <w:pPr>
        <w:pStyle w:val="29"/>
        <w:bidi w:val="0"/>
        <w:rPr>
          <w:rFonts w:hint="eastAsia"/>
          <w:lang w:val="en-US" w:eastAsia="zh-CN"/>
        </w:rPr>
      </w:pPr>
      <w:r>
        <w:t>本制度适用于公司内部运维相关部门运维服务知识的交流和共享的管理。</w:t>
      </w:r>
      <w:r>
        <w:rPr>
          <w:rFonts w:hint="eastAsia"/>
          <w:lang w:val="en-US" w:eastAsia="zh-CN"/>
        </w:rPr>
        <w:t>岗位职责</w:t>
      </w:r>
    </w:p>
    <w:p w14:paraId="0398B839">
      <w:pPr>
        <w:pStyle w:val="28"/>
        <w:bidi w:val="0"/>
        <w:rPr>
          <w:rFonts w:hint="default"/>
          <w:lang w:val="en-US" w:eastAsia="zh-CN"/>
        </w:rPr>
      </w:pPr>
      <w:bookmarkStart w:id="5" w:name="_Toc30690"/>
      <w:r>
        <w:rPr>
          <w:rFonts w:hint="eastAsia"/>
          <w:lang w:val="en-US" w:eastAsia="zh-CN"/>
        </w:rPr>
        <w:t>岗位职责</w:t>
      </w:r>
      <w:bookmarkEnd w:id="5"/>
    </w:p>
    <w:p w14:paraId="204A8F4D">
      <w:pPr>
        <w:pStyle w:val="30"/>
        <w:tabs>
          <w:tab w:val="left" w:pos="3746"/>
        </w:tabs>
        <w:bidi w:val="0"/>
        <w:rPr>
          <w:rFonts w:hint="eastAsia"/>
          <w:lang w:val="en-US" w:eastAsia="zh-CN"/>
        </w:rPr>
      </w:pPr>
      <w:bookmarkStart w:id="6" w:name="_Toc6338"/>
      <w:r>
        <w:rPr>
          <w:rFonts w:hint="eastAsia"/>
          <w:lang w:val="en-US" w:eastAsia="zh-CN"/>
        </w:rPr>
        <w:t>服务知识经理</w:t>
      </w:r>
      <w:bookmarkEnd w:id="6"/>
      <w:r>
        <w:rPr>
          <w:rFonts w:hint="eastAsia"/>
          <w:lang w:val="en-US" w:eastAsia="zh-CN"/>
        </w:rPr>
        <w:tab/>
      </w:r>
    </w:p>
    <w:p w14:paraId="2624A1CB">
      <w:pPr>
        <w:pStyle w:val="29"/>
        <w:numPr>
          <w:ilvl w:val="0"/>
          <w:numId w:val="3"/>
        </w:numPr>
        <w:bidi w:val="0"/>
        <w:ind w:left="425" w:leftChars="0" w:hanging="425" w:firstLineChars="0"/>
        <w:rPr>
          <w:rFonts w:hint="eastAsia"/>
          <w:lang w:val="en-US" w:eastAsia="zh-CN"/>
        </w:rPr>
      </w:pPr>
      <w:r>
        <w:rPr>
          <w:rFonts w:hint="eastAsia"/>
          <w:lang w:val="en-US" w:eastAsia="zh-CN"/>
        </w:rPr>
        <w:t>对批准发布知识的合理性、唯一性及其所能带来的效益负最终责任。</w:t>
      </w:r>
    </w:p>
    <w:p w14:paraId="1FB3F75E">
      <w:pPr>
        <w:pStyle w:val="29"/>
        <w:numPr>
          <w:ilvl w:val="0"/>
          <w:numId w:val="3"/>
        </w:numPr>
        <w:bidi w:val="0"/>
        <w:ind w:left="425" w:leftChars="0" w:hanging="425" w:firstLineChars="0"/>
        <w:rPr>
          <w:rFonts w:hint="eastAsia"/>
          <w:lang w:val="en-US" w:eastAsia="zh-CN"/>
        </w:rPr>
      </w:pPr>
      <w:r>
        <w:rPr>
          <w:rFonts w:hint="eastAsia"/>
          <w:lang w:val="en-US" w:eastAsia="zh-CN"/>
        </w:rPr>
        <w:t>对提报的知识进行初步判断，筛选并放弃无效或重复的知识，保证知识库的准入门槛。</w:t>
      </w:r>
    </w:p>
    <w:p w14:paraId="059558AF">
      <w:pPr>
        <w:pStyle w:val="29"/>
        <w:numPr>
          <w:ilvl w:val="0"/>
          <w:numId w:val="3"/>
        </w:numPr>
        <w:bidi w:val="0"/>
        <w:ind w:left="425" w:leftChars="0" w:hanging="425" w:firstLineChars="0"/>
        <w:rPr>
          <w:rFonts w:hint="eastAsia"/>
          <w:lang w:val="en-US" w:eastAsia="zh-CN"/>
        </w:rPr>
      </w:pPr>
      <w:r>
        <w:rPr>
          <w:rFonts w:hint="eastAsia"/>
          <w:lang w:val="en-US" w:eastAsia="zh-CN"/>
        </w:rPr>
        <w:t>判断知识是否具有普遍的借鉴意义和推广价值，放弃仅具个案性质、无广泛用途的内容。</w:t>
      </w:r>
    </w:p>
    <w:p w14:paraId="096C053D">
      <w:pPr>
        <w:pStyle w:val="29"/>
        <w:numPr>
          <w:ilvl w:val="0"/>
          <w:numId w:val="3"/>
        </w:numPr>
        <w:bidi w:val="0"/>
        <w:ind w:left="425" w:leftChars="0" w:hanging="425" w:firstLineChars="0"/>
        <w:rPr>
          <w:rFonts w:hint="eastAsia"/>
          <w:lang w:val="en-US" w:eastAsia="zh-CN"/>
        </w:rPr>
      </w:pPr>
      <w:r>
        <w:rPr>
          <w:rFonts w:hint="eastAsia"/>
          <w:lang w:val="en-US" w:eastAsia="zh-CN"/>
        </w:rPr>
        <w:t>审核知识内容的完整性和清晰度。对不符合要求的知识，退回给服务知识管理员进行修改，并明确注明退还原因。</w:t>
      </w:r>
    </w:p>
    <w:p w14:paraId="4B73C10B">
      <w:pPr>
        <w:pStyle w:val="29"/>
        <w:numPr>
          <w:ilvl w:val="0"/>
          <w:numId w:val="3"/>
        </w:numPr>
        <w:bidi w:val="0"/>
        <w:ind w:left="425" w:leftChars="0" w:hanging="425" w:firstLineChars="0"/>
        <w:rPr>
          <w:rFonts w:hint="eastAsia"/>
          <w:lang w:val="en-US" w:eastAsia="zh-CN"/>
        </w:rPr>
      </w:pPr>
      <w:r>
        <w:rPr>
          <w:rFonts w:hint="eastAsia"/>
          <w:lang w:val="en-US" w:eastAsia="zh-CN"/>
        </w:rPr>
        <w:t>审批通过的知识，批准并指令服务知识管理员进行正式发布。</w:t>
      </w:r>
    </w:p>
    <w:p w14:paraId="219D2DE7">
      <w:pPr>
        <w:pStyle w:val="29"/>
        <w:numPr>
          <w:ilvl w:val="0"/>
          <w:numId w:val="3"/>
        </w:numPr>
        <w:bidi w:val="0"/>
        <w:ind w:left="425" w:leftChars="0" w:hanging="425" w:firstLineChars="0"/>
        <w:rPr>
          <w:rFonts w:hint="eastAsia"/>
          <w:lang w:val="en-US" w:eastAsia="zh-CN"/>
        </w:rPr>
      </w:pPr>
      <w:r>
        <w:rPr>
          <w:rFonts w:hint="eastAsia"/>
          <w:lang w:val="en-US" w:eastAsia="zh-CN"/>
        </w:rPr>
        <w:t>负责组织知识的定期回顾，审核知识回顾报告，并对知识的使用效果和有效性做出最终评价。</w:t>
      </w:r>
    </w:p>
    <w:p w14:paraId="6C29E46C">
      <w:pPr>
        <w:pStyle w:val="30"/>
        <w:bidi w:val="0"/>
        <w:rPr>
          <w:rFonts w:hint="default"/>
          <w:lang w:val="en-US" w:eastAsia="zh-CN"/>
        </w:rPr>
      </w:pPr>
      <w:bookmarkStart w:id="7" w:name="_Toc14092"/>
      <w:r>
        <w:rPr>
          <w:rFonts w:hint="eastAsia"/>
          <w:lang w:val="en-US" w:eastAsia="zh-CN"/>
        </w:rPr>
        <w:t>服务知识管理员</w:t>
      </w:r>
      <w:bookmarkEnd w:id="7"/>
    </w:p>
    <w:p w14:paraId="3B46EAD0">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pacing w:val="-1"/>
          <w:sz w:val="24"/>
          <w:szCs w:val="24"/>
        </w:rPr>
      </w:pPr>
      <w:r>
        <w:rPr>
          <w:rFonts w:hint="eastAsia" w:ascii="宋体" w:hAnsi="宋体" w:eastAsia="宋体" w:cs="宋体"/>
          <w:spacing w:val="-1"/>
          <w:sz w:val="24"/>
          <w:szCs w:val="24"/>
        </w:rPr>
        <w:t>主要负责服务知识库的日常信息维护工作，包括知识的录入、分类、更新、归档等具体操作。</w:t>
      </w:r>
    </w:p>
    <w:p w14:paraId="245FB01C">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pacing w:val="-1"/>
          <w:sz w:val="24"/>
          <w:szCs w:val="24"/>
        </w:rPr>
      </w:pPr>
      <w:r>
        <w:rPr>
          <w:rFonts w:hint="eastAsia" w:ascii="宋体" w:hAnsi="宋体" w:eastAsia="宋体" w:cs="宋体"/>
          <w:spacing w:val="-1"/>
          <w:sz w:val="24"/>
          <w:szCs w:val="24"/>
        </w:rPr>
        <w:t>根据知识的标题、内容和关键字，将知识进行合理、准确的分类，并正确定义关键字，确保知识库结构清晰、易于检索。</w:t>
      </w:r>
    </w:p>
    <w:p w14:paraId="150B3E95">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pacing w:val="-1"/>
          <w:sz w:val="24"/>
          <w:szCs w:val="24"/>
        </w:rPr>
      </w:pPr>
      <w:r>
        <w:rPr>
          <w:rFonts w:hint="eastAsia" w:ascii="宋体" w:hAnsi="宋体" w:eastAsia="宋体" w:cs="宋体"/>
          <w:spacing w:val="-1"/>
          <w:sz w:val="24"/>
          <w:szCs w:val="24"/>
        </w:rPr>
        <w:t>将收集到的、需要新增、修订或删除的知识内容，初步整理后提报给服务知识经理进行审核。</w:t>
      </w:r>
    </w:p>
    <w:p w14:paraId="5642020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hint="eastAsia" w:ascii="宋体" w:hAnsi="宋体" w:eastAsia="宋体" w:cs="宋体"/>
          <w:spacing w:val="-1"/>
          <w:sz w:val="24"/>
          <w:szCs w:val="24"/>
        </w:rPr>
        <w:t>定期检查并执行服务知识经理批准的知识删除或合并操作，确保知识库的简洁和有效。</w:t>
      </w:r>
    </w:p>
    <w:p w14:paraId="1E2817DC">
      <w:pPr>
        <w:rPr>
          <w:rFonts w:hint="default"/>
          <w:lang w:val="en-US" w:eastAsia="zh-CN"/>
        </w:rPr>
      </w:pPr>
      <w:r>
        <w:rPr>
          <w:rFonts w:hint="eastAsia"/>
          <w:lang w:val="en-US" w:eastAsia="zh-CN"/>
        </w:rPr>
        <w:br w:type="page"/>
      </w:r>
    </w:p>
    <w:p w14:paraId="7E6E312E">
      <w:pPr>
        <w:pStyle w:val="28"/>
        <w:bidi w:val="0"/>
        <w:rPr>
          <w:rFonts w:hint="default"/>
          <w:lang w:val="en-US" w:eastAsia="zh-CN"/>
        </w:rPr>
      </w:pPr>
      <w:bookmarkStart w:id="8" w:name="_Toc13729"/>
      <w:r>
        <w:rPr>
          <w:rFonts w:hint="eastAsia"/>
          <w:lang w:val="en-US" w:eastAsia="zh-CN"/>
        </w:rPr>
        <w:t>服务知识生命周期管理</w:t>
      </w:r>
      <w:bookmarkEnd w:id="8"/>
    </w:p>
    <w:p w14:paraId="4B032E41">
      <w:pPr>
        <w:pStyle w:val="30"/>
        <w:bidi w:val="0"/>
        <w:rPr>
          <w:rFonts w:hint="eastAsia"/>
          <w:lang w:val="en-US" w:eastAsia="zh-CN"/>
        </w:rPr>
      </w:pPr>
      <w:bookmarkStart w:id="9" w:name="_Toc22773"/>
      <w:r>
        <w:rPr>
          <w:rFonts w:hint="eastAsia"/>
          <w:lang w:val="en-US" w:eastAsia="zh-CN"/>
        </w:rPr>
        <w:t>服务知识分类</w:t>
      </w:r>
      <w:bookmarkEnd w:id="9"/>
    </w:p>
    <w:p w14:paraId="18EFFF1B">
      <w:pPr>
        <w:rPr>
          <w:rFonts w:hint="eastAsia"/>
          <w:lang w:val="en-US" w:eastAsia="zh-CN"/>
        </w:rPr>
      </w:pPr>
      <w:r>
        <w:rPr>
          <w:rFonts w:hint="eastAsia"/>
          <w:lang w:val="en-US" w:eastAsia="zh-CN"/>
        </w:rPr>
        <w:t>服务知识的分类如图5-1所示。</w:t>
      </w:r>
    </w:p>
    <w:p w14:paraId="1A283E79">
      <w:pPr>
        <w:jc w:val="center"/>
        <w:rPr>
          <w:rFonts w:hint="default"/>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服务知识分类</w:t>
      </w:r>
    </w:p>
    <w:tbl>
      <w:tblPr>
        <w:tblStyle w:val="26"/>
        <w:tblW w:w="866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99"/>
        <w:gridCol w:w="1758"/>
        <w:gridCol w:w="6109"/>
      </w:tblGrid>
      <w:tr w14:paraId="7AA9D53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76" w:hRule="atLeast"/>
        </w:trPr>
        <w:tc>
          <w:tcPr>
            <w:tcW w:w="799" w:type="dxa"/>
            <w:vAlign w:val="top"/>
          </w:tcPr>
          <w:p w14:paraId="6B996DA7">
            <w:pPr>
              <w:spacing w:before="117" w:line="221" w:lineRule="auto"/>
              <w:ind w:left="116"/>
              <w:rPr>
                <w:rFonts w:ascii="宋体" w:hAnsi="宋体" w:eastAsia="宋体" w:cs="宋体"/>
                <w:sz w:val="24"/>
                <w:szCs w:val="24"/>
              </w:rPr>
            </w:pPr>
            <w:r>
              <w:rPr>
                <w:rFonts w:ascii="宋体" w:hAnsi="宋体" w:eastAsia="宋体" w:cs="宋体"/>
                <w:spacing w:val="-5"/>
                <w:sz w:val="24"/>
                <w:szCs w:val="24"/>
              </w:rPr>
              <w:t>序号</w:t>
            </w:r>
          </w:p>
        </w:tc>
        <w:tc>
          <w:tcPr>
            <w:tcW w:w="1758" w:type="dxa"/>
            <w:vAlign w:val="top"/>
          </w:tcPr>
          <w:p w14:paraId="3B3B1A49">
            <w:pPr>
              <w:spacing w:before="118" w:line="219" w:lineRule="auto"/>
              <w:ind w:left="885"/>
              <w:rPr>
                <w:rFonts w:ascii="宋体" w:hAnsi="宋体" w:eastAsia="宋体" w:cs="宋体"/>
                <w:sz w:val="24"/>
                <w:szCs w:val="24"/>
              </w:rPr>
            </w:pPr>
            <w:r>
              <w:rPr>
                <w:rFonts w:ascii="宋体" w:hAnsi="宋体" w:eastAsia="宋体" w:cs="宋体"/>
                <w:spacing w:val="-7"/>
                <w:sz w:val="24"/>
                <w:szCs w:val="24"/>
              </w:rPr>
              <w:t>大类</w:t>
            </w:r>
          </w:p>
        </w:tc>
        <w:tc>
          <w:tcPr>
            <w:tcW w:w="6109" w:type="dxa"/>
            <w:vAlign w:val="top"/>
          </w:tcPr>
          <w:p w14:paraId="5018BDFB">
            <w:pPr>
              <w:spacing w:before="118" w:line="219" w:lineRule="auto"/>
              <w:ind w:left="3065"/>
              <w:rPr>
                <w:rFonts w:ascii="宋体" w:hAnsi="宋体" w:eastAsia="宋体" w:cs="宋体"/>
                <w:sz w:val="24"/>
                <w:szCs w:val="24"/>
              </w:rPr>
            </w:pPr>
            <w:r>
              <w:rPr>
                <w:rFonts w:ascii="宋体" w:hAnsi="宋体" w:eastAsia="宋体" w:cs="宋体"/>
                <w:spacing w:val="-8"/>
                <w:sz w:val="24"/>
                <w:szCs w:val="24"/>
              </w:rPr>
              <w:t>小类</w:t>
            </w:r>
          </w:p>
        </w:tc>
      </w:tr>
      <w:tr w14:paraId="1545538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68" w:hRule="atLeast"/>
        </w:trPr>
        <w:tc>
          <w:tcPr>
            <w:tcW w:w="799" w:type="dxa"/>
            <w:vAlign w:val="top"/>
          </w:tcPr>
          <w:p w14:paraId="69C89B12">
            <w:pPr>
              <w:pStyle w:val="27"/>
              <w:spacing w:line="266" w:lineRule="auto"/>
            </w:pPr>
          </w:p>
          <w:p w14:paraId="6D40CEDB">
            <w:pPr>
              <w:pStyle w:val="27"/>
              <w:spacing w:line="266" w:lineRule="auto"/>
            </w:pPr>
          </w:p>
          <w:p w14:paraId="2E4876AF">
            <w:pPr>
              <w:spacing w:before="78" w:line="241" w:lineRule="auto"/>
              <w:ind w:left="362"/>
              <w:rPr>
                <w:rFonts w:ascii="宋体" w:hAnsi="宋体" w:eastAsia="宋体" w:cs="宋体"/>
                <w:sz w:val="24"/>
                <w:szCs w:val="24"/>
              </w:rPr>
            </w:pPr>
            <w:r>
              <w:rPr>
                <w:rFonts w:ascii="宋体" w:hAnsi="宋体" w:eastAsia="宋体" w:cs="宋体"/>
                <w:sz w:val="24"/>
                <w:szCs w:val="24"/>
              </w:rPr>
              <w:t>1</w:t>
            </w:r>
          </w:p>
        </w:tc>
        <w:tc>
          <w:tcPr>
            <w:tcW w:w="1758" w:type="dxa"/>
            <w:vAlign w:val="top"/>
          </w:tcPr>
          <w:p w14:paraId="01A01C8C">
            <w:pPr>
              <w:pStyle w:val="27"/>
              <w:spacing w:line="266" w:lineRule="auto"/>
            </w:pPr>
          </w:p>
          <w:p w14:paraId="50690793">
            <w:pPr>
              <w:pStyle w:val="27"/>
              <w:spacing w:line="266" w:lineRule="auto"/>
            </w:pPr>
          </w:p>
          <w:p w14:paraId="49887DA2">
            <w:pPr>
              <w:spacing w:before="78" w:line="219" w:lineRule="auto"/>
              <w:ind w:left="115"/>
              <w:rPr>
                <w:rFonts w:ascii="宋体" w:hAnsi="宋体" w:eastAsia="宋体" w:cs="宋体"/>
                <w:sz w:val="24"/>
                <w:szCs w:val="24"/>
              </w:rPr>
            </w:pPr>
            <w:r>
              <w:rPr>
                <w:rFonts w:ascii="宋体" w:hAnsi="宋体" w:eastAsia="宋体" w:cs="宋体"/>
                <w:spacing w:val="-3"/>
                <w:sz w:val="24"/>
                <w:szCs w:val="24"/>
              </w:rPr>
              <w:t>各类技术文档</w:t>
            </w:r>
          </w:p>
        </w:tc>
        <w:tc>
          <w:tcPr>
            <w:tcW w:w="6109" w:type="dxa"/>
            <w:vAlign w:val="top"/>
          </w:tcPr>
          <w:p w14:paraId="65D57DA9">
            <w:pPr>
              <w:pStyle w:val="27"/>
              <w:spacing w:line="298" w:lineRule="auto"/>
            </w:pPr>
          </w:p>
          <w:p w14:paraId="2F832461">
            <w:pPr>
              <w:spacing w:before="78" w:line="362" w:lineRule="auto"/>
              <w:ind w:left="1143" w:right="107" w:hanging="548"/>
              <w:rPr>
                <w:rFonts w:ascii="宋体" w:hAnsi="宋体" w:eastAsia="宋体" w:cs="宋体"/>
                <w:sz w:val="24"/>
                <w:szCs w:val="24"/>
              </w:rPr>
            </w:pPr>
            <w:r>
              <w:rPr>
                <w:rFonts w:ascii="宋体" w:hAnsi="宋体" w:eastAsia="宋体" w:cs="宋体"/>
                <w:spacing w:val="-6"/>
                <w:sz w:val="24"/>
                <w:szCs w:val="24"/>
              </w:rPr>
              <w:t>数据库、应用系统等，主要是各类技术的基础知识和</w:t>
            </w:r>
            <w:r>
              <w:rPr>
                <w:rFonts w:ascii="宋体" w:hAnsi="宋体" w:eastAsia="宋体" w:cs="宋体"/>
                <w:spacing w:val="-1"/>
                <w:sz w:val="24"/>
                <w:szCs w:val="24"/>
              </w:rPr>
              <w:t>常见问题的描述、分析和解决方法。</w:t>
            </w:r>
          </w:p>
        </w:tc>
      </w:tr>
      <w:tr w14:paraId="7CCA577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4" w:hRule="atLeast"/>
        </w:trPr>
        <w:tc>
          <w:tcPr>
            <w:tcW w:w="799" w:type="dxa"/>
            <w:vAlign w:val="top"/>
          </w:tcPr>
          <w:p w14:paraId="3A15DB41">
            <w:pPr>
              <w:pStyle w:val="27"/>
              <w:spacing w:line="272" w:lineRule="auto"/>
            </w:pPr>
          </w:p>
          <w:p w14:paraId="37DCFB3E">
            <w:pPr>
              <w:spacing w:before="78" w:line="241" w:lineRule="auto"/>
              <w:ind w:left="348"/>
              <w:rPr>
                <w:rFonts w:ascii="宋体" w:hAnsi="宋体" w:eastAsia="宋体" w:cs="宋体"/>
                <w:sz w:val="24"/>
                <w:szCs w:val="24"/>
              </w:rPr>
            </w:pPr>
            <w:r>
              <w:rPr>
                <w:rFonts w:ascii="宋体" w:hAnsi="宋体" w:eastAsia="宋体" w:cs="宋体"/>
                <w:sz w:val="24"/>
                <w:szCs w:val="24"/>
              </w:rPr>
              <w:t>2</w:t>
            </w:r>
          </w:p>
        </w:tc>
        <w:tc>
          <w:tcPr>
            <w:tcW w:w="1758" w:type="dxa"/>
            <w:vAlign w:val="top"/>
          </w:tcPr>
          <w:p w14:paraId="5C057150">
            <w:pPr>
              <w:pStyle w:val="27"/>
              <w:spacing w:line="273" w:lineRule="auto"/>
            </w:pPr>
          </w:p>
          <w:p w14:paraId="52AEC67E">
            <w:pPr>
              <w:spacing w:before="78" w:line="219" w:lineRule="auto"/>
              <w:ind w:left="116"/>
              <w:rPr>
                <w:rFonts w:ascii="宋体" w:hAnsi="宋体" w:eastAsia="宋体" w:cs="宋体"/>
                <w:sz w:val="24"/>
                <w:szCs w:val="24"/>
              </w:rPr>
            </w:pPr>
            <w:r>
              <w:rPr>
                <w:rFonts w:ascii="宋体" w:hAnsi="宋体" w:eastAsia="宋体" w:cs="宋体"/>
                <w:spacing w:val="-3"/>
                <w:sz w:val="24"/>
                <w:szCs w:val="24"/>
              </w:rPr>
              <w:t>项目资料库</w:t>
            </w:r>
          </w:p>
        </w:tc>
        <w:tc>
          <w:tcPr>
            <w:tcW w:w="6109" w:type="dxa"/>
            <w:vAlign w:val="top"/>
          </w:tcPr>
          <w:p w14:paraId="1A64A30D">
            <w:pPr>
              <w:spacing w:before="117" w:line="314" w:lineRule="auto"/>
              <w:ind w:left="1862" w:right="107" w:hanging="1268"/>
              <w:rPr>
                <w:rFonts w:ascii="宋体" w:hAnsi="宋体" w:eastAsia="宋体" w:cs="宋体"/>
                <w:sz w:val="24"/>
                <w:szCs w:val="24"/>
              </w:rPr>
            </w:pPr>
            <w:r>
              <w:rPr>
                <w:rFonts w:ascii="宋体" w:hAnsi="宋体" w:eastAsia="宋体" w:cs="宋体"/>
                <w:spacing w:val="-6"/>
                <w:sz w:val="24"/>
                <w:szCs w:val="24"/>
              </w:rPr>
              <w:t>有关项目的各类文档、事件及故障处理文档、运维工</w:t>
            </w:r>
            <w:r>
              <w:rPr>
                <w:rFonts w:ascii="宋体" w:hAnsi="宋体" w:eastAsia="宋体" w:cs="宋体"/>
                <w:spacing w:val="-2"/>
                <w:sz w:val="24"/>
                <w:szCs w:val="24"/>
              </w:rPr>
              <w:t>具手册和培训资料等。</w:t>
            </w:r>
          </w:p>
        </w:tc>
      </w:tr>
    </w:tbl>
    <w:p w14:paraId="7401723F">
      <w:pPr>
        <w:pStyle w:val="30"/>
        <w:bidi w:val="0"/>
        <w:rPr>
          <w:rFonts w:hint="eastAsia"/>
          <w:lang w:val="en-US" w:eastAsia="zh-CN"/>
        </w:rPr>
      </w:pPr>
      <w:bookmarkStart w:id="10" w:name="_Toc20336"/>
      <w:r>
        <w:rPr>
          <w:rFonts w:hint="eastAsia"/>
          <w:lang w:val="en-US" w:eastAsia="zh-CN"/>
        </w:rPr>
        <w:t>服务知识来源</w:t>
      </w:r>
      <w:bookmarkEnd w:id="10"/>
    </w:p>
    <w:p w14:paraId="68D242C0">
      <w:pPr>
        <w:pStyle w:val="29"/>
        <w:keepNext w:val="0"/>
        <w:keepLines w:val="0"/>
        <w:pageBreakBefore w:val="0"/>
        <w:widowControl/>
        <w:numPr>
          <w:ilvl w:val="0"/>
          <w:numId w:val="5"/>
        </w:numPr>
        <w:kinsoku w:val="0"/>
        <w:wordWrap/>
        <w:overflowPunct/>
        <w:topLinePunct w:val="0"/>
        <w:autoSpaceDE w:val="0"/>
        <w:autoSpaceDN w:val="0"/>
        <w:bidi w:val="0"/>
        <w:adjustRightInd w:val="0"/>
        <w:snapToGrid w:val="0"/>
        <w:ind w:left="425" w:leftChars="0" w:hanging="425" w:firstLineChars="0"/>
        <w:textAlignment w:val="baseline"/>
      </w:pPr>
      <w:r>
        <w:t>在具体问题的解决过程中发现的新知识、新方法、新流程；</w:t>
      </w:r>
    </w:p>
    <w:p w14:paraId="4BC86DDA">
      <w:pPr>
        <w:pStyle w:val="29"/>
        <w:keepNext w:val="0"/>
        <w:keepLines w:val="0"/>
        <w:pageBreakBefore w:val="0"/>
        <w:widowControl/>
        <w:numPr>
          <w:ilvl w:val="0"/>
          <w:numId w:val="5"/>
        </w:numPr>
        <w:kinsoku w:val="0"/>
        <w:wordWrap/>
        <w:overflowPunct/>
        <w:topLinePunct w:val="0"/>
        <w:autoSpaceDE w:val="0"/>
        <w:autoSpaceDN w:val="0"/>
        <w:bidi w:val="0"/>
        <w:adjustRightInd w:val="0"/>
        <w:snapToGrid w:val="0"/>
        <w:ind w:left="425" w:leftChars="0" w:hanging="425" w:firstLineChars="0"/>
        <w:textAlignment w:val="baseline"/>
      </w:pPr>
      <w:bookmarkStart w:id="11" w:name="bookmark4"/>
      <w:bookmarkEnd w:id="11"/>
      <w:r>
        <w:t>通过项目实施、故障处理进行获取；</w:t>
      </w:r>
    </w:p>
    <w:p w14:paraId="3D2457CD">
      <w:pPr>
        <w:pStyle w:val="30"/>
        <w:bidi w:val="0"/>
        <w:rPr>
          <w:rFonts w:hint="eastAsia"/>
          <w:lang w:val="en-US" w:eastAsia="zh-CN"/>
        </w:rPr>
      </w:pPr>
      <w:bookmarkStart w:id="12" w:name="_Toc20879"/>
      <w:r>
        <w:rPr>
          <w:rFonts w:hint="eastAsia"/>
          <w:lang w:val="en-US" w:eastAsia="zh-CN"/>
        </w:rPr>
        <w:t>服务知识与其他流程的关系</w:t>
      </w:r>
      <w:bookmarkEnd w:id="12"/>
    </w:p>
    <w:p w14:paraId="1FC9C177">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事件管理流程：</w:t>
      </w:r>
    </w:p>
    <w:p w14:paraId="60C6A1CC">
      <w:pPr>
        <w:pStyle w:val="29"/>
        <w:bidi w:val="0"/>
      </w:pPr>
      <w:r>
        <w:t>在恢复服务后，记录事件处理过程，总结事件处理经验，将经验转化为知识。</w:t>
      </w:r>
    </w:p>
    <w:p w14:paraId="7374F8A8">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问题管理流程：</w:t>
      </w:r>
    </w:p>
    <w:p w14:paraId="16C769BF">
      <w:pPr>
        <w:pStyle w:val="29"/>
        <w:bidi w:val="0"/>
      </w:pPr>
      <w:r>
        <w:t>查找问题根本原因，并将已查到根本原因的问题提交到服务知识；通过成功实施解决方案解决问题根本原因，将解决方案纳入至服务知识中。</w:t>
      </w:r>
    </w:p>
    <w:p w14:paraId="7B9265B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发布与部署管理</w:t>
      </w:r>
    </w:p>
    <w:p w14:paraId="1FE31A4E">
      <w:pPr>
        <w:pStyle w:val="29"/>
        <w:bidi w:val="0"/>
      </w:pPr>
      <w:r>
        <w:t>将通过发布与部署管理，成功发布的解决方案纳入至服务知识中。</w:t>
      </w:r>
    </w:p>
    <w:p w14:paraId="4ED1C5D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日常运维管理流程</w:t>
      </w:r>
    </w:p>
    <w:p w14:paraId="4F64D697">
      <w:pPr>
        <w:pStyle w:val="29"/>
        <w:bidi w:val="0"/>
      </w:pPr>
      <w:r>
        <w:t>将日常运维工作过程中总结的经验转化为知识。</w:t>
      </w:r>
    </w:p>
    <w:p w14:paraId="08D5064C">
      <w:pPr>
        <w:pStyle w:val="30"/>
        <w:bidi w:val="0"/>
      </w:pPr>
      <w:bookmarkStart w:id="13" w:name="_Toc17838"/>
      <w:r>
        <w:rPr>
          <w:rFonts w:hint="eastAsia"/>
          <w:lang w:val="en-US" w:eastAsia="zh-CN"/>
        </w:rPr>
        <w:t>服务</w:t>
      </w:r>
      <w:r>
        <w:t>知识的收集、提供、发布</w:t>
      </w:r>
      <w:bookmarkEnd w:id="13"/>
    </w:p>
    <w:p w14:paraId="67532F6A">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任何人均是知识创建者，均可以创建知识，知识被创建后提交知识申</w:t>
      </w:r>
      <w:r>
        <w:rPr>
          <w:rFonts w:ascii="宋体" w:hAnsi="宋体" w:eastAsia="宋体" w:cs="宋体"/>
          <w:spacing w:val="-4"/>
          <w:sz w:val="24"/>
          <w:szCs w:val="24"/>
        </w:rPr>
        <w:t>请；</w:t>
      </w:r>
    </w:p>
    <w:p w14:paraId="74FA09DD">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服务</w:t>
      </w:r>
      <w:r>
        <w:rPr>
          <w:rFonts w:ascii="宋体" w:hAnsi="宋体" w:eastAsia="宋体" w:cs="宋体"/>
          <w:spacing w:val="-1"/>
          <w:sz w:val="24"/>
          <w:szCs w:val="24"/>
        </w:rPr>
        <w:t>知识管理员对知识创建者提交的知识申请进行整理、上传；</w:t>
      </w:r>
    </w:p>
    <w:p w14:paraId="695D7B96">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服务知识经理</w:t>
      </w:r>
      <w:r>
        <w:rPr>
          <w:rFonts w:ascii="宋体" w:hAnsi="宋体" w:eastAsia="宋体" w:cs="宋体"/>
          <w:spacing w:val="1"/>
          <w:sz w:val="24"/>
          <w:szCs w:val="24"/>
        </w:rPr>
        <w:t>对知识进行审核,通过后知识正式生成，详细记录审批过程</w:t>
      </w:r>
      <w:r>
        <w:rPr>
          <w:rFonts w:ascii="宋体" w:hAnsi="宋体" w:eastAsia="宋体" w:cs="宋体"/>
          <w:spacing w:val="-1"/>
          <w:sz w:val="24"/>
          <w:szCs w:val="24"/>
        </w:rPr>
        <w:t>及通过原由，包括知识是否有意义、知识是否清晰等；</w:t>
      </w:r>
    </w:p>
    <w:p w14:paraId="7A094B1C">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知识被更改后，需要重新进行分类和审核，知识更改人需要提交更改</w:t>
      </w:r>
      <w:r>
        <w:rPr>
          <w:rFonts w:ascii="宋体" w:hAnsi="宋体" w:eastAsia="宋体" w:cs="宋体"/>
          <w:spacing w:val="-6"/>
          <w:sz w:val="24"/>
          <w:szCs w:val="24"/>
        </w:rPr>
        <w:t>知识原由并由</w:t>
      </w:r>
      <w:r>
        <w:rPr>
          <w:rFonts w:hint="eastAsia" w:ascii="宋体" w:hAnsi="宋体" w:eastAsia="宋体" w:cs="宋体"/>
          <w:spacing w:val="-6"/>
          <w:sz w:val="24"/>
          <w:szCs w:val="24"/>
          <w:lang w:val="en-US" w:eastAsia="zh-CN"/>
        </w:rPr>
        <w:t>知识服务经理</w:t>
      </w:r>
      <w:r>
        <w:rPr>
          <w:rFonts w:ascii="宋体" w:hAnsi="宋体" w:eastAsia="宋体" w:cs="宋体"/>
          <w:spacing w:val="-6"/>
          <w:sz w:val="24"/>
          <w:szCs w:val="24"/>
        </w:rPr>
        <w:t>记录更改过程。</w:t>
      </w:r>
    </w:p>
    <w:p w14:paraId="3D138727">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创建知识时，首先检索系统里有。没有相同的知识，如有雷同则关闭</w:t>
      </w:r>
      <w:r>
        <w:rPr>
          <w:rFonts w:ascii="宋体" w:hAnsi="宋体" w:eastAsia="宋体" w:cs="宋体"/>
          <w:spacing w:val="-3"/>
          <w:sz w:val="24"/>
          <w:szCs w:val="24"/>
        </w:rPr>
        <w:t>知识创建请求，可根据需要对原有知识做更新，同时由知识管理员判断是否对原</w:t>
      </w:r>
      <w:r>
        <w:rPr>
          <w:rFonts w:ascii="宋体" w:hAnsi="宋体" w:eastAsia="宋体" w:cs="宋体"/>
          <w:spacing w:val="-1"/>
          <w:sz w:val="24"/>
          <w:szCs w:val="24"/>
        </w:rPr>
        <w:t>有知识进行备份，再对知识进行发布。</w:t>
      </w:r>
    </w:p>
    <w:p w14:paraId="12A7816B">
      <w:pPr>
        <w:pStyle w:val="30"/>
        <w:bidi w:val="0"/>
      </w:pPr>
      <w:bookmarkStart w:id="14" w:name="_Toc14411"/>
      <w:r>
        <w:t>知识的整理、更改</w:t>
      </w:r>
      <w:bookmarkEnd w:id="14"/>
    </w:p>
    <w:p w14:paraId="34CC0E1A">
      <w:pPr>
        <w:pStyle w:val="29"/>
        <w:keepNext w:val="0"/>
        <w:keepLines w:val="0"/>
        <w:pageBreakBefore w:val="0"/>
        <w:widowControl/>
        <w:numPr>
          <w:ilvl w:val="0"/>
          <w:numId w:val="8"/>
        </w:numPr>
        <w:kinsoku w:val="0"/>
        <w:wordWrap/>
        <w:overflowPunct/>
        <w:topLinePunct w:val="0"/>
        <w:autoSpaceDE w:val="0"/>
        <w:autoSpaceDN w:val="0"/>
        <w:bidi w:val="0"/>
        <w:adjustRightInd w:val="0"/>
        <w:snapToGrid w:val="0"/>
        <w:ind w:left="425" w:leftChars="0" w:hanging="425" w:firstLineChars="0"/>
        <w:textAlignment w:val="baseline"/>
      </w:pPr>
      <w:r>
        <w:t>相关</w:t>
      </w:r>
      <w:r>
        <w:rPr>
          <w:rFonts w:hint="eastAsia"/>
          <w:lang w:val="en-US" w:eastAsia="zh-CN"/>
        </w:rPr>
        <w:t>服务</w:t>
      </w:r>
      <w:r>
        <w:t>知识管理</w:t>
      </w:r>
      <w:r>
        <w:rPr>
          <w:rFonts w:hint="eastAsia"/>
          <w:lang w:val="en-US" w:eastAsia="zh-CN"/>
        </w:rPr>
        <w:t>员</w:t>
      </w:r>
      <w:r>
        <w:t>应及时对知识进行更新和修改，任何人均可提出知识文件更改的建议，由原保存人或管理者进行修改；</w:t>
      </w:r>
    </w:p>
    <w:p w14:paraId="17A6C7E3">
      <w:pPr>
        <w:pStyle w:val="29"/>
        <w:keepNext w:val="0"/>
        <w:keepLines w:val="0"/>
        <w:pageBreakBefore w:val="0"/>
        <w:widowControl/>
        <w:numPr>
          <w:ilvl w:val="0"/>
          <w:numId w:val="8"/>
        </w:numPr>
        <w:kinsoku w:val="0"/>
        <w:wordWrap/>
        <w:overflowPunct/>
        <w:topLinePunct w:val="0"/>
        <w:autoSpaceDE w:val="0"/>
        <w:autoSpaceDN w:val="0"/>
        <w:bidi w:val="0"/>
        <w:adjustRightInd w:val="0"/>
        <w:snapToGrid w:val="0"/>
        <w:ind w:left="425" w:leftChars="0" w:hanging="425" w:firstLineChars="0"/>
        <w:textAlignment w:val="baseline"/>
      </w:pPr>
      <w:bookmarkStart w:id="15" w:name="bookmark5"/>
      <w:bookmarkEnd w:id="15"/>
      <w:r>
        <w:t>相关知识管理责任部门应定期对知识（包括电子文档与文件）进行整</w:t>
      </w:r>
      <w:bookmarkStart w:id="16" w:name="bookmark5"/>
      <w:bookmarkEnd w:id="16"/>
      <w:r>
        <w:t>理</w:t>
      </w:r>
    </w:p>
    <w:p w14:paraId="5CA93D94">
      <w:pPr>
        <w:pStyle w:val="29"/>
        <w:keepNext w:val="0"/>
        <w:keepLines w:val="0"/>
        <w:pageBreakBefore w:val="0"/>
        <w:widowControl/>
        <w:numPr>
          <w:ilvl w:val="0"/>
          <w:numId w:val="8"/>
        </w:numPr>
        <w:kinsoku w:val="0"/>
        <w:wordWrap/>
        <w:overflowPunct/>
        <w:topLinePunct w:val="0"/>
        <w:autoSpaceDE w:val="0"/>
        <w:autoSpaceDN w:val="0"/>
        <w:bidi w:val="0"/>
        <w:adjustRightInd w:val="0"/>
        <w:snapToGrid w:val="0"/>
        <w:ind w:left="425" w:leftChars="0" w:hanging="425" w:firstLineChars="0"/>
        <w:textAlignment w:val="baseline"/>
      </w:pPr>
      <w:r>
        <w:rPr>
          <w:rFonts w:hint="eastAsia"/>
          <w:lang w:val="en-US" w:eastAsia="zh-CN"/>
        </w:rPr>
        <w:t>服务</w:t>
      </w:r>
      <w:r>
        <w:t>知识管理员定期收集对已有知识的改进/修正意见，及时更新知识内容，必须由服务知识管理员理进行审核，审核通过后方可发布。一定期限后对文档要进行归档处理，保证公开资料的时间有效性</w:t>
      </w:r>
    </w:p>
    <w:p w14:paraId="4D7796C6">
      <w:pPr>
        <w:pStyle w:val="29"/>
        <w:keepNext w:val="0"/>
        <w:keepLines w:val="0"/>
        <w:pageBreakBefore w:val="0"/>
        <w:widowControl/>
        <w:numPr>
          <w:ilvl w:val="0"/>
          <w:numId w:val="8"/>
        </w:numPr>
        <w:kinsoku w:val="0"/>
        <w:wordWrap/>
        <w:overflowPunct/>
        <w:topLinePunct w:val="0"/>
        <w:autoSpaceDE w:val="0"/>
        <w:autoSpaceDN w:val="0"/>
        <w:bidi w:val="0"/>
        <w:adjustRightInd w:val="0"/>
        <w:snapToGrid w:val="0"/>
        <w:ind w:left="425" w:leftChars="0" w:hanging="425" w:firstLineChars="0"/>
        <w:textAlignment w:val="baseline"/>
      </w:pPr>
      <w:bookmarkStart w:id="17" w:name="bookmark6"/>
      <w:bookmarkEnd w:id="17"/>
      <w:r>
        <w:t>重要文件应进行版本管理，更新后的旧版本应存档备案</w:t>
      </w:r>
    </w:p>
    <w:p w14:paraId="474B3F7F">
      <w:pPr>
        <w:pStyle w:val="30"/>
        <w:bidi w:val="0"/>
      </w:pPr>
      <w:r>
        <w:t xml:space="preserve"> </w:t>
      </w:r>
      <w:bookmarkStart w:id="18" w:name="_Toc30775"/>
      <w:r>
        <w:t>知识的公开、限制与保密</w:t>
      </w:r>
      <w:bookmarkEnd w:id="18"/>
    </w:p>
    <w:p w14:paraId="0DAAB902">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z w:val="24"/>
          <w:szCs w:val="24"/>
        </w:rPr>
      </w:pPr>
      <w:r>
        <w:rPr>
          <w:rFonts w:ascii="宋体" w:hAnsi="宋体" w:eastAsia="宋体" w:cs="宋体"/>
          <w:sz w:val="24"/>
          <w:szCs w:val="24"/>
        </w:rPr>
        <w:t>相关知识管理责任部门应随时对知识（包括电子文档与文件）进行</w:t>
      </w:r>
      <w:r>
        <w:rPr>
          <w:rFonts w:ascii="宋体" w:hAnsi="宋体" w:eastAsia="宋体" w:cs="宋体"/>
          <w:spacing w:val="-3"/>
          <w:sz w:val="24"/>
          <w:szCs w:val="24"/>
        </w:rPr>
        <w:t>查看，并有权随时删除禁止发布或不宜发布的信息，禁止发布与不易发布的</w:t>
      </w:r>
      <w:r>
        <w:rPr>
          <w:rFonts w:ascii="宋体" w:hAnsi="宋体" w:eastAsia="宋体" w:cs="宋体"/>
          <w:spacing w:val="-4"/>
          <w:sz w:val="24"/>
          <w:szCs w:val="24"/>
        </w:rPr>
        <w:t>标准</w:t>
      </w:r>
      <w:r>
        <w:rPr>
          <w:rFonts w:ascii="宋体" w:hAnsi="宋体" w:eastAsia="宋体" w:cs="宋体"/>
          <w:spacing w:val="-1"/>
          <w:sz w:val="24"/>
          <w:szCs w:val="24"/>
        </w:rPr>
        <w:t>由相关知识管理责任部门制定</w:t>
      </w:r>
    </w:p>
    <w:p w14:paraId="3BF1A9B8">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z w:val="24"/>
          <w:szCs w:val="24"/>
        </w:rPr>
      </w:pPr>
      <w:bookmarkStart w:id="19" w:name="bookmark7"/>
      <w:bookmarkEnd w:id="19"/>
      <w:r>
        <w:rPr>
          <w:rFonts w:ascii="宋体" w:hAnsi="宋体" w:eastAsia="宋体" w:cs="宋体"/>
          <w:sz w:val="24"/>
          <w:szCs w:val="24"/>
        </w:rPr>
        <w:t>任何人均可提出知识公开、限制与保密的建议。</w:t>
      </w:r>
    </w:p>
    <w:p w14:paraId="42A2F94C">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hint="eastAsia" w:ascii="宋体" w:hAnsi="宋体" w:eastAsia="宋体" w:cs="宋体"/>
          <w:sz w:val="24"/>
          <w:szCs w:val="24"/>
          <w:lang w:eastAsia="zh-CN"/>
        </w:rPr>
      </w:pPr>
      <w:r>
        <w:rPr>
          <w:rFonts w:ascii="宋体" w:hAnsi="宋体" w:eastAsia="宋体" w:cs="宋体"/>
          <w:sz w:val="24"/>
          <w:szCs w:val="24"/>
        </w:rPr>
        <w:t>知识的限制级</w:t>
      </w:r>
      <w:bookmarkStart w:id="29" w:name="_GoBack"/>
      <w:bookmarkEnd w:id="29"/>
      <w:r>
        <w:rPr>
          <w:rFonts w:ascii="宋体" w:hAnsi="宋体" w:eastAsia="宋体" w:cs="宋体"/>
          <w:sz w:val="24"/>
          <w:szCs w:val="24"/>
        </w:rPr>
        <w:t>别应由公司组织专门会议讨论不同类型知识的不同授权级别，并规定相应的使用人权限</w:t>
      </w:r>
      <w:r>
        <w:rPr>
          <w:rFonts w:hint="eastAsia" w:ascii="宋体" w:hAnsi="宋体" w:eastAsia="宋体" w:cs="宋体"/>
          <w:sz w:val="24"/>
          <w:szCs w:val="24"/>
          <w:lang w:eastAsia="zh-CN"/>
        </w:rPr>
        <w:t>。</w:t>
      </w:r>
    </w:p>
    <w:p w14:paraId="6427AEE0">
      <w:pPr>
        <w:pStyle w:val="30"/>
        <w:bidi w:val="0"/>
      </w:pPr>
      <w:bookmarkStart w:id="20" w:name="_Toc8984"/>
      <w:r>
        <w:t>知识的使用</w:t>
      </w:r>
      <w:bookmarkEnd w:id="20"/>
    </w:p>
    <w:p w14:paraId="36D38327">
      <w:pPr>
        <w:pStyle w:val="29"/>
        <w:bidi w:val="0"/>
      </w:pPr>
      <w:r>
        <w:t>知识的使用指服务台及技术支持人员在受理运维相关业务的过程中，</w:t>
      </w:r>
      <w:r>
        <w:rPr>
          <w:rFonts w:hint="eastAsia"/>
          <w:lang w:val="en-US" w:eastAsia="zh-CN"/>
        </w:rPr>
        <w:t>通过查</w:t>
      </w:r>
      <w:r>
        <w:t>阅服务知识相关内容，对客户提出的与运维服务相关的问题作出回答/解决。</w:t>
      </w:r>
    </w:p>
    <w:p w14:paraId="060668FA">
      <w:pPr>
        <w:pStyle w:val="29"/>
        <w:bidi w:val="0"/>
      </w:pPr>
      <w:r>
        <w:t>服务台人员在受理运维业务时，首先查询服务知识内是否有相应知识内容。能当场回答/解决的，根据服务知识内相应知识内容当场进行回答；不能当场回答/解决的，采取三方通话的形式进行回答/解决；既不能当场回答/解决，又未能通过三方通话进行回答/解决的，由服务台人员提交项目管理组处理，以回答/解决该问题。</w:t>
      </w:r>
    </w:p>
    <w:p w14:paraId="1D348B4C">
      <w:pPr>
        <w:pStyle w:val="30"/>
        <w:bidi w:val="0"/>
      </w:pPr>
      <w:bookmarkStart w:id="21" w:name="_Toc3255"/>
      <w:r>
        <w:rPr>
          <w:rFonts w:hint="eastAsia"/>
          <w:lang w:val="en-US" w:eastAsia="zh-CN"/>
        </w:rPr>
        <w:t>服务知识淘汰</w:t>
      </w:r>
      <w:bookmarkEnd w:id="21"/>
    </w:p>
    <w:p w14:paraId="46D761DF">
      <w:pPr>
        <w:spacing w:before="184" w:line="361" w:lineRule="auto"/>
        <w:ind w:left="23" w:right="66" w:firstLine="493"/>
        <w:jc w:val="both"/>
        <w:rPr>
          <w:rFonts w:ascii="宋体" w:hAnsi="宋体" w:eastAsia="宋体" w:cs="宋体"/>
          <w:spacing w:val="-1"/>
          <w:sz w:val="24"/>
          <w:szCs w:val="24"/>
        </w:rPr>
      </w:pPr>
      <w:r>
        <w:rPr>
          <w:rFonts w:ascii="宋体" w:hAnsi="宋体" w:eastAsia="宋体" w:cs="宋体"/>
          <w:spacing w:val="-4"/>
          <w:sz w:val="24"/>
          <w:szCs w:val="24"/>
        </w:rPr>
        <w:t>随着技术的更新，已有知识会逐步的被淘汰，已有知识淘汰更新及新知识的</w:t>
      </w:r>
      <w:r>
        <w:rPr>
          <w:rFonts w:ascii="宋体" w:hAnsi="宋体" w:eastAsia="宋体" w:cs="宋体"/>
          <w:spacing w:val="-3"/>
          <w:sz w:val="24"/>
          <w:szCs w:val="24"/>
        </w:rPr>
        <w:t>纳入发布由运维部、技术部及知识专家共同负责，经运维部经理、分管副总审核</w:t>
      </w:r>
      <w:r>
        <w:rPr>
          <w:rFonts w:ascii="宋体" w:hAnsi="宋体" w:eastAsia="宋体" w:cs="宋体"/>
          <w:spacing w:val="-1"/>
          <w:sz w:val="24"/>
          <w:szCs w:val="24"/>
        </w:rPr>
        <w:t>通过后，方可宣布知识淘汰。</w:t>
      </w:r>
    </w:p>
    <w:p w14:paraId="2CC0B064">
      <w:pPr>
        <w:pStyle w:val="30"/>
        <w:bidi w:val="0"/>
        <w:rPr>
          <w:rFonts w:hint="default"/>
          <w:lang w:val="en-US" w:eastAsia="zh-CN"/>
        </w:rPr>
      </w:pPr>
      <w:bookmarkStart w:id="22" w:name="_Toc21126"/>
      <w:r>
        <w:rPr>
          <w:rFonts w:hint="eastAsia"/>
          <w:lang w:val="en-US" w:eastAsia="zh-CN"/>
        </w:rPr>
        <w:t>服务知识考核指标</w:t>
      </w:r>
      <w:bookmarkEnd w:id="22"/>
    </w:p>
    <w:p w14:paraId="54D26BFC">
      <w:pPr>
        <w:pStyle w:val="29"/>
        <w:rPr>
          <w:rFonts w:hint="eastAsia"/>
          <w:lang w:val="en-US" w:eastAsia="zh-CN"/>
        </w:rPr>
      </w:pPr>
      <w:r>
        <w:rPr>
          <w:rFonts w:hint="eastAsia"/>
          <w:lang w:val="en-US" w:eastAsia="zh-CN"/>
        </w:rPr>
        <w:t>服务知识考核指标如表5-2所示</w:t>
      </w:r>
    </w:p>
    <w:p w14:paraId="33CE9620">
      <w:pPr>
        <w:bidi w:val="0"/>
        <w:rPr>
          <w:rFonts w:hint="default"/>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xml:space="preserve"> 服务知识分类</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6"/>
        <w:gridCol w:w="1964"/>
        <w:gridCol w:w="2583"/>
        <w:gridCol w:w="1353"/>
        <w:gridCol w:w="1583"/>
      </w:tblGrid>
      <w:tr w14:paraId="64614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14:paraId="37616C03">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编号</w:t>
            </w:r>
          </w:p>
        </w:tc>
        <w:tc>
          <w:tcPr>
            <w:tcW w:w="1964" w:type="dxa"/>
          </w:tcPr>
          <w:p w14:paraId="570E8829">
            <w:pPr>
              <w:pStyle w:val="29"/>
              <w:widowControl w:val="0"/>
              <w:rPr>
                <w:rFonts w:hint="default"/>
                <w:vertAlign w:val="baseline"/>
                <w:lang w:val="en-US" w:eastAsia="zh-CN"/>
              </w:rPr>
            </w:pPr>
            <w:r>
              <w:rPr>
                <w:rFonts w:hint="eastAsia"/>
                <w:vertAlign w:val="baseline"/>
                <w:lang w:val="en-US" w:eastAsia="zh-CN"/>
              </w:rPr>
              <w:t>指标名称</w:t>
            </w:r>
          </w:p>
        </w:tc>
        <w:tc>
          <w:tcPr>
            <w:tcW w:w="2583" w:type="dxa"/>
          </w:tcPr>
          <w:p w14:paraId="36DC3899">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指标计算方式</w:t>
            </w:r>
          </w:p>
        </w:tc>
        <w:tc>
          <w:tcPr>
            <w:tcW w:w="1353" w:type="dxa"/>
          </w:tcPr>
          <w:p w14:paraId="3B6D449C">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考核频次</w:t>
            </w:r>
          </w:p>
        </w:tc>
        <w:tc>
          <w:tcPr>
            <w:tcW w:w="1583" w:type="dxa"/>
          </w:tcPr>
          <w:p w14:paraId="7BE0BA8E">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目标值</w:t>
            </w:r>
          </w:p>
        </w:tc>
      </w:tr>
      <w:tr w14:paraId="68C4F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1036" w:type="dxa"/>
          </w:tcPr>
          <w:p w14:paraId="418AEB61">
            <w:pPr>
              <w:pStyle w:val="29"/>
              <w:widowControl w:val="0"/>
              <w:numPr>
                <w:ilvl w:val="0"/>
                <w:numId w:val="10"/>
              </w:numPr>
              <w:ind w:left="425" w:leftChars="0" w:hanging="425" w:firstLineChars="0"/>
              <w:rPr>
                <w:rFonts w:hint="default"/>
                <w:vertAlign w:val="baseline"/>
                <w:lang w:val="en-US" w:eastAsia="zh-CN"/>
              </w:rPr>
            </w:pPr>
          </w:p>
        </w:tc>
        <w:tc>
          <w:tcPr>
            <w:tcW w:w="1964" w:type="dxa"/>
          </w:tcPr>
          <w:p w14:paraId="395C77A5">
            <w:pPr>
              <w:pStyle w:val="29"/>
              <w:widowControl w:val="0"/>
              <w:ind w:left="0" w:leftChars="0" w:firstLine="0" w:firstLineChars="0"/>
              <w:jc w:val="both"/>
              <w:rPr>
                <w:rFonts w:hint="default"/>
                <w:vertAlign w:val="baseline"/>
                <w:lang w:val="en-US" w:eastAsia="zh-CN"/>
              </w:rPr>
            </w:pPr>
            <w:r>
              <w:rPr>
                <w:rFonts w:hint="eastAsia"/>
                <w:vertAlign w:val="baseline"/>
                <w:lang w:val="en-US" w:eastAsia="zh-CN"/>
              </w:rPr>
              <w:t>知识分类覆盖率</w:t>
            </w:r>
          </w:p>
        </w:tc>
        <w:tc>
          <w:tcPr>
            <w:tcW w:w="2583" w:type="dxa"/>
          </w:tcPr>
          <w:p w14:paraId="27347DB2">
            <w:pPr>
              <w:pStyle w:val="29"/>
              <w:widowControl w:val="0"/>
              <w:ind w:left="0" w:leftChars="0" w:firstLine="0" w:firstLineChars="0"/>
              <w:jc w:val="both"/>
              <w:rPr>
                <w:rFonts w:hint="default"/>
                <w:vertAlign w:val="baseline"/>
                <w:lang w:val="en-US" w:eastAsia="zh-CN"/>
              </w:rPr>
            </w:pPr>
            <w:r>
              <w:rPr>
                <w:rFonts w:hint="eastAsia"/>
                <w:vertAlign w:val="baseline"/>
                <w:lang w:val="en-US" w:eastAsia="zh-CN"/>
              </w:rPr>
              <w:t>软件的可用数/软件库中软件总数×100 %</w:t>
            </w:r>
          </w:p>
        </w:tc>
        <w:tc>
          <w:tcPr>
            <w:tcW w:w="1353" w:type="dxa"/>
          </w:tcPr>
          <w:p w14:paraId="2E961F64">
            <w:pPr>
              <w:pStyle w:val="29"/>
              <w:widowControl w:val="0"/>
              <w:rPr>
                <w:rFonts w:hint="default"/>
                <w:vertAlign w:val="baseline"/>
                <w:lang w:val="en-US" w:eastAsia="zh-CN"/>
              </w:rPr>
            </w:pPr>
            <w:r>
              <w:rPr>
                <w:rFonts w:hint="eastAsia"/>
                <w:vertAlign w:val="baseline"/>
                <w:lang w:val="en-US" w:eastAsia="zh-CN"/>
              </w:rPr>
              <w:t>年度</w:t>
            </w:r>
          </w:p>
        </w:tc>
        <w:tc>
          <w:tcPr>
            <w:tcW w:w="1583" w:type="dxa"/>
          </w:tcPr>
          <w:p w14:paraId="6A5D6556">
            <w:pPr>
              <w:pStyle w:val="29"/>
              <w:widowControl w:val="0"/>
              <w:rPr>
                <w:rFonts w:hint="eastAsia"/>
                <w:vertAlign w:val="baseline"/>
                <w:lang w:val="en-US" w:eastAsia="zh-CN"/>
              </w:rPr>
            </w:pPr>
            <w:r>
              <w:rPr>
                <w:rFonts w:ascii="宋体" w:hAnsi="宋体" w:eastAsia="宋体" w:cs="宋体"/>
                <w:spacing w:val="-1"/>
                <w:sz w:val="24"/>
                <w:szCs w:val="24"/>
              </w:rPr>
              <w:t>≥9</w:t>
            </w:r>
            <w:r>
              <w:rPr>
                <w:rFonts w:hint="eastAsia" w:ascii="宋体" w:hAnsi="宋体" w:cs="宋体"/>
                <w:spacing w:val="-1"/>
                <w:sz w:val="24"/>
                <w:szCs w:val="24"/>
                <w:lang w:val="en-US" w:eastAsia="zh-CN"/>
              </w:rPr>
              <w:t>5</w:t>
            </w:r>
            <w:r>
              <w:rPr>
                <w:rFonts w:ascii="宋体" w:hAnsi="宋体" w:eastAsia="宋体" w:cs="宋体"/>
                <w:spacing w:val="-1"/>
                <w:sz w:val="24"/>
                <w:szCs w:val="24"/>
              </w:rPr>
              <w:t>%</w:t>
            </w:r>
          </w:p>
        </w:tc>
      </w:tr>
    </w:tbl>
    <w:p w14:paraId="1292F1DE">
      <w:pPr>
        <w:pStyle w:val="28"/>
        <w:bidi w:val="0"/>
        <w:rPr>
          <w:rStyle w:val="38"/>
          <w:rFonts w:hint="default" w:eastAsia="宋体"/>
          <w:lang w:val="en-US" w:eastAsia="zh-CN"/>
        </w:rPr>
      </w:pPr>
      <w:bookmarkStart w:id="23" w:name="bookmark3"/>
      <w:bookmarkEnd w:id="23"/>
      <w:bookmarkStart w:id="24" w:name="_Toc17424"/>
      <w:bookmarkStart w:id="25" w:name="_Toc29894"/>
      <w:r>
        <w:rPr>
          <w:rStyle w:val="38"/>
          <w:rFonts w:hint="eastAsia" w:eastAsia="宋体"/>
          <w:lang w:val="en-US" w:eastAsia="zh-CN"/>
        </w:rPr>
        <w:t>附则</w:t>
      </w:r>
      <w:bookmarkEnd w:id="24"/>
      <w:bookmarkEnd w:id="25"/>
    </w:p>
    <w:p w14:paraId="17535BAC">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26" w:name="bookmark14"/>
      <w:bookmarkEnd w:id="26"/>
      <w:bookmarkStart w:id="27" w:name="_Toc32748"/>
      <w:r>
        <w:rPr>
          <w:rFonts w:hint="eastAsia"/>
          <w:lang w:val="en-US" w:eastAsia="zh-CN"/>
        </w:rPr>
        <w:t>附件</w:t>
      </w:r>
      <w:bookmarkEnd w:id="27"/>
    </w:p>
    <w:p w14:paraId="308F41CB">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bookmarkStart w:id="28" w:name="_Toc25082"/>
      <w:r>
        <w:rPr>
          <w:rFonts w:hint="eastAsia"/>
          <w:lang w:val="en-US" w:eastAsia="zh-CN"/>
        </w:rPr>
        <w:t>记录</w:t>
      </w:r>
      <w:bookmarkEnd w:id="28"/>
    </w:p>
    <w:p w14:paraId="11318011">
      <w:pPr>
        <w:pStyle w:val="29"/>
        <w:rPr>
          <w:rFonts w:hint="default"/>
          <w:lang w:val="en-US" w:eastAsia="zh-CN"/>
        </w:rPr>
      </w:pPr>
      <w:r>
        <w:rPr>
          <w:rFonts w:hint="eastAsia"/>
          <w:lang w:val="en-US" w:eastAsia="zh-CN"/>
        </w:rPr>
        <w:t>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15681B7"/>
    <w:multiLevelType w:val="singleLevel"/>
    <w:tmpl w:val="A15681B7"/>
    <w:lvl w:ilvl="0" w:tentative="0">
      <w:start w:val="1"/>
      <w:numFmt w:val="decimal"/>
      <w:lvlText w:val="%1."/>
      <w:lvlJc w:val="left"/>
      <w:pPr>
        <w:ind w:left="425" w:hanging="425"/>
      </w:pPr>
      <w:rPr>
        <w:rFonts w:hint="default"/>
      </w:rPr>
    </w:lvl>
  </w:abstractNum>
  <w:abstractNum w:abstractNumId="2">
    <w:nsid w:val="B3137E32"/>
    <w:multiLevelType w:val="singleLevel"/>
    <w:tmpl w:val="B3137E32"/>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abstractNum w:abstractNumId="4">
    <w:nsid w:val="FA255A08"/>
    <w:multiLevelType w:val="singleLevel"/>
    <w:tmpl w:val="FA255A08"/>
    <w:lvl w:ilvl="0" w:tentative="0">
      <w:start w:val="1"/>
      <w:numFmt w:val="decimal"/>
      <w:lvlText w:val="%1."/>
      <w:lvlJc w:val="left"/>
      <w:pPr>
        <w:ind w:left="425" w:hanging="425"/>
      </w:pPr>
      <w:rPr>
        <w:rFonts w:hint="default"/>
      </w:rPr>
    </w:lvl>
  </w:abstractNum>
  <w:abstractNum w:abstractNumId="5">
    <w:nsid w:val="FC9046B5"/>
    <w:multiLevelType w:val="singleLevel"/>
    <w:tmpl w:val="FC9046B5"/>
    <w:lvl w:ilvl="0" w:tentative="0">
      <w:start w:val="1"/>
      <w:numFmt w:val="decimal"/>
      <w:lvlText w:val="%1."/>
      <w:lvlJc w:val="left"/>
      <w:pPr>
        <w:ind w:left="425" w:hanging="425"/>
      </w:pPr>
      <w:rPr>
        <w:rFonts w:hint="default"/>
      </w:rPr>
    </w:lvl>
  </w:abstractNum>
  <w:abstractNum w:abstractNumId="6">
    <w:nsid w:val="013FB84B"/>
    <w:multiLevelType w:val="singleLevel"/>
    <w:tmpl w:val="013FB84B"/>
    <w:lvl w:ilvl="0" w:tentative="0">
      <w:start w:val="1"/>
      <w:numFmt w:val="decimal"/>
      <w:lvlText w:val="%1."/>
      <w:lvlJc w:val="left"/>
      <w:pPr>
        <w:ind w:left="425" w:hanging="425"/>
      </w:pPr>
      <w:rPr>
        <w:rFonts w:hint="default"/>
      </w:rPr>
    </w:lvl>
  </w:abstractNum>
  <w:abstractNum w:abstractNumId="7">
    <w:nsid w:val="06C1ADB9"/>
    <w:multiLevelType w:val="singleLevel"/>
    <w:tmpl w:val="06C1ADB9"/>
    <w:lvl w:ilvl="0" w:tentative="0">
      <w:start w:val="1"/>
      <w:numFmt w:val="decimal"/>
      <w:lvlText w:val="%1."/>
      <w:lvlJc w:val="left"/>
      <w:pPr>
        <w:ind w:left="425" w:hanging="425"/>
      </w:pPr>
      <w:rPr>
        <w:rFonts w:hint="default"/>
      </w:rPr>
    </w:lvl>
  </w:abstractNum>
  <w:abstractNum w:abstractNumId="8">
    <w:nsid w:val="4C591BD8"/>
    <w:multiLevelType w:val="singleLevel"/>
    <w:tmpl w:val="4C591BD8"/>
    <w:lvl w:ilvl="0" w:tentative="0">
      <w:start w:val="1"/>
      <w:numFmt w:val="decimal"/>
      <w:lvlText w:val="%1."/>
      <w:lvlJc w:val="left"/>
      <w:pPr>
        <w:ind w:left="425" w:hanging="425"/>
      </w:pPr>
      <w:rPr>
        <w:rFonts w:hint="default"/>
      </w:rPr>
    </w:lvl>
  </w:abstractNum>
  <w:abstractNum w:abstractNumId="9">
    <w:nsid w:val="550EBF31"/>
    <w:multiLevelType w:val="singleLevel"/>
    <w:tmpl w:val="550EBF31"/>
    <w:lvl w:ilvl="0" w:tentative="0">
      <w:start w:val="1"/>
      <w:numFmt w:val="decimal"/>
      <w:lvlText w:val="%1."/>
      <w:lvlJc w:val="left"/>
      <w:pPr>
        <w:ind w:left="425" w:hanging="425"/>
      </w:pPr>
      <w:rPr>
        <w:rFonts w:hint="default"/>
      </w:rPr>
    </w:lvl>
  </w:abstractNum>
  <w:abstractNum w:abstractNumId="10">
    <w:nsid w:val="5B355D7A"/>
    <w:multiLevelType w:val="singleLevel"/>
    <w:tmpl w:val="5B355D7A"/>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5"/>
  </w:num>
  <w:num w:numId="4">
    <w:abstractNumId w:val="4"/>
  </w:num>
  <w:num w:numId="5">
    <w:abstractNumId w:val="10"/>
  </w:num>
  <w:num w:numId="6">
    <w:abstractNumId w:val="8"/>
  </w:num>
  <w:num w:numId="7">
    <w:abstractNumId w:val="2"/>
  </w:num>
  <w:num w:numId="8">
    <w:abstractNumId w:val="9"/>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B93F2F"/>
    <w:rsid w:val="02105DD0"/>
    <w:rsid w:val="0284056C"/>
    <w:rsid w:val="04671EF4"/>
    <w:rsid w:val="05573D16"/>
    <w:rsid w:val="05C8669A"/>
    <w:rsid w:val="061D286A"/>
    <w:rsid w:val="08055CAB"/>
    <w:rsid w:val="08713C2B"/>
    <w:rsid w:val="08DD4532"/>
    <w:rsid w:val="09615163"/>
    <w:rsid w:val="099B4FCE"/>
    <w:rsid w:val="0A3737F7"/>
    <w:rsid w:val="0A6A44EC"/>
    <w:rsid w:val="0B13248D"/>
    <w:rsid w:val="0B930577"/>
    <w:rsid w:val="0CA84E57"/>
    <w:rsid w:val="0D293625"/>
    <w:rsid w:val="0D886E6E"/>
    <w:rsid w:val="0DC14423"/>
    <w:rsid w:val="0E322F59"/>
    <w:rsid w:val="0E4869E6"/>
    <w:rsid w:val="0EC54DF5"/>
    <w:rsid w:val="0EC8358F"/>
    <w:rsid w:val="100912AD"/>
    <w:rsid w:val="104D4694"/>
    <w:rsid w:val="107D580A"/>
    <w:rsid w:val="112371A2"/>
    <w:rsid w:val="112A43FB"/>
    <w:rsid w:val="119775A7"/>
    <w:rsid w:val="11BA7B07"/>
    <w:rsid w:val="13AE5449"/>
    <w:rsid w:val="141F6347"/>
    <w:rsid w:val="14634486"/>
    <w:rsid w:val="154F1740"/>
    <w:rsid w:val="160F7CF5"/>
    <w:rsid w:val="167A1613"/>
    <w:rsid w:val="16C265E3"/>
    <w:rsid w:val="170C7BDF"/>
    <w:rsid w:val="181F6915"/>
    <w:rsid w:val="186809F9"/>
    <w:rsid w:val="18891FE1"/>
    <w:rsid w:val="193B777F"/>
    <w:rsid w:val="19991904"/>
    <w:rsid w:val="1A264519"/>
    <w:rsid w:val="1AC27A2C"/>
    <w:rsid w:val="1B8D153C"/>
    <w:rsid w:val="1B9F38C9"/>
    <w:rsid w:val="1CA322ED"/>
    <w:rsid w:val="1CFA72C7"/>
    <w:rsid w:val="1D036806"/>
    <w:rsid w:val="1D7B4B8F"/>
    <w:rsid w:val="1E360515"/>
    <w:rsid w:val="1E9A5942"/>
    <w:rsid w:val="1F1F369F"/>
    <w:rsid w:val="209179EB"/>
    <w:rsid w:val="20A0436C"/>
    <w:rsid w:val="21617F9F"/>
    <w:rsid w:val="227105D1"/>
    <w:rsid w:val="231352C9"/>
    <w:rsid w:val="24101808"/>
    <w:rsid w:val="247955FF"/>
    <w:rsid w:val="25626B9F"/>
    <w:rsid w:val="25E847EB"/>
    <w:rsid w:val="262C093B"/>
    <w:rsid w:val="26435EC5"/>
    <w:rsid w:val="26747E2C"/>
    <w:rsid w:val="2730304F"/>
    <w:rsid w:val="27363334"/>
    <w:rsid w:val="279B1602"/>
    <w:rsid w:val="28862099"/>
    <w:rsid w:val="288C24E9"/>
    <w:rsid w:val="28DC43AF"/>
    <w:rsid w:val="296511D8"/>
    <w:rsid w:val="2A0635A2"/>
    <w:rsid w:val="2A2E20C7"/>
    <w:rsid w:val="2A8E3487"/>
    <w:rsid w:val="2ADE440E"/>
    <w:rsid w:val="2B115961"/>
    <w:rsid w:val="2B141C1D"/>
    <w:rsid w:val="2B9C4A12"/>
    <w:rsid w:val="2BBB64FD"/>
    <w:rsid w:val="2BC0763F"/>
    <w:rsid w:val="2D075485"/>
    <w:rsid w:val="2D1934DC"/>
    <w:rsid w:val="2D381E44"/>
    <w:rsid w:val="2DA01E4F"/>
    <w:rsid w:val="2DAF3E40"/>
    <w:rsid w:val="2E516CA5"/>
    <w:rsid w:val="2E9D013C"/>
    <w:rsid w:val="2ED62B3B"/>
    <w:rsid w:val="2F015259"/>
    <w:rsid w:val="2F135073"/>
    <w:rsid w:val="2F370591"/>
    <w:rsid w:val="2F4A02C4"/>
    <w:rsid w:val="2FBB4D1E"/>
    <w:rsid w:val="2FF80E15"/>
    <w:rsid w:val="301D1535"/>
    <w:rsid w:val="303F594F"/>
    <w:rsid w:val="31094B7F"/>
    <w:rsid w:val="31271F3F"/>
    <w:rsid w:val="312B0D64"/>
    <w:rsid w:val="31CF69DC"/>
    <w:rsid w:val="322F6808"/>
    <w:rsid w:val="323A19FC"/>
    <w:rsid w:val="3276317E"/>
    <w:rsid w:val="32C13470"/>
    <w:rsid w:val="333E7D08"/>
    <w:rsid w:val="3364747B"/>
    <w:rsid w:val="33784ED5"/>
    <w:rsid w:val="33896EE1"/>
    <w:rsid w:val="34034EE6"/>
    <w:rsid w:val="366559E4"/>
    <w:rsid w:val="36785717"/>
    <w:rsid w:val="36F25E64"/>
    <w:rsid w:val="378A4CDD"/>
    <w:rsid w:val="37BF1626"/>
    <w:rsid w:val="384A559C"/>
    <w:rsid w:val="38F82B3F"/>
    <w:rsid w:val="39431617"/>
    <w:rsid w:val="3A3D6832"/>
    <w:rsid w:val="3B6E533A"/>
    <w:rsid w:val="3C28373B"/>
    <w:rsid w:val="3C634773"/>
    <w:rsid w:val="3D156FFD"/>
    <w:rsid w:val="3D695DB9"/>
    <w:rsid w:val="3D7A6218"/>
    <w:rsid w:val="3DB919A7"/>
    <w:rsid w:val="3DFE308E"/>
    <w:rsid w:val="3E7C0C45"/>
    <w:rsid w:val="3E845248"/>
    <w:rsid w:val="3EAB0654"/>
    <w:rsid w:val="3F4F1FFD"/>
    <w:rsid w:val="3F5A203E"/>
    <w:rsid w:val="40026051"/>
    <w:rsid w:val="410A1661"/>
    <w:rsid w:val="413B7A6D"/>
    <w:rsid w:val="41566655"/>
    <w:rsid w:val="41894CE7"/>
    <w:rsid w:val="41FE1F8D"/>
    <w:rsid w:val="426B25D4"/>
    <w:rsid w:val="429D0A4E"/>
    <w:rsid w:val="43686B13"/>
    <w:rsid w:val="43A318F9"/>
    <w:rsid w:val="440D6D0B"/>
    <w:rsid w:val="442D371B"/>
    <w:rsid w:val="446936D3"/>
    <w:rsid w:val="446D1ED1"/>
    <w:rsid w:val="45097E82"/>
    <w:rsid w:val="4613720A"/>
    <w:rsid w:val="461865CE"/>
    <w:rsid w:val="4642189D"/>
    <w:rsid w:val="471A69C9"/>
    <w:rsid w:val="47432D89"/>
    <w:rsid w:val="474D7799"/>
    <w:rsid w:val="477E6905"/>
    <w:rsid w:val="478101A3"/>
    <w:rsid w:val="47E81FD1"/>
    <w:rsid w:val="4893018E"/>
    <w:rsid w:val="48B84099"/>
    <w:rsid w:val="493125DA"/>
    <w:rsid w:val="4941408E"/>
    <w:rsid w:val="4A6F2535"/>
    <w:rsid w:val="4AA3483E"/>
    <w:rsid w:val="4AC42881"/>
    <w:rsid w:val="4AD909E8"/>
    <w:rsid w:val="4AFF4428"/>
    <w:rsid w:val="4B644252"/>
    <w:rsid w:val="4BC52D55"/>
    <w:rsid w:val="4C013661"/>
    <w:rsid w:val="4C6E4D74"/>
    <w:rsid w:val="4D343593"/>
    <w:rsid w:val="4D7D140D"/>
    <w:rsid w:val="4ECA2430"/>
    <w:rsid w:val="4EE62041"/>
    <w:rsid w:val="4F540134"/>
    <w:rsid w:val="4F7A5C04"/>
    <w:rsid w:val="513544C2"/>
    <w:rsid w:val="51E90E1F"/>
    <w:rsid w:val="53177C0E"/>
    <w:rsid w:val="53401B81"/>
    <w:rsid w:val="537515AD"/>
    <w:rsid w:val="53E21FCA"/>
    <w:rsid w:val="53EB3716"/>
    <w:rsid w:val="54B725CE"/>
    <w:rsid w:val="54CD67D6"/>
    <w:rsid w:val="55425416"/>
    <w:rsid w:val="57AC16EE"/>
    <w:rsid w:val="57E519DB"/>
    <w:rsid w:val="5859544B"/>
    <w:rsid w:val="58956A46"/>
    <w:rsid w:val="58C8202C"/>
    <w:rsid w:val="591F4A55"/>
    <w:rsid w:val="59D81EA5"/>
    <w:rsid w:val="59F36CDF"/>
    <w:rsid w:val="5A1B7FE4"/>
    <w:rsid w:val="5A932270"/>
    <w:rsid w:val="5AA61FA3"/>
    <w:rsid w:val="5ADC59C5"/>
    <w:rsid w:val="5AF8090C"/>
    <w:rsid w:val="5BBB7799"/>
    <w:rsid w:val="5BC619FD"/>
    <w:rsid w:val="5C042965"/>
    <w:rsid w:val="5C717B35"/>
    <w:rsid w:val="5CAF2026"/>
    <w:rsid w:val="5CBE4871"/>
    <w:rsid w:val="5CD52266"/>
    <w:rsid w:val="5DE80B25"/>
    <w:rsid w:val="5E133B7E"/>
    <w:rsid w:val="5E3B2A02"/>
    <w:rsid w:val="5E8425FB"/>
    <w:rsid w:val="608C7E04"/>
    <w:rsid w:val="60FF797D"/>
    <w:rsid w:val="611F340C"/>
    <w:rsid w:val="62364D94"/>
    <w:rsid w:val="62853344"/>
    <w:rsid w:val="636C365E"/>
    <w:rsid w:val="637B1AF3"/>
    <w:rsid w:val="64033FC2"/>
    <w:rsid w:val="644E47B9"/>
    <w:rsid w:val="6457120A"/>
    <w:rsid w:val="64BB489D"/>
    <w:rsid w:val="652F0DE7"/>
    <w:rsid w:val="65D71736"/>
    <w:rsid w:val="65F22540"/>
    <w:rsid w:val="66E83CB4"/>
    <w:rsid w:val="674943E2"/>
    <w:rsid w:val="67931B01"/>
    <w:rsid w:val="689A2A1B"/>
    <w:rsid w:val="690F78C3"/>
    <w:rsid w:val="69862A24"/>
    <w:rsid w:val="69B61AD7"/>
    <w:rsid w:val="69D9062E"/>
    <w:rsid w:val="6ADC556D"/>
    <w:rsid w:val="6B5B5C15"/>
    <w:rsid w:val="6B6421C7"/>
    <w:rsid w:val="6B947BF6"/>
    <w:rsid w:val="6BCE07B8"/>
    <w:rsid w:val="6C7C0DB6"/>
    <w:rsid w:val="6CEA29ED"/>
    <w:rsid w:val="6D3C6797"/>
    <w:rsid w:val="6D8343C6"/>
    <w:rsid w:val="6EDD785F"/>
    <w:rsid w:val="704B11CB"/>
    <w:rsid w:val="711710AD"/>
    <w:rsid w:val="7148395C"/>
    <w:rsid w:val="71D074AE"/>
    <w:rsid w:val="72895FDA"/>
    <w:rsid w:val="72DC0914"/>
    <w:rsid w:val="73E060CE"/>
    <w:rsid w:val="747E1443"/>
    <w:rsid w:val="74CA6436"/>
    <w:rsid w:val="74CE2F98"/>
    <w:rsid w:val="75265D63"/>
    <w:rsid w:val="7695113D"/>
    <w:rsid w:val="76F82A1F"/>
    <w:rsid w:val="77020109"/>
    <w:rsid w:val="77052CCD"/>
    <w:rsid w:val="77AF64E3"/>
    <w:rsid w:val="78507E9F"/>
    <w:rsid w:val="789A7632"/>
    <w:rsid w:val="78B33DB1"/>
    <w:rsid w:val="78CC6D3B"/>
    <w:rsid w:val="78DC469B"/>
    <w:rsid w:val="7A147095"/>
    <w:rsid w:val="7A94376E"/>
    <w:rsid w:val="7AF366E7"/>
    <w:rsid w:val="7B533629"/>
    <w:rsid w:val="7B734B9C"/>
    <w:rsid w:val="7BBA5457"/>
    <w:rsid w:val="7BDD535C"/>
    <w:rsid w:val="7C454F99"/>
    <w:rsid w:val="7D1E37CD"/>
    <w:rsid w:val="7DA41F1A"/>
    <w:rsid w:val="7DA4319F"/>
    <w:rsid w:val="7DD86C30"/>
    <w:rsid w:val="7DFC3B04"/>
    <w:rsid w:val="7E993157"/>
    <w:rsid w:val="7EC14D4E"/>
    <w:rsid w:val="7F45025C"/>
    <w:rsid w:val="7F466F7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2567</Words>
  <Characters>2676</Characters>
  <Lines>0</Lines>
  <Paragraphs>0</Paragraphs>
  <TotalTime>0</TotalTime>
  <ScaleCrop>false</ScaleCrop>
  <LinksUpToDate>false</LinksUpToDate>
  <CharactersWithSpaces>2765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2025-09-07T08:18:10Z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