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8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-05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4"/>
        <w:bidi w:val="0"/>
      </w:pPr>
      <w:bookmarkStart w:id="0" w:name="_Toc974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5"/>
        <w:bidi w:val="0"/>
        <w:rPr>
          <w:rFonts w:hint="default"/>
          <w:lang w:val="en-US"/>
        </w:rPr>
      </w:pPr>
      <w:bookmarkStart w:id="1" w:name="_Toc9352"/>
      <w:r>
        <w:rPr>
          <w:rFonts w:hint="eastAsia"/>
          <w:lang w:val="en-US" w:eastAsia="zh-CN"/>
        </w:rPr>
        <w:t>最终软件库管理制度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7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7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7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7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7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7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7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7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7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7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7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7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7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7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7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7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7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7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7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7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7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7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7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7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7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7"/>
            </w:pPr>
          </w:p>
        </w:tc>
      </w:tr>
    </w:tbl>
    <w:p w14:paraId="757D1BA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64632C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6FF229B9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_Toc974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_Toc974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35C6812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_Toc9352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最终软件库管理制度</w:t>
          </w:r>
          <w:r>
            <w:tab/>
          </w:r>
          <w:r>
            <w:fldChar w:fldCharType="begin"/>
          </w:r>
          <w:r>
            <w:instrText xml:space="preserve"> PAGEREF _Toc9352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F4A57C0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_Toc6873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_Toc6873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E8C2997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_Toc13207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术语和定义</w:t>
          </w:r>
          <w:r>
            <w:tab/>
          </w:r>
          <w:r>
            <w:fldChar w:fldCharType="begin"/>
          </w:r>
          <w:r>
            <w:instrText xml:space="preserve"> PAGEREF _Toc13207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DF9AB73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_Toc9913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_Toc9913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38F67E4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_Toc17391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_Toc17391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28F396F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_Toc15465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_Toc15465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5A08A65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_Toc1754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4.1. </w:t>
          </w:r>
          <w:r>
            <w:rPr>
              <w:rFonts w:hint="eastAsia"/>
              <w:lang w:val="en-US" w:eastAsia="zh-CN"/>
            </w:rPr>
            <w:t>研发</w:t>
          </w:r>
          <w:r>
            <w:t>部</w:t>
          </w:r>
          <w:r>
            <w:tab/>
          </w:r>
          <w:r>
            <w:fldChar w:fldCharType="begin"/>
          </w:r>
          <w:r>
            <w:instrText xml:space="preserve"> PAGEREF _Toc1754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CCE5B34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_Toc24413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4.2. </w:t>
          </w:r>
          <w:r>
            <w:rPr>
              <w:rFonts w:hint="eastAsia"/>
              <w:lang w:val="en-US" w:eastAsia="zh-CN"/>
            </w:rPr>
            <w:t>运维</w:t>
          </w:r>
          <w:r>
            <w:t>部</w:t>
          </w:r>
          <w:r>
            <w:tab/>
          </w:r>
          <w:r>
            <w:fldChar w:fldCharType="begin"/>
          </w:r>
          <w:r>
            <w:instrText xml:space="preserve"> PAGEREF _Toc24413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EE28A24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_Toc29698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4.3. </w:t>
          </w:r>
          <w:r>
            <w:t>采购部</w:t>
          </w:r>
          <w:r>
            <w:tab/>
          </w:r>
          <w:r>
            <w:fldChar w:fldCharType="begin"/>
          </w:r>
          <w:r>
            <w:instrText xml:space="preserve"> PAGEREF _Toc29698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7563938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_Toc19063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最终软件库管理</w:t>
          </w:r>
          <w:r>
            <w:tab/>
          </w:r>
          <w:r>
            <w:fldChar w:fldCharType="begin"/>
          </w:r>
          <w:r>
            <w:instrText xml:space="preserve"> PAGEREF _Toc19063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DCC273C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_Toc32031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 </w:t>
          </w:r>
          <w:r>
            <w:t>软件入库管理</w:t>
          </w:r>
          <w:r>
            <w:tab/>
          </w:r>
          <w:r>
            <w:fldChar w:fldCharType="begin"/>
          </w:r>
          <w:r>
            <w:instrText xml:space="preserve"> PAGEREF _Toc32031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0D20816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_Toc10625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5.1.1. </w:t>
          </w:r>
          <w:r>
            <w:t>入库申请</w:t>
          </w:r>
          <w:r>
            <w:tab/>
          </w:r>
          <w:r>
            <w:fldChar w:fldCharType="begin"/>
          </w:r>
          <w:r>
            <w:instrText xml:space="preserve"> PAGEREF _Toc10625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EC62193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_Toc25594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5.1.2. </w:t>
          </w:r>
          <w:r>
            <w:t>入库审核</w:t>
          </w:r>
          <w:r>
            <w:tab/>
          </w:r>
          <w:r>
            <w:fldChar w:fldCharType="begin"/>
          </w:r>
          <w:r>
            <w:instrText xml:space="preserve"> PAGEREF _Toc25594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02240E5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_Toc4005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5.1.3. </w:t>
          </w:r>
          <w:r>
            <w:t>入库登记与分类存储</w:t>
          </w:r>
          <w:r>
            <w:tab/>
          </w:r>
          <w:r>
            <w:fldChar w:fldCharType="begin"/>
          </w:r>
          <w:r>
            <w:instrText xml:space="preserve"> PAGEREF _Toc4005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4F1F9E9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_Toc28048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t>软件出库管理</w:t>
          </w:r>
          <w:r>
            <w:tab/>
          </w:r>
          <w:r>
            <w:fldChar w:fldCharType="begin"/>
          </w:r>
          <w:r>
            <w:instrText xml:space="preserve"> PAGEREF _Toc28048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AB32B33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_Toc6779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5.2.1. </w:t>
          </w:r>
          <w:r>
            <w:t>出库申请</w:t>
          </w:r>
          <w:r>
            <w:tab/>
          </w:r>
          <w:r>
            <w:fldChar w:fldCharType="begin"/>
          </w:r>
          <w:r>
            <w:instrText xml:space="preserve"> PAGEREF _Toc6779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8BD4E0D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_Toc17252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5.2.2. </w:t>
          </w:r>
          <w:r>
            <w:t>出库审核与授权</w:t>
          </w:r>
          <w:r>
            <w:tab/>
          </w:r>
          <w:r>
            <w:fldChar w:fldCharType="begin"/>
          </w:r>
          <w:r>
            <w:instrText xml:space="preserve"> PAGEREF _Toc17252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C019FBE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_Toc28319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5.2.3. </w:t>
          </w:r>
          <w:r>
            <w:t>软件分发</w:t>
          </w:r>
          <w:r>
            <w:tab/>
          </w:r>
          <w:r>
            <w:fldChar w:fldCharType="begin"/>
          </w:r>
          <w:r>
            <w:instrText xml:space="preserve"> PAGEREF _Toc28319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ADC93A1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_Toc7226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 </w:t>
          </w:r>
          <w:r>
            <w:t>软件版本管理</w:t>
          </w:r>
          <w:r>
            <w:tab/>
          </w:r>
          <w:r>
            <w:fldChar w:fldCharType="begin"/>
          </w:r>
          <w:r>
            <w:instrText xml:space="preserve"> PAGEREF _Toc7226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45CF0D9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_Toc25077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 </w:t>
          </w:r>
          <w:r>
            <w:t>软件存储与备份管理</w:t>
          </w:r>
          <w:r>
            <w:tab/>
          </w:r>
          <w:r>
            <w:fldChar w:fldCharType="begin"/>
          </w:r>
          <w:r>
            <w:instrText xml:space="preserve"> PAGEREF _Toc25077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C9D57D7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_Toc20434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5.5. </w:t>
          </w:r>
          <w:r>
            <w:t>软件使用管理</w:t>
          </w:r>
          <w:r>
            <w:tab/>
          </w:r>
          <w:r>
            <w:fldChar w:fldCharType="begin"/>
          </w:r>
          <w:r>
            <w:instrText xml:space="preserve"> PAGEREF _Toc20434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8371332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_Toc2303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5.6. </w:t>
          </w:r>
          <w:r>
            <w:t>软件报废与清理管理</w:t>
          </w:r>
          <w:r>
            <w:tab/>
          </w:r>
          <w:r>
            <w:fldChar w:fldCharType="begin"/>
          </w:r>
          <w:r>
            <w:instrText xml:space="preserve"> PAGEREF _Toc2303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AAC50B3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_Toc21856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5.7. </w:t>
          </w:r>
          <w:r>
            <w:t>安全管理</w:t>
          </w:r>
          <w:r>
            <w:tab/>
          </w:r>
          <w:r>
            <w:fldChar w:fldCharType="begin"/>
          </w:r>
          <w:r>
            <w:instrText xml:space="preserve"> PAGEREF _Toc21856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FB18416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_Toc18417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5.8. </w:t>
          </w:r>
          <w:r>
            <w:t>监督与检查</w:t>
          </w:r>
          <w:r>
            <w:tab/>
          </w:r>
          <w:r>
            <w:fldChar w:fldCharType="begin"/>
          </w:r>
          <w:r>
            <w:instrText xml:space="preserve"> PAGEREF _Toc18417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DFDDD82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_Toc27344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5.9. </w:t>
          </w:r>
          <w:r>
            <w:rPr>
              <w:rFonts w:hint="eastAsia"/>
              <w:lang w:val="en-US" w:eastAsia="zh-CN"/>
            </w:rPr>
            <w:t>考核指标</w:t>
          </w:r>
          <w:r>
            <w:tab/>
          </w:r>
          <w:r>
            <w:fldChar w:fldCharType="begin"/>
          </w:r>
          <w:r>
            <w:instrText xml:space="preserve"> PAGEREF _Toc27344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66E2EDE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_Toc19822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_Toc19822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884A4AA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_Toc21269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_Toc21269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0FA391C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_Toc19467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_Toc19467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587950E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75DCC050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191B6498">
      <w:pPr>
        <w:pStyle w:val="28"/>
        <w:bidi w:val="0"/>
      </w:pPr>
      <w:bookmarkStart w:id="2" w:name="_Toc6873"/>
      <w:r>
        <w:t>目的</w:t>
      </w:r>
      <w:bookmarkEnd w:id="2"/>
    </w:p>
    <w:p w14:paraId="22A84D93">
      <w:pPr>
        <w:pStyle w:val="29"/>
        <w:bidi w:val="0"/>
      </w:pPr>
      <w:r>
        <w:t>为规范公司软件库的管理，确保软件资产的安全、完整、可用，提高软件资源的利用效率，防范软件使用风险，特制定本制度</w:t>
      </w:r>
    </w:p>
    <w:p w14:paraId="64F35254">
      <w:pPr>
        <w:pStyle w:val="30"/>
        <w:bidi w:val="0"/>
        <w:rPr>
          <w:rFonts w:hint="default"/>
          <w:lang w:val="en-US" w:eastAsia="zh-CN"/>
        </w:rPr>
      </w:pPr>
      <w:bookmarkStart w:id="3" w:name="_Toc13207"/>
      <w:r>
        <w:rPr>
          <w:rFonts w:hint="eastAsia"/>
          <w:lang w:val="en-US" w:eastAsia="zh-CN"/>
        </w:rPr>
        <w:t>术语和定义</w:t>
      </w:r>
      <w:bookmarkEnd w:id="3"/>
    </w:p>
    <w:p w14:paraId="3BB4A8BA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软件库：指用于集中存储、管理公司各类软件的仓库，包括物理存储介质和电子存储系统。</w:t>
      </w:r>
    </w:p>
    <w:p w14:paraId="27DE4BEC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系统软件：指控制和协调计算机及外部设备，支持应用软件开发和运行的系统，如操作系统、数据库管理系统等。</w:t>
      </w:r>
    </w:p>
    <w:p w14:paraId="285D93D3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应用软件：指为满足特定业务需求而开发或购买的软件，如办公软件、业务管理系统等。</w:t>
      </w:r>
    </w:p>
    <w:p w14:paraId="25AD9498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工具软件：指用于辅助软件开发、测试、运维等工作的软件，如编译工具、测试工具、监控工具等。</w:t>
      </w:r>
    </w:p>
    <w:p w14:paraId="2D240536">
      <w:pPr>
        <w:pStyle w:val="28"/>
        <w:bidi w:val="0"/>
        <w:rPr>
          <w:rFonts w:hint="eastAsia"/>
          <w:lang w:val="en-US" w:eastAsia="zh-CN"/>
        </w:rPr>
      </w:pPr>
      <w:bookmarkStart w:id="4" w:name="_Toc9913"/>
      <w:r>
        <w:rPr>
          <w:rFonts w:hint="eastAsia"/>
          <w:lang w:val="en-US" w:eastAsia="zh-CN"/>
        </w:rPr>
        <w:t>原则</w:t>
      </w:r>
      <w:bookmarkEnd w:id="4"/>
    </w:p>
    <w:p w14:paraId="6BD52D84">
      <w:pPr>
        <w:pStyle w:val="28"/>
        <w:bidi w:val="0"/>
      </w:pPr>
      <w:bookmarkStart w:id="5" w:name="_Toc17391"/>
      <w:r>
        <w:rPr>
          <w:rFonts w:hint="eastAsia"/>
          <w:lang w:val="en-US" w:eastAsia="zh-CN"/>
        </w:rPr>
        <w:t>适用</w:t>
      </w:r>
      <w:r>
        <w:t>范围</w:t>
      </w:r>
      <w:bookmarkEnd w:id="5"/>
    </w:p>
    <w:p w14:paraId="59A22018">
      <w:pPr>
        <w:pStyle w:val="29"/>
        <w:bidi w:val="0"/>
      </w:pPr>
      <w:r>
        <w:t>本制度适用于公司内部所有纳入软件库管理的软件，包括系统软件、应用软件、工具软件等，以及与软件库管理相关的部门和人员。</w:t>
      </w:r>
    </w:p>
    <w:p w14:paraId="70E79A61">
      <w:pPr>
        <w:pStyle w:val="29"/>
      </w:pPr>
    </w:p>
    <w:p w14:paraId="72F6781A">
      <w:pPr>
        <w:pStyle w:val="28"/>
        <w:bidi w:val="0"/>
        <w:rPr>
          <w:rFonts w:hint="eastAsia"/>
          <w:lang w:val="en-US" w:eastAsia="zh-CN"/>
        </w:rPr>
      </w:pPr>
      <w:bookmarkStart w:id="6" w:name="_Toc15465"/>
      <w:r>
        <w:rPr>
          <w:rFonts w:hint="eastAsia"/>
          <w:lang w:val="en-US" w:eastAsia="zh-CN"/>
        </w:rPr>
        <w:t>岗位职责</w:t>
      </w:r>
      <w:bookmarkEnd w:id="6"/>
    </w:p>
    <w:p w14:paraId="47EEBF28">
      <w:pPr>
        <w:pStyle w:val="30"/>
        <w:bidi w:val="0"/>
      </w:pPr>
      <w:bookmarkStart w:id="7" w:name="_Toc1754"/>
      <w:r>
        <w:rPr>
          <w:rFonts w:hint="eastAsia"/>
          <w:lang w:val="en-US" w:eastAsia="zh-CN"/>
        </w:rPr>
        <w:t>研发</w:t>
      </w:r>
      <w:r>
        <w:t>部</w:t>
      </w:r>
      <w:bookmarkEnd w:id="7"/>
    </w:p>
    <w:p w14:paraId="2D8E1CE7">
      <w:pPr>
        <w:numPr>
          <w:ilvl w:val="0"/>
          <w:numId w:val="3"/>
        </w:numPr>
        <w:bidi w:val="0"/>
      </w:pPr>
      <w:r>
        <w:t>负责软件库的规划、建设、维护和管理，确保软件库的正常运行。</w:t>
      </w:r>
    </w:p>
    <w:p w14:paraId="0E35668D">
      <w:pPr>
        <w:numPr>
          <w:ilvl w:val="0"/>
          <w:numId w:val="3"/>
        </w:numPr>
        <w:bidi w:val="0"/>
      </w:pPr>
      <w:r>
        <w:t>制定软件库管理相关的流程和规范，并监督执行。</w:t>
      </w:r>
    </w:p>
    <w:p w14:paraId="5B198E4E">
      <w:pPr>
        <w:numPr>
          <w:ilvl w:val="0"/>
          <w:numId w:val="3"/>
        </w:numPr>
        <w:bidi w:val="0"/>
      </w:pPr>
      <w:r>
        <w:t>负责软件的入库审核、登记、分类存储、版本管理等工作。</w:t>
      </w:r>
    </w:p>
    <w:p w14:paraId="14AEA2F3">
      <w:pPr>
        <w:numPr>
          <w:ilvl w:val="0"/>
          <w:numId w:val="3"/>
        </w:numPr>
        <w:bidi w:val="0"/>
      </w:pPr>
      <w:r>
        <w:t>控制软件的出库、分发和使用授权，记录软件的使用情况。</w:t>
      </w:r>
    </w:p>
    <w:p w14:paraId="3A8815D1">
      <w:pPr>
        <w:numPr>
          <w:ilvl w:val="0"/>
          <w:numId w:val="3"/>
        </w:numPr>
        <w:bidi w:val="0"/>
      </w:pPr>
      <w:r>
        <w:t>定期对软件库进行安全检查和备份，防范安全风险。</w:t>
      </w:r>
    </w:p>
    <w:p w14:paraId="05173230">
      <w:pPr>
        <w:numPr>
          <w:ilvl w:val="0"/>
          <w:numId w:val="3"/>
        </w:numPr>
        <w:bidi w:val="0"/>
      </w:pPr>
      <w:r>
        <w:t>组织开展软件库管理相关的培训和指导工作。</w:t>
      </w:r>
    </w:p>
    <w:p w14:paraId="094CDE7D">
      <w:pPr>
        <w:pStyle w:val="30"/>
        <w:bidi w:val="0"/>
      </w:pPr>
      <w:bookmarkStart w:id="8" w:name="bookmark7"/>
      <w:bookmarkEnd w:id="8"/>
      <w:bookmarkStart w:id="9" w:name="_Toc24413"/>
      <w:r>
        <w:rPr>
          <w:rFonts w:hint="eastAsia"/>
          <w:lang w:val="en-US" w:eastAsia="zh-CN"/>
        </w:rPr>
        <w:t>运维</w:t>
      </w:r>
      <w:r>
        <w:t>部</w:t>
      </w:r>
      <w:bookmarkEnd w:id="9"/>
    </w:p>
    <w:p w14:paraId="6DAF248F">
      <w:pPr>
        <w:numPr>
          <w:ilvl w:val="0"/>
          <w:numId w:val="4"/>
        </w:numPr>
        <w:bidi w:val="0"/>
      </w:pPr>
      <w:r>
        <w:t>根据业务需求提出软件采购或开发申请，并提供相关需求文档。</w:t>
      </w:r>
    </w:p>
    <w:p w14:paraId="06372E7E">
      <w:pPr>
        <w:numPr>
          <w:ilvl w:val="0"/>
          <w:numId w:val="4"/>
        </w:numPr>
        <w:bidi w:val="0"/>
      </w:pPr>
      <w:r>
        <w:t>配合运维部进行软件的测试、验收和入库工作。</w:t>
      </w:r>
    </w:p>
    <w:p w14:paraId="4F9CAD67">
      <w:pPr>
        <w:numPr>
          <w:ilvl w:val="0"/>
          <w:numId w:val="4"/>
        </w:numPr>
        <w:bidi w:val="0"/>
      </w:pPr>
      <w:r>
        <w:t>负责本部门所使用软件的日常管理，规范软件的使用行为，防止软件滥用和泄露。</w:t>
      </w:r>
    </w:p>
    <w:p w14:paraId="03AD7D10">
      <w:pPr>
        <w:numPr>
          <w:ilvl w:val="0"/>
          <w:numId w:val="4"/>
        </w:numPr>
        <w:bidi w:val="0"/>
      </w:pPr>
      <w:r>
        <w:t>及时向运维部反馈软件使用过程中出现的问题和需求。</w:t>
      </w:r>
    </w:p>
    <w:p w14:paraId="1E7394D5">
      <w:pPr>
        <w:pStyle w:val="30"/>
        <w:bidi w:val="0"/>
      </w:pPr>
      <w:bookmarkStart w:id="10" w:name="bookmark8"/>
      <w:bookmarkEnd w:id="10"/>
      <w:bookmarkStart w:id="11" w:name="_Toc29698"/>
      <w:r>
        <w:t>采购部</w:t>
      </w:r>
      <w:bookmarkEnd w:id="11"/>
    </w:p>
    <w:p w14:paraId="0A2AA847">
      <w:pPr>
        <w:numPr>
          <w:ilvl w:val="0"/>
          <w:numId w:val="5"/>
        </w:numPr>
        <w:bidi w:val="0"/>
        <w:ind w:left="425" w:leftChars="0" w:hanging="425" w:firstLineChars="0"/>
      </w:pPr>
      <w:r>
        <w:t>根据审批通过的软件采购申请，负责软件的采购工作，确保采购的软件符合相关要求。</w:t>
      </w:r>
    </w:p>
    <w:p w14:paraId="138774A2">
      <w:pPr>
        <w:numPr>
          <w:ilvl w:val="0"/>
          <w:numId w:val="5"/>
        </w:numPr>
        <w:bidi w:val="0"/>
        <w:ind w:left="425" w:leftChars="0" w:hanging="425" w:firstLineChars="0"/>
      </w:pPr>
      <w:r>
        <w:t>索取软件的合法授权证明、安装介质、使用手册等，并及时移交运维部。</w:t>
      </w:r>
    </w:p>
    <w:p w14:paraId="7E6E312E">
      <w:pPr>
        <w:pStyle w:val="28"/>
        <w:bidi w:val="0"/>
        <w:rPr>
          <w:rFonts w:hint="default"/>
          <w:lang w:val="en-US" w:eastAsia="zh-CN"/>
        </w:rPr>
      </w:pPr>
      <w:bookmarkStart w:id="12" w:name="_Toc19063"/>
      <w:r>
        <w:rPr>
          <w:rFonts w:hint="eastAsia"/>
          <w:lang w:val="en-US" w:eastAsia="zh-CN"/>
        </w:rPr>
        <w:t>最终软件库管理</w:t>
      </w:r>
      <w:bookmarkEnd w:id="12"/>
    </w:p>
    <w:p w14:paraId="7C39B32A">
      <w:pPr>
        <w:pStyle w:val="30"/>
        <w:bidi w:val="0"/>
      </w:pPr>
      <w:bookmarkStart w:id="13" w:name="_Toc32031"/>
      <w:r>
        <w:t>软件入库管理</w:t>
      </w:r>
      <w:bookmarkEnd w:id="13"/>
    </w:p>
    <w:p w14:paraId="1FA4864E">
      <w:pPr>
        <w:pStyle w:val="31"/>
        <w:bidi w:val="0"/>
      </w:pPr>
      <w:bookmarkStart w:id="14" w:name="bookmark10"/>
      <w:bookmarkEnd w:id="14"/>
      <w:bookmarkStart w:id="15" w:name="_Toc10625"/>
      <w:r>
        <w:t>入库申请</w:t>
      </w:r>
      <w:bookmarkEnd w:id="15"/>
    </w:p>
    <w:p w14:paraId="0BB0597A">
      <w:pPr>
        <w:numPr>
          <w:ilvl w:val="0"/>
          <w:numId w:val="6"/>
        </w:numPr>
        <w:bidi w:val="0"/>
        <w:ind w:left="425" w:leftChars="0" w:hanging="425" w:firstLineChars="0"/>
      </w:pPr>
      <w:r>
        <w:t>软件采购</w:t>
      </w:r>
      <w:r>
        <w:rPr>
          <w:rFonts w:hint="eastAsia"/>
          <w:lang w:eastAsia="zh-CN"/>
        </w:rPr>
        <w:t>、</w:t>
      </w:r>
      <w:r>
        <w:t>开发完成后，采购部门或开发部门向运维部提交软件入库申请，并附上相关资料，如软件授权证明、安装程序、测试报告、验收报告等。</w:t>
      </w:r>
    </w:p>
    <w:p w14:paraId="4F3EE920">
      <w:pPr>
        <w:numPr>
          <w:ilvl w:val="0"/>
          <w:numId w:val="6"/>
        </w:numPr>
        <w:bidi w:val="0"/>
        <w:ind w:left="425" w:leftChars="0" w:hanging="425" w:firstLineChars="0"/>
      </w:pPr>
      <w:r>
        <w:t>申请资料应真实、完整、准确，确保软件的合法性和可用性。</w:t>
      </w:r>
    </w:p>
    <w:p w14:paraId="68AF9BAB">
      <w:pPr>
        <w:pStyle w:val="31"/>
        <w:bidi w:val="0"/>
      </w:pPr>
      <w:bookmarkStart w:id="16" w:name="bookmark11"/>
      <w:bookmarkEnd w:id="16"/>
      <w:bookmarkStart w:id="17" w:name="_Toc25594"/>
      <w:r>
        <w:t>入库审核</w:t>
      </w:r>
      <w:bookmarkEnd w:id="17"/>
    </w:p>
    <w:p w14:paraId="009213EE">
      <w:pPr>
        <w:numPr>
          <w:ilvl w:val="0"/>
          <w:numId w:val="6"/>
        </w:numPr>
        <w:bidi w:val="0"/>
        <w:ind w:left="425" w:leftChars="0" w:hanging="425" w:firstLineChars="0"/>
      </w:pPr>
      <w:r>
        <w:t>运维部收到入库申请后，对软件的合法性、完整性、安全性等进行审核。</w:t>
      </w:r>
    </w:p>
    <w:p w14:paraId="7F60BFB6">
      <w:pPr>
        <w:numPr>
          <w:ilvl w:val="0"/>
          <w:numId w:val="6"/>
        </w:numPr>
        <w:bidi w:val="0"/>
        <w:ind w:left="425" w:leftChars="0" w:hanging="425" w:firstLineChars="0"/>
      </w:pPr>
      <w:r>
        <w:t>审核内容包括：软件是否具有合法的授权证明；软件安装程序、文档等是否完整；软件是否存在病毒、恶意代码等安全隐患；软件是否符合公司的技术标准和业务需求。</w:t>
      </w:r>
    </w:p>
    <w:p w14:paraId="26B4017E">
      <w:pPr>
        <w:numPr>
          <w:ilvl w:val="0"/>
          <w:numId w:val="6"/>
        </w:numPr>
        <w:bidi w:val="0"/>
        <w:ind w:left="425" w:leftChars="0" w:hanging="425" w:firstLineChars="0"/>
      </w:pPr>
      <w:r>
        <w:t>审核通过后，运维部在《软件入库登记表》中进行登记；审核不通过的，退回申请部门，并说明原因。</w:t>
      </w:r>
    </w:p>
    <w:p w14:paraId="580B61D4">
      <w:pPr>
        <w:pStyle w:val="31"/>
        <w:bidi w:val="0"/>
      </w:pPr>
      <w:bookmarkStart w:id="18" w:name="bookmark12"/>
      <w:bookmarkEnd w:id="18"/>
      <w:bookmarkStart w:id="19" w:name="_Toc4005"/>
      <w:r>
        <w:t>入库登记与分类存储</w:t>
      </w:r>
      <w:bookmarkEnd w:id="19"/>
    </w:p>
    <w:p w14:paraId="40F5B096">
      <w:pPr>
        <w:numPr>
          <w:ilvl w:val="0"/>
          <w:numId w:val="7"/>
        </w:numPr>
        <w:bidi w:val="0"/>
        <w:ind w:left="425" w:leftChars="0" w:hanging="425" w:firstLineChars="0"/>
      </w:pPr>
      <w:r>
        <w:t>审核通过的软件，运维部应及时进行入库登记，登记内容包括软件名称、版本号、供应商、采购日期、授权期限、介质类型、存储位置、入库日期、经办人等信息。</w:t>
      </w:r>
    </w:p>
    <w:p w14:paraId="4DB9A75D">
      <w:pPr>
        <w:numPr>
          <w:ilvl w:val="0"/>
          <w:numId w:val="7"/>
        </w:numPr>
        <w:bidi w:val="0"/>
        <w:ind w:left="425" w:leftChars="0" w:hanging="425" w:firstLineChars="0"/>
      </w:pPr>
      <w:r>
        <w:t>按照软件的类型、用途、版本等对软件进行分类存储，便于管理和查询。电子软件应存储在指定的服务器或存储设备中，并设置访问权限；物理介质（如光盘、U 盘等）应妥善保管，存放在安全、干燥、防潮的环境中。</w:t>
      </w:r>
    </w:p>
    <w:p w14:paraId="3862B638">
      <w:pPr>
        <w:pStyle w:val="30"/>
        <w:bidi w:val="0"/>
      </w:pPr>
      <w:bookmarkStart w:id="20" w:name="bookmark13"/>
      <w:bookmarkEnd w:id="20"/>
      <w:bookmarkStart w:id="21" w:name="_Toc28048"/>
      <w:r>
        <w:t>软件出库管理</w:t>
      </w:r>
      <w:bookmarkEnd w:id="21"/>
    </w:p>
    <w:p w14:paraId="035D0C09">
      <w:pPr>
        <w:pStyle w:val="31"/>
        <w:bidi w:val="0"/>
      </w:pPr>
      <w:bookmarkStart w:id="22" w:name="_Toc6779"/>
      <w:r>
        <w:t>出库申请</w:t>
      </w:r>
      <w:bookmarkEnd w:id="22"/>
    </w:p>
    <w:p w14:paraId="72A60209">
      <w:pPr>
        <w:numPr>
          <w:ilvl w:val="0"/>
          <w:numId w:val="8"/>
        </w:numPr>
        <w:bidi w:val="0"/>
        <w:ind w:left="425" w:leftChars="0" w:hanging="425" w:firstLineChars="0"/>
      </w:pPr>
      <w:r>
        <w:t>各部门因工作需要使用软件时，应向运维部提交软件出库申请，说明软件名称、版本号、用途、使用部门、使用人等信息。</w:t>
      </w:r>
    </w:p>
    <w:p w14:paraId="4655951F">
      <w:pPr>
        <w:numPr>
          <w:ilvl w:val="0"/>
          <w:numId w:val="8"/>
        </w:numPr>
        <w:bidi w:val="0"/>
        <w:ind w:left="425" w:leftChars="0" w:hanging="425" w:firstLineChars="0"/>
      </w:pPr>
      <w:r>
        <w:t>对于需要授权使用的软件，申请部门还需提供使用授权证明。</w:t>
      </w:r>
    </w:p>
    <w:p w14:paraId="0FA49A18">
      <w:pPr>
        <w:pStyle w:val="31"/>
        <w:bidi w:val="0"/>
      </w:pPr>
      <w:bookmarkStart w:id="23" w:name="bookmark15"/>
      <w:bookmarkEnd w:id="23"/>
      <w:bookmarkStart w:id="24" w:name="_Toc17252"/>
      <w:r>
        <w:t>出库审核与授权</w:t>
      </w:r>
      <w:bookmarkEnd w:id="24"/>
    </w:p>
    <w:p w14:paraId="230509F1">
      <w:pPr>
        <w:numPr>
          <w:ilvl w:val="0"/>
          <w:numId w:val="9"/>
        </w:numPr>
        <w:bidi w:val="0"/>
        <w:ind w:left="425" w:leftChars="0" w:hanging="425" w:firstLineChars="0"/>
      </w:pPr>
      <w:r>
        <w:t>运维部对出库申请进行审核，确认申请的软件是否符合使用需求，使用人是否具备相应的使用权限。</w:t>
      </w:r>
    </w:p>
    <w:p w14:paraId="626A655F">
      <w:pPr>
        <w:numPr>
          <w:ilvl w:val="0"/>
          <w:numId w:val="9"/>
        </w:numPr>
        <w:bidi w:val="0"/>
        <w:ind w:left="425" w:leftChars="0" w:hanging="425" w:firstLineChars="0"/>
      </w:pPr>
      <w:r>
        <w:t>审核通过后，运维部对软件进行出库登记，并根据软件的授权情况进行使用授权设置。对于有数量限制或期限限制的软件，应严格控制授权范围和使用期限。</w:t>
      </w:r>
    </w:p>
    <w:p w14:paraId="04E8B54D">
      <w:pPr>
        <w:numPr>
          <w:ilvl w:val="0"/>
          <w:numId w:val="9"/>
        </w:numPr>
        <w:bidi w:val="0"/>
        <w:ind w:left="425" w:leftChars="0" w:hanging="425" w:firstLineChars="0"/>
      </w:pPr>
      <w:r>
        <w:t>出库登记内容包括软件名称、版本号、出库日期、使用部门、使用人、授权期限、经办人等信息。</w:t>
      </w:r>
    </w:p>
    <w:p w14:paraId="585065F4">
      <w:pPr>
        <w:pStyle w:val="31"/>
        <w:bidi w:val="0"/>
      </w:pPr>
      <w:bookmarkStart w:id="25" w:name="_Toc28319"/>
      <w:r>
        <w:t>软件分发</w:t>
      </w:r>
      <w:bookmarkEnd w:id="25"/>
    </w:p>
    <w:p w14:paraId="582986F4">
      <w:pPr>
        <w:numPr>
          <w:ilvl w:val="0"/>
          <w:numId w:val="10"/>
        </w:numPr>
        <w:bidi w:val="0"/>
        <w:ind w:left="425" w:leftChars="0" w:hanging="425" w:firstLineChars="0"/>
      </w:pPr>
      <w:r>
        <w:t>运维部根据出库申请和授权情况，将软件分发给使用部门或使用人。分发方式可采用网络传输、物理介质拷贝等，确保软件的安全传递。</w:t>
      </w:r>
    </w:p>
    <w:p w14:paraId="6CAA60D3">
      <w:pPr>
        <w:numPr>
          <w:ilvl w:val="0"/>
          <w:numId w:val="10"/>
        </w:numPr>
        <w:bidi w:val="0"/>
        <w:ind w:left="425" w:leftChars="0" w:hanging="425" w:firstLineChars="0"/>
      </w:pPr>
      <w:r>
        <w:t>软件分发后，使用部门或使用人应在《软件出库签收表》上签字确认，表明已收到软件。</w:t>
      </w:r>
    </w:p>
    <w:p w14:paraId="05DEED2F">
      <w:pPr>
        <w:pStyle w:val="30"/>
        <w:bidi w:val="0"/>
      </w:pPr>
      <w:bookmarkStart w:id="26" w:name="_Toc7226"/>
      <w:r>
        <w:t>软件版本管理</w:t>
      </w:r>
      <w:bookmarkEnd w:id="26"/>
    </w:p>
    <w:p w14:paraId="12D92A66">
      <w:pPr>
        <w:numPr>
          <w:ilvl w:val="0"/>
          <w:numId w:val="11"/>
        </w:numPr>
        <w:bidi w:val="0"/>
        <w:ind w:left="425" w:leftChars="0" w:hanging="425" w:firstLineChars="0"/>
      </w:pPr>
      <w:r>
        <w:t>运维部应建立软件版本管理机制，对软件的各个版本进行跟踪和管理。</w:t>
      </w:r>
    </w:p>
    <w:p w14:paraId="210045F3">
      <w:pPr>
        <w:numPr>
          <w:ilvl w:val="0"/>
          <w:numId w:val="11"/>
        </w:numPr>
        <w:bidi w:val="0"/>
        <w:ind w:left="425" w:leftChars="0" w:hanging="425" w:firstLineChars="0"/>
      </w:pPr>
      <w:r>
        <w:t>当软件出现新版本时，由运维部组织相关部门对新版本进行评估和测试，确定是否需要升级。</w:t>
      </w:r>
    </w:p>
    <w:p w14:paraId="62484C85">
      <w:pPr>
        <w:numPr>
          <w:ilvl w:val="0"/>
          <w:numId w:val="11"/>
        </w:numPr>
        <w:bidi w:val="0"/>
        <w:ind w:left="425" w:leftChars="0" w:hanging="425" w:firstLineChars="0"/>
      </w:pPr>
      <w:r>
        <w:t>经评估需要升级的软件，按照软件入库和出库管理流程进行新版本的入库和分发，并对旧版本进行妥善处理，如归档保存或删除，防止版本混乱。</w:t>
      </w:r>
    </w:p>
    <w:p w14:paraId="50C76448">
      <w:pPr>
        <w:numPr>
          <w:ilvl w:val="0"/>
          <w:numId w:val="11"/>
        </w:numPr>
        <w:bidi w:val="0"/>
        <w:ind w:left="425" w:leftChars="0" w:hanging="425" w:firstLineChars="0"/>
      </w:pPr>
      <w:r>
        <w:t>记录软件版本的变更历史，包括版本号、变更内容、变更日期、变更原因等信息，便于追溯和管理。</w:t>
      </w:r>
    </w:p>
    <w:p w14:paraId="5FD6D298">
      <w:pPr>
        <w:pStyle w:val="30"/>
        <w:bidi w:val="0"/>
      </w:pPr>
      <w:bookmarkStart w:id="27" w:name="bookmark18"/>
      <w:bookmarkEnd w:id="27"/>
      <w:bookmarkStart w:id="28" w:name="_Toc25077"/>
      <w:r>
        <w:t>软件存储与备份管理</w:t>
      </w:r>
      <w:bookmarkEnd w:id="28"/>
    </w:p>
    <w:p w14:paraId="0D65D1C9">
      <w:pPr>
        <w:numPr>
          <w:ilvl w:val="0"/>
          <w:numId w:val="12"/>
        </w:numPr>
        <w:bidi w:val="0"/>
        <w:ind w:left="425" w:leftChars="0" w:hanging="425" w:firstLineChars="0"/>
        <w:rPr>
          <w:rFonts w:ascii="Arial" w:hAnsi="Arial"/>
        </w:rPr>
      </w:pPr>
      <w:r>
        <w:rPr>
          <w:rFonts w:ascii="Arial" w:hAnsi="Arial"/>
        </w:rPr>
        <w:t>软件库的存储设备应具备较高的安全性、可靠性和稳定性，定期进行维护和检查，确保存储设备正常运行。</w:t>
      </w:r>
    </w:p>
    <w:p w14:paraId="615DD183">
      <w:pPr>
        <w:numPr>
          <w:ilvl w:val="0"/>
          <w:numId w:val="12"/>
        </w:numPr>
        <w:bidi w:val="0"/>
        <w:ind w:left="425" w:leftChars="0" w:hanging="425" w:firstLineChars="0"/>
        <w:rPr>
          <w:rFonts w:ascii="Arial" w:hAnsi="Arial"/>
        </w:rPr>
      </w:pPr>
      <w:r>
        <w:rPr>
          <w:rFonts w:ascii="Arial" w:hAnsi="Arial"/>
        </w:rPr>
        <w:t>对软件库中的软件及相关资料进行定期备份，备份介质应与原存储介质分开存放，并进行异地备份，防止因自然灾害、设备故障等原因导致数据丢失。</w:t>
      </w:r>
    </w:p>
    <w:p w14:paraId="3AB16D54">
      <w:pPr>
        <w:numPr>
          <w:ilvl w:val="0"/>
          <w:numId w:val="12"/>
        </w:numPr>
        <w:bidi w:val="0"/>
        <w:ind w:left="425" w:leftChars="0" w:hanging="425" w:firstLineChars="0"/>
        <w:rPr>
          <w:rFonts w:ascii="Arial" w:hAnsi="Arial"/>
        </w:rPr>
      </w:pPr>
      <w:r>
        <w:rPr>
          <w:rFonts w:ascii="Arial" w:hAnsi="Arial"/>
        </w:rPr>
        <w:t>备份数据应定期进行恢复测试，确保备份的有效性。</w:t>
      </w:r>
    </w:p>
    <w:p w14:paraId="071C71F7">
      <w:pPr>
        <w:numPr>
          <w:ilvl w:val="0"/>
          <w:numId w:val="12"/>
        </w:numPr>
        <w:bidi w:val="0"/>
        <w:ind w:left="425" w:leftChars="0" w:hanging="425" w:firstLineChars="0"/>
        <w:rPr>
          <w:rFonts w:ascii="Arial" w:hAnsi="Arial"/>
        </w:rPr>
      </w:pPr>
      <w:r>
        <w:rPr>
          <w:rFonts w:ascii="Arial" w:hAnsi="Arial"/>
        </w:rPr>
        <w:t>严格控制软件库的访问权限，只有授权人员才能访问和操作软件库，防止未经授权的访问和修改。</w:t>
      </w:r>
    </w:p>
    <w:p w14:paraId="213196F0">
      <w:pPr>
        <w:pStyle w:val="30"/>
        <w:bidi w:val="0"/>
      </w:pPr>
      <w:bookmarkStart w:id="29" w:name="bookmark19"/>
      <w:bookmarkEnd w:id="29"/>
      <w:bookmarkStart w:id="30" w:name="_Toc20434"/>
      <w:r>
        <w:t>软件使用管理</w:t>
      </w:r>
      <w:bookmarkEnd w:id="30"/>
    </w:p>
    <w:p w14:paraId="23EBE6DD">
      <w:pPr>
        <w:numPr>
          <w:ilvl w:val="0"/>
          <w:numId w:val="13"/>
        </w:numPr>
        <w:bidi w:val="0"/>
        <w:ind w:left="425" w:leftChars="0" w:hanging="425" w:firstLineChars="0"/>
        <w:rPr>
          <w:rFonts w:ascii="Arial" w:hAnsi="Arial"/>
        </w:rPr>
      </w:pPr>
      <w:r>
        <w:rPr>
          <w:rFonts w:ascii="Arial" w:hAnsi="Arial"/>
        </w:rPr>
        <w:t>各部门和使用人应严格遵守软件使用授权的规定，不得擅自扩大使用范围、转借、复制或传播软件。</w:t>
      </w:r>
    </w:p>
    <w:p w14:paraId="08688B8E">
      <w:pPr>
        <w:numPr>
          <w:ilvl w:val="0"/>
          <w:numId w:val="13"/>
        </w:numPr>
        <w:bidi w:val="0"/>
        <w:ind w:left="425" w:leftChars="0" w:hanging="425" w:firstLineChars="0"/>
        <w:rPr>
          <w:rFonts w:ascii="Arial" w:hAnsi="Arial"/>
        </w:rPr>
      </w:pPr>
      <w:r>
        <w:rPr>
          <w:rFonts w:ascii="Arial" w:hAnsi="Arial"/>
        </w:rPr>
        <w:t>禁止使用未经授权的软件，禁止安装盗版软件，防止因软件版权问题引发法律风险。</w:t>
      </w:r>
    </w:p>
    <w:p w14:paraId="06798BDB">
      <w:pPr>
        <w:numPr>
          <w:ilvl w:val="0"/>
          <w:numId w:val="13"/>
        </w:numPr>
        <w:bidi w:val="0"/>
        <w:ind w:left="425" w:leftChars="0" w:hanging="425" w:firstLineChars="0"/>
        <w:rPr>
          <w:rFonts w:ascii="Arial" w:hAnsi="Arial"/>
        </w:rPr>
      </w:pPr>
      <w:r>
        <w:rPr>
          <w:rFonts w:ascii="Arial" w:hAnsi="Arial"/>
        </w:rPr>
        <w:t>使用人应妥善保管软件安装介质、授权文件等资料，不得泄露给无关人员。</w:t>
      </w:r>
    </w:p>
    <w:p w14:paraId="3FBDE437">
      <w:pPr>
        <w:numPr>
          <w:ilvl w:val="0"/>
          <w:numId w:val="13"/>
        </w:numPr>
        <w:bidi w:val="0"/>
        <w:ind w:left="425" w:leftChars="0" w:hanging="425" w:firstLineChars="0"/>
        <w:rPr>
          <w:rFonts w:ascii="Arial" w:hAnsi="Arial"/>
        </w:rPr>
      </w:pPr>
      <w:r>
        <w:rPr>
          <w:rFonts w:ascii="Arial" w:hAnsi="Arial"/>
        </w:rPr>
        <w:t>在使用软件过程中，如发现软件存在安全漏洞或异常情况，应及时向 运维部报告，不得擅自处理。</w:t>
      </w:r>
    </w:p>
    <w:p w14:paraId="24756744">
      <w:pPr>
        <w:numPr>
          <w:ilvl w:val="0"/>
          <w:numId w:val="13"/>
        </w:numPr>
        <w:bidi w:val="0"/>
        <w:ind w:left="425" w:leftChars="0" w:hanging="425" w:firstLineChars="0"/>
        <w:rPr>
          <w:rFonts w:ascii="Arial" w:hAnsi="Arial"/>
        </w:rPr>
      </w:pPr>
      <w:r>
        <w:rPr>
          <w:rFonts w:ascii="Arial" w:hAnsi="Arial"/>
        </w:rPr>
        <w:t>运维部定期对软件的使用情况进行检查，发现违规使用行为，及时予以纠正，并按照相关规定进行处理。</w:t>
      </w:r>
    </w:p>
    <w:p w14:paraId="035C78A8">
      <w:pPr>
        <w:pStyle w:val="30"/>
        <w:bidi w:val="0"/>
      </w:pPr>
      <w:bookmarkStart w:id="31" w:name="bookmark20"/>
      <w:bookmarkEnd w:id="31"/>
      <w:bookmarkStart w:id="32" w:name="_Toc2303"/>
      <w:r>
        <w:t>软件报废与清理管理</w:t>
      </w:r>
      <w:bookmarkEnd w:id="32"/>
    </w:p>
    <w:p w14:paraId="3461C641">
      <w:pPr>
        <w:numPr>
          <w:ilvl w:val="0"/>
          <w:numId w:val="14"/>
        </w:numPr>
        <w:bidi w:val="0"/>
        <w:ind w:left="425" w:leftChars="0" w:hanging="425" w:firstLineChars="0"/>
      </w:pPr>
      <w:r>
        <w:t>对于过期、失效、不再使用的软件，由运维部提出报废申请，经相关领导审批后，进行报废处理。</w:t>
      </w:r>
    </w:p>
    <w:p w14:paraId="0A934508">
      <w:pPr>
        <w:numPr>
          <w:ilvl w:val="0"/>
          <w:numId w:val="14"/>
        </w:numPr>
        <w:bidi w:val="0"/>
        <w:ind w:left="425" w:leftChars="0" w:hanging="425" w:firstLineChars="0"/>
      </w:pPr>
      <w:r>
        <w:t>报废处理包括：删除存储设备中的软件程序和相关数据；销毁物理介质（如光盘、U 盘等），确保信息无法恢复；更新软件库登记信息，注明软件已报废。</w:t>
      </w:r>
    </w:p>
    <w:p w14:paraId="27C9AC21">
      <w:pPr>
        <w:numPr>
          <w:ilvl w:val="0"/>
          <w:numId w:val="14"/>
        </w:numPr>
        <w:bidi w:val="0"/>
      </w:pPr>
      <w:r>
        <w:t>对于报废软件的相关资料，如授权证明、使用手册等，按照公司档案管理规定进行处理。</w:t>
      </w:r>
    </w:p>
    <w:p w14:paraId="27CC6546">
      <w:pPr>
        <w:pStyle w:val="30"/>
        <w:bidi w:val="0"/>
      </w:pPr>
      <w:bookmarkStart w:id="33" w:name="_Toc21856"/>
      <w:r>
        <w:t>安全管理</w:t>
      </w:r>
      <w:bookmarkEnd w:id="33"/>
    </w:p>
    <w:p w14:paraId="45BBAE2C">
      <w:pPr>
        <w:numPr>
          <w:ilvl w:val="0"/>
          <w:numId w:val="15"/>
        </w:numPr>
        <w:bidi w:val="0"/>
        <w:ind w:left="425" w:leftChars="0" w:hanging="425" w:firstLineChars="0"/>
      </w:pPr>
      <w:r>
        <w:t>运维部应建立软件库安全管理制度，采取必要的安全措施，如安装防火墙、杀毒软件、入侵检测系统等，防范病毒、恶意代码、网络攻击等安全威胁。</w:t>
      </w:r>
    </w:p>
    <w:p w14:paraId="5DFAA24B">
      <w:pPr>
        <w:numPr>
          <w:ilvl w:val="0"/>
          <w:numId w:val="15"/>
        </w:numPr>
        <w:bidi w:val="0"/>
        <w:ind w:left="425" w:leftChars="0" w:hanging="425" w:firstLineChars="0"/>
      </w:pPr>
      <w:r>
        <w:t>定期对软件库进行安全扫描和漏洞检测，及时发现和修复安全漏洞。</w:t>
      </w:r>
    </w:p>
    <w:p w14:paraId="3DA0C9DA">
      <w:pPr>
        <w:numPr>
          <w:ilvl w:val="0"/>
          <w:numId w:val="15"/>
        </w:numPr>
        <w:bidi w:val="0"/>
        <w:ind w:left="425" w:leftChars="0" w:hanging="425" w:firstLineChars="0"/>
      </w:pPr>
      <w:r>
        <w:t>加强对软件库管理人员和使用人员的安全意识培训，提高安全防范意识和能力。</w:t>
      </w:r>
    </w:p>
    <w:p w14:paraId="75F721B0">
      <w:pPr>
        <w:numPr>
          <w:ilvl w:val="0"/>
          <w:numId w:val="15"/>
        </w:numPr>
        <w:bidi w:val="0"/>
        <w:ind w:left="425" w:leftChars="0" w:hanging="425" w:firstLineChars="0"/>
      </w:pPr>
      <w:r>
        <w:t>建立安全事件应急响应机制，一旦发生软件库安全事件，应及时采取措施进行处置，防止事态扩大。</w:t>
      </w:r>
    </w:p>
    <w:p w14:paraId="210FAD34">
      <w:pPr>
        <w:pStyle w:val="30"/>
        <w:bidi w:val="0"/>
      </w:pPr>
      <w:bookmarkStart w:id="34" w:name="bookmark22"/>
      <w:bookmarkEnd w:id="34"/>
      <w:bookmarkStart w:id="35" w:name="_Toc18417"/>
      <w:r>
        <w:t>监督与检查</w:t>
      </w:r>
      <w:bookmarkEnd w:id="35"/>
    </w:p>
    <w:p w14:paraId="1F60BE7A">
      <w:pPr>
        <w:numPr>
          <w:ilvl w:val="0"/>
          <w:numId w:val="16"/>
        </w:numPr>
        <w:bidi w:val="0"/>
        <w:ind w:left="425" w:leftChars="0" w:hanging="425" w:firstLineChars="0"/>
      </w:pPr>
      <w:r>
        <w:t>运维部定期对软件库管理情况进行内部审计和检查，包括软件入库、出库、版本管理、存储备份、使用情况等，确保制度的有效执行。</w:t>
      </w:r>
    </w:p>
    <w:p w14:paraId="5BC2D98B">
      <w:pPr>
        <w:numPr>
          <w:ilvl w:val="0"/>
          <w:numId w:val="16"/>
        </w:numPr>
        <w:bidi w:val="0"/>
        <w:ind w:left="425" w:leftChars="0" w:hanging="425" w:firstLineChars="0"/>
      </w:pPr>
      <w:r>
        <w:t>检查结果应形成报告，及时向公司管理层汇报，对发现的问题及时下达整改通知，跟踪整改情况。</w:t>
      </w:r>
    </w:p>
    <w:p w14:paraId="5476A1C4">
      <w:pPr>
        <w:numPr>
          <w:ilvl w:val="0"/>
          <w:numId w:val="16"/>
        </w:numPr>
        <w:bidi w:val="0"/>
        <w:ind w:left="425" w:leftChars="0" w:hanging="425" w:firstLineChars="0"/>
      </w:pPr>
      <w:r>
        <w:t>鼓励员工对软件库管理中的违规行为进行举报，对举报属实的给予奖励。</w:t>
      </w:r>
    </w:p>
    <w:p w14:paraId="2FA2699D">
      <w:r>
        <w:br w:type="page"/>
      </w:r>
    </w:p>
    <w:p w14:paraId="1C19CE4F">
      <w:pPr>
        <w:pStyle w:val="30"/>
        <w:bidi w:val="0"/>
        <w:rPr>
          <w:rFonts w:hint="default"/>
          <w:lang w:val="en-US" w:eastAsia="zh-CN"/>
        </w:rPr>
      </w:pPr>
      <w:bookmarkStart w:id="36" w:name="_Toc27344"/>
      <w:r>
        <w:rPr>
          <w:rFonts w:hint="eastAsia"/>
          <w:lang w:val="en-US" w:eastAsia="zh-CN"/>
        </w:rPr>
        <w:t>考核指标</w:t>
      </w:r>
      <w:bookmarkEnd w:id="36"/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2995"/>
        <w:gridCol w:w="941"/>
        <w:gridCol w:w="1583"/>
      </w:tblGrid>
      <w:tr w14:paraId="646148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 w14:paraId="570E8829">
            <w:pPr>
              <w:pStyle w:val="29"/>
              <w:widowControl w:val="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bookmarkStart w:id="37" w:name="bookmark3"/>
            <w:bookmarkEnd w:id="37"/>
            <w:bookmarkStart w:id="38" w:name="_Toc17424"/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指标度量项</w:t>
            </w:r>
          </w:p>
        </w:tc>
        <w:tc>
          <w:tcPr>
            <w:tcW w:w="2995" w:type="dxa"/>
          </w:tcPr>
          <w:p w14:paraId="36DC3899">
            <w:pPr>
              <w:pStyle w:val="29"/>
              <w:widowControl w:val="0"/>
              <w:ind w:left="0" w:leftChars="0" w:firstLine="0" w:firstLineChars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计算公式</w:t>
            </w:r>
          </w:p>
        </w:tc>
        <w:tc>
          <w:tcPr>
            <w:tcW w:w="941" w:type="dxa"/>
          </w:tcPr>
          <w:p w14:paraId="3B6D449C">
            <w:pPr>
              <w:pStyle w:val="29"/>
              <w:widowControl w:val="0"/>
              <w:ind w:left="0" w:leftChars="0" w:firstLine="0" w:firstLineChars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频次</w:t>
            </w:r>
          </w:p>
        </w:tc>
        <w:tc>
          <w:tcPr>
            <w:tcW w:w="1583" w:type="dxa"/>
          </w:tcPr>
          <w:p w14:paraId="7BE0BA8E">
            <w:pPr>
              <w:pStyle w:val="29"/>
              <w:widowControl w:val="0"/>
              <w:ind w:left="0" w:leftChars="0" w:firstLine="0" w:firstLineChars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目标值</w:t>
            </w:r>
          </w:p>
        </w:tc>
      </w:tr>
      <w:tr w14:paraId="68C4F8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964" w:type="dxa"/>
          </w:tcPr>
          <w:p w14:paraId="395C77A5">
            <w:pPr>
              <w:pStyle w:val="29"/>
              <w:widowControl w:val="0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软件可用率</w:t>
            </w:r>
          </w:p>
        </w:tc>
        <w:tc>
          <w:tcPr>
            <w:tcW w:w="2995" w:type="dxa"/>
          </w:tcPr>
          <w:p w14:paraId="27347DB2">
            <w:pPr>
              <w:pStyle w:val="29"/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知识分类覆盖数量/知识分类总数</w:t>
            </w:r>
            <w:r>
              <w:rPr>
                <w:rFonts w:hint="eastAsia" w:ascii="宋体" w:hAnsi="宋体" w:cs="宋体"/>
                <w:spacing w:val="-1"/>
                <w:sz w:val="24"/>
                <w:szCs w:val="24"/>
                <w:lang w:val="en-US" w:eastAsia="zh-CN"/>
              </w:rPr>
              <w:t>*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100</w:t>
            </w:r>
            <w:bookmarkStart w:id="43" w:name="_GoBack"/>
            <w:bookmarkEnd w:id="43"/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%</w:t>
            </w:r>
          </w:p>
        </w:tc>
        <w:tc>
          <w:tcPr>
            <w:tcW w:w="941" w:type="dxa"/>
          </w:tcPr>
          <w:p w14:paraId="2E961F64">
            <w:pPr>
              <w:pStyle w:val="29"/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每年</w:t>
            </w:r>
          </w:p>
        </w:tc>
        <w:tc>
          <w:tcPr>
            <w:tcW w:w="1583" w:type="dxa"/>
          </w:tcPr>
          <w:p w14:paraId="6A5D6556">
            <w:pPr>
              <w:pStyle w:val="29"/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≥90%</w:t>
            </w:r>
          </w:p>
        </w:tc>
      </w:tr>
    </w:tbl>
    <w:p w14:paraId="1292F1DE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39" w:name="_Toc19822"/>
      <w:r>
        <w:rPr>
          <w:rStyle w:val="38"/>
          <w:rFonts w:hint="eastAsia" w:eastAsia="宋体"/>
          <w:lang w:val="en-US" w:eastAsia="zh-CN"/>
        </w:rPr>
        <w:t>附则</w:t>
      </w:r>
      <w:bookmarkEnd w:id="38"/>
      <w:bookmarkEnd w:id="39"/>
    </w:p>
    <w:p w14:paraId="17535BAC">
      <w:pPr>
        <w:keepNext w:val="0"/>
        <w:keepLines w:val="0"/>
        <w:pageBreakBefore w:val="0"/>
        <w:widowControl/>
        <w:numPr>
          <w:ilvl w:val="0"/>
          <w:numId w:val="17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运维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734B5A00">
      <w:pPr>
        <w:keepNext w:val="0"/>
        <w:keepLines w:val="0"/>
        <w:pageBreakBefore w:val="0"/>
        <w:widowControl/>
        <w:numPr>
          <w:ilvl w:val="0"/>
          <w:numId w:val="17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572E3990">
      <w:pPr>
        <w:pStyle w:val="28"/>
        <w:bidi w:val="0"/>
        <w:rPr>
          <w:rFonts w:hint="default"/>
          <w:lang w:val="en-US" w:eastAsia="zh-CN"/>
        </w:rPr>
      </w:pPr>
      <w:bookmarkStart w:id="40" w:name="bookmark14"/>
      <w:bookmarkEnd w:id="40"/>
      <w:bookmarkStart w:id="41" w:name="_Toc21269"/>
      <w:r>
        <w:rPr>
          <w:rFonts w:hint="eastAsia"/>
          <w:lang w:val="en-US" w:eastAsia="zh-CN"/>
        </w:rPr>
        <w:t>附件</w:t>
      </w:r>
      <w:bookmarkEnd w:id="41"/>
    </w:p>
    <w:p w14:paraId="04C72575">
      <w:pPr>
        <w:pStyle w:val="2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2D2695C6">
      <w:pPr>
        <w:pStyle w:val="28"/>
        <w:bidi w:val="0"/>
        <w:rPr>
          <w:rFonts w:hint="default"/>
          <w:lang w:val="en-US" w:eastAsia="zh-CN"/>
        </w:rPr>
      </w:pPr>
      <w:bookmarkStart w:id="42" w:name="_Toc19467"/>
      <w:r>
        <w:rPr>
          <w:rFonts w:hint="eastAsia"/>
          <w:lang w:val="en-US" w:eastAsia="zh-CN"/>
        </w:rPr>
        <w:t>记录</w:t>
      </w:r>
      <w:bookmarkEnd w:id="42"/>
    </w:p>
    <w:p w14:paraId="6E570938">
      <w:pPr>
        <w:pStyle w:val="2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99C667BD"/>
    <w:multiLevelType w:val="singleLevel"/>
    <w:tmpl w:val="99C667B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A19FD96C"/>
    <w:multiLevelType w:val="singleLevel"/>
    <w:tmpl w:val="A19FD96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A9AFF74C"/>
    <w:multiLevelType w:val="singleLevel"/>
    <w:tmpl w:val="A9AFF74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AC7EA055"/>
    <w:multiLevelType w:val="singleLevel"/>
    <w:tmpl w:val="AC7EA05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AD924496"/>
    <w:multiLevelType w:val="singleLevel"/>
    <w:tmpl w:val="AD92449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B523902C"/>
    <w:multiLevelType w:val="singleLevel"/>
    <w:tmpl w:val="B523902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C434B4C1"/>
    <w:multiLevelType w:val="singleLevel"/>
    <w:tmpl w:val="C434B4C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C6622DAE"/>
    <w:multiLevelType w:val="singleLevel"/>
    <w:tmpl w:val="C6622DA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EEF7102F"/>
    <w:multiLevelType w:val="singleLevel"/>
    <w:tmpl w:val="EEF7102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21A30EC5"/>
    <w:multiLevelType w:val="singleLevel"/>
    <w:tmpl w:val="21A30EC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28941241"/>
    <w:multiLevelType w:val="singleLevel"/>
    <w:tmpl w:val="2894124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3DCF5E74"/>
    <w:multiLevelType w:val="singleLevel"/>
    <w:tmpl w:val="3DCF5E7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5CB0D990"/>
    <w:multiLevelType w:val="singleLevel"/>
    <w:tmpl w:val="5CB0D99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65F9FC22"/>
    <w:multiLevelType w:val="singleLevel"/>
    <w:tmpl w:val="65F9FC2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>
    <w:nsid w:val="711F0BF8"/>
    <w:multiLevelType w:val="singleLevel"/>
    <w:tmpl w:val="711F0BF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2"/>
  </w:num>
  <w:num w:numId="5">
    <w:abstractNumId w:val="14"/>
  </w:num>
  <w:num w:numId="6">
    <w:abstractNumId w:val="6"/>
  </w:num>
  <w:num w:numId="7">
    <w:abstractNumId w:val="16"/>
  </w:num>
  <w:num w:numId="8">
    <w:abstractNumId w:val="11"/>
  </w:num>
  <w:num w:numId="9">
    <w:abstractNumId w:val="9"/>
  </w:num>
  <w:num w:numId="10">
    <w:abstractNumId w:val="1"/>
  </w:num>
  <w:num w:numId="11">
    <w:abstractNumId w:val="2"/>
  </w:num>
  <w:num w:numId="12">
    <w:abstractNumId w:val="7"/>
  </w:num>
  <w:num w:numId="13">
    <w:abstractNumId w:val="5"/>
  </w:num>
  <w:num w:numId="14">
    <w:abstractNumId w:val="15"/>
  </w:num>
  <w:num w:numId="15">
    <w:abstractNumId w:val="13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0D074CA"/>
    <w:rsid w:val="011B2144"/>
    <w:rsid w:val="02105DD0"/>
    <w:rsid w:val="05573D16"/>
    <w:rsid w:val="05C8669A"/>
    <w:rsid w:val="08055CAB"/>
    <w:rsid w:val="09615163"/>
    <w:rsid w:val="096915D0"/>
    <w:rsid w:val="09AE7D87"/>
    <w:rsid w:val="0B13248D"/>
    <w:rsid w:val="0B1B4E9F"/>
    <w:rsid w:val="0B456B48"/>
    <w:rsid w:val="0B930577"/>
    <w:rsid w:val="0C8F3FF8"/>
    <w:rsid w:val="0CA84E57"/>
    <w:rsid w:val="0D605732"/>
    <w:rsid w:val="0DC14423"/>
    <w:rsid w:val="0E4869E6"/>
    <w:rsid w:val="0F29209F"/>
    <w:rsid w:val="100912AD"/>
    <w:rsid w:val="104D4694"/>
    <w:rsid w:val="10590638"/>
    <w:rsid w:val="10DE353E"/>
    <w:rsid w:val="112A43FB"/>
    <w:rsid w:val="119775A7"/>
    <w:rsid w:val="12D469A6"/>
    <w:rsid w:val="147E306D"/>
    <w:rsid w:val="159D5775"/>
    <w:rsid w:val="15D97634"/>
    <w:rsid w:val="15FA62A5"/>
    <w:rsid w:val="160F7CF5"/>
    <w:rsid w:val="167A1613"/>
    <w:rsid w:val="16C265E3"/>
    <w:rsid w:val="170C7BDF"/>
    <w:rsid w:val="17CE32DA"/>
    <w:rsid w:val="187F1162"/>
    <w:rsid w:val="1A264519"/>
    <w:rsid w:val="1A930EF5"/>
    <w:rsid w:val="1AC27A2C"/>
    <w:rsid w:val="1B8D153C"/>
    <w:rsid w:val="1C3258A0"/>
    <w:rsid w:val="1CF3211F"/>
    <w:rsid w:val="1CFA72C7"/>
    <w:rsid w:val="1D7B4B8F"/>
    <w:rsid w:val="1D7E081F"/>
    <w:rsid w:val="1E0438CC"/>
    <w:rsid w:val="1E360515"/>
    <w:rsid w:val="1E707ECB"/>
    <w:rsid w:val="1EC021F7"/>
    <w:rsid w:val="1EE75CB3"/>
    <w:rsid w:val="1F3D3B25"/>
    <w:rsid w:val="209179EB"/>
    <w:rsid w:val="21617F9F"/>
    <w:rsid w:val="24C525F3"/>
    <w:rsid w:val="251D41DD"/>
    <w:rsid w:val="25626B9F"/>
    <w:rsid w:val="262C093B"/>
    <w:rsid w:val="26747E2C"/>
    <w:rsid w:val="26993E2E"/>
    <w:rsid w:val="27084A19"/>
    <w:rsid w:val="27363334"/>
    <w:rsid w:val="279B1602"/>
    <w:rsid w:val="28862099"/>
    <w:rsid w:val="294206B6"/>
    <w:rsid w:val="296511D8"/>
    <w:rsid w:val="2A0635A2"/>
    <w:rsid w:val="2AD12888"/>
    <w:rsid w:val="2B141C1D"/>
    <w:rsid w:val="2B9C4A12"/>
    <w:rsid w:val="2BC0763F"/>
    <w:rsid w:val="2CE11F94"/>
    <w:rsid w:val="2D381E44"/>
    <w:rsid w:val="2DC749A6"/>
    <w:rsid w:val="2DDD6BFF"/>
    <w:rsid w:val="2E516CA5"/>
    <w:rsid w:val="2E9C2616"/>
    <w:rsid w:val="2E9D013C"/>
    <w:rsid w:val="2EBA2A9C"/>
    <w:rsid w:val="2F135073"/>
    <w:rsid w:val="2F4A02C4"/>
    <w:rsid w:val="2FF80E15"/>
    <w:rsid w:val="301D1535"/>
    <w:rsid w:val="32092F11"/>
    <w:rsid w:val="32290665"/>
    <w:rsid w:val="32C13470"/>
    <w:rsid w:val="33896EE1"/>
    <w:rsid w:val="34034EE6"/>
    <w:rsid w:val="348953EB"/>
    <w:rsid w:val="366559E4"/>
    <w:rsid w:val="36785717"/>
    <w:rsid w:val="36F25E64"/>
    <w:rsid w:val="36FA4FFE"/>
    <w:rsid w:val="37BF1626"/>
    <w:rsid w:val="384A559C"/>
    <w:rsid w:val="38F01AA4"/>
    <w:rsid w:val="39431617"/>
    <w:rsid w:val="3A3D6832"/>
    <w:rsid w:val="3AF9494C"/>
    <w:rsid w:val="3B6E533A"/>
    <w:rsid w:val="3C28373B"/>
    <w:rsid w:val="3C634773"/>
    <w:rsid w:val="3CF96E86"/>
    <w:rsid w:val="3D156FFD"/>
    <w:rsid w:val="3D695DB9"/>
    <w:rsid w:val="3E7C0C45"/>
    <w:rsid w:val="3EAB0654"/>
    <w:rsid w:val="3F52306E"/>
    <w:rsid w:val="3F5A203E"/>
    <w:rsid w:val="410A1661"/>
    <w:rsid w:val="41566655"/>
    <w:rsid w:val="41C827B4"/>
    <w:rsid w:val="426B25D4"/>
    <w:rsid w:val="429D0A4E"/>
    <w:rsid w:val="43A318F9"/>
    <w:rsid w:val="442D371B"/>
    <w:rsid w:val="443133A9"/>
    <w:rsid w:val="44872FC9"/>
    <w:rsid w:val="45336CAD"/>
    <w:rsid w:val="4613720A"/>
    <w:rsid w:val="461865CE"/>
    <w:rsid w:val="4642189D"/>
    <w:rsid w:val="46E2753A"/>
    <w:rsid w:val="471A69C9"/>
    <w:rsid w:val="47432D89"/>
    <w:rsid w:val="479C7E09"/>
    <w:rsid w:val="47E81FD1"/>
    <w:rsid w:val="4893018E"/>
    <w:rsid w:val="49C93E0E"/>
    <w:rsid w:val="4AA3483E"/>
    <w:rsid w:val="4AC42881"/>
    <w:rsid w:val="4AD909E8"/>
    <w:rsid w:val="4AE178D7"/>
    <w:rsid w:val="4B644252"/>
    <w:rsid w:val="4C013661"/>
    <w:rsid w:val="4D007DBC"/>
    <w:rsid w:val="4D343593"/>
    <w:rsid w:val="4ECA2430"/>
    <w:rsid w:val="4F540134"/>
    <w:rsid w:val="54B725CE"/>
    <w:rsid w:val="54CD67D6"/>
    <w:rsid w:val="55B23C34"/>
    <w:rsid w:val="55E64236"/>
    <w:rsid w:val="56247E6D"/>
    <w:rsid w:val="567D13ED"/>
    <w:rsid w:val="56D976B4"/>
    <w:rsid w:val="572648C3"/>
    <w:rsid w:val="57403211"/>
    <w:rsid w:val="57A35583"/>
    <w:rsid w:val="57AC16EE"/>
    <w:rsid w:val="580234FE"/>
    <w:rsid w:val="5859544B"/>
    <w:rsid w:val="58956A46"/>
    <w:rsid w:val="58C8202C"/>
    <w:rsid w:val="5ADC59C5"/>
    <w:rsid w:val="5BBB7799"/>
    <w:rsid w:val="5BC619FD"/>
    <w:rsid w:val="5C1127CB"/>
    <w:rsid w:val="5C717B35"/>
    <w:rsid w:val="5CE172C2"/>
    <w:rsid w:val="5E133B7E"/>
    <w:rsid w:val="5E3B2A02"/>
    <w:rsid w:val="5E8425FB"/>
    <w:rsid w:val="600D73F1"/>
    <w:rsid w:val="606F2B03"/>
    <w:rsid w:val="608C7E04"/>
    <w:rsid w:val="609A4358"/>
    <w:rsid w:val="60FF797D"/>
    <w:rsid w:val="62364D94"/>
    <w:rsid w:val="627D5CDF"/>
    <w:rsid w:val="62853344"/>
    <w:rsid w:val="62926F26"/>
    <w:rsid w:val="637B1AF3"/>
    <w:rsid w:val="6457120A"/>
    <w:rsid w:val="65F22540"/>
    <w:rsid w:val="665E1984"/>
    <w:rsid w:val="66BA2932"/>
    <w:rsid w:val="67931B01"/>
    <w:rsid w:val="689A2A1B"/>
    <w:rsid w:val="68DD06B8"/>
    <w:rsid w:val="69862A24"/>
    <w:rsid w:val="69B61AD7"/>
    <w:rsid w:val="69D9062E"/>
    <w:rsid w:val="6AB2229E"/>
    <w:rsid w:val="6ADC556D"/>
    <w:rsid w:val="6B6421C7"/>
    <w:rsid w:val="6B947BF6"/>
    <w:rsid w:val="6BCE07B8"/>
    <w:rsid w:val="6C677623"/>
    <w:rsid w:val="6C7C0DB6"/>
    <w:rsid w:val="6C8118B5"/>
    <w:rsid w:val="711710AD"/>
    <w:rsid w:val="7148395C"/>
    <w:rsid w:val="71D074AE"/>
    <w:rsid w:val="71FA350A"/>
    <w:rsid w:val="72895FDA"/>
    <w:rsid w:val="72DC0914"/>
    <w:rsid w:val="747E1443"/>
    <w:rsid w:val="748B2064"/>
    <w:rsid w:val="765B1E90"/>
    <w:rsid w:val="7695113D"/>
    <w:rsid w:val="77020109"/>
    <w:rsid w:val="77BD2282"/>
    <w:rsid w:val="78CC6D3B"/>
    <w:rsid w:val="78DC469B"/>
    <w:rsid w:val="78F14974"/>
    <w:rsid w:val="79226C69"/>
    <w:rsid w:val="7A147095"/>
    <w:rsid w:val="7AF366E7"/>
    <w:rsid w:val="7B734B9C"/>
    <w:rsid w:val="7C773348"/>
    <w:rsid w:val="7D1E37CD"/>
    <w:rsid w:val="7DD86C30"/>
    <w:rsid w:val="7E993157"/>
    <w:rsid w:val="7EC14D4E"/>
    <w:rsid w:val="7F361298"/>
    <w:rsid w:val="7F45025C"/>
    <w:rsid w:val="7F821A2C"/>
    <w:rsid w:val="7FBF5882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4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2894</Words>
  <Characters>3037</Characters>
  <Lines>0</Lines>
  <Paragraphs>0</Paragraphs>
  <TotalTime>0</TotalTime>
  <ScaleCrop>false</ScaleCrop>
  <LinksUpToDate>false</LinksUpToDate>
  <CharactersWithSpaces>3155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2025-09-12T04:04:23Z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