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3254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3391"/>
      <w:r>
        <w:rPr>
          <w:rFonts w:hint="eastAsia"/>
          <w:lang w:val="en-US" w:eastAsia="zh-CN"/>
        </w:rPr>
        <w:t>服务数据管理制度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59A60F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_Toc32549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_Toc32549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5FC95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服务数据管理制度</w:t>
          </w:r>
          <w:r>
            <w:tab/>
          </w:r>
          <w:r>
            <w:fldChar w:fldCharType="begin"/>
          </w:r>
          <w:r>
            <w:instrText xml:space="preserve"> PAGEREF _Toc3391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9B793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_Toc32588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_Toc32588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D6DEA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_Toc24071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_Toc24071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C124E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_Toc17759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_Toc17759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FF678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bookmarkStart w:id="55" w:name="_GoBack"/>
          <w:bookmarkEnd w:id="55"/>
          <w:r>
            <w:tab/>
          </w:r>
          <w:r>
            <w:fldChar w:fldCharType="begin"/>
          </w:r>
          <w:r>
            <w:instrText xml:space="preserve"> PAGEREF _Toc24113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1B33F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_Toc23263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EEE43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_Toc13399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8864C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服务数据管理</w:t>
          </w:r>
          <w:r>
            <w:tab/>
          </w:r>
          <w:r>
            <w:fldChar w:fldCharType="begin"/>
          </w:r>
          <w:r>
            <w:instrText xml:space="preserve"> PAGEREF _Toc2710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7114D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_Toc11344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服务数据全生命周期管理</w:t>
          </w:r>
          <w:r>
            <w:tab/>
          </w:r>
          <w:r>
            <w:fldChar w:fldCharType="begin"/>
          </w:r>
          <w:r>
            <w:instrText xml:space="preserve"> PAGEREF _Toc11344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E4653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_Toc13421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数据采集</w:t>
          </w:r>
          <w:r>
            <w:tab/>
          </w:r>
          <w:r>
            <w:fldChar w:fldCharType="begin"/>
          </w:r>
          <w:r>
            <w:instrText xml:space="preserve"> PAGEREF _Toc13421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78102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数据存储</w:t>
          </w:r>
          <w:r>
            <w:tab/>
          </w:r>
          <w:r>
            <w:fldChar w:fldCharType="begin"/>
          </w:r>
          <w:r>
            <w:instrText xml:space="preserve"> PAGEREF _Toc1060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553C3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数据处理与转换</w:t>
          </w:r>
          <w:r>
            <w:tab/>
          </w:r>
          <w:r>
            <w:fldChar w:fldCharType="begin"/>
          </w:r>
          <w:r>
            <w:instrText xml:space="preserve"> PAGEREF _Toc3333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CF14E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数据使用与共享</w:t>
          </w:r>
          <w:r>
            <w:tab/>
          </w:r>
          <w:r>
            <w:fldChar w:fldCharType="begin"/>
          </w:r>
          <w:r>
            <w:instrText xml:space="preserve"> PAGEREF _Toc14786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F7ED5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_Toc3865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5.1.5. </w:t>
          </w:r>
          <w:r>
            <w:t>数据销毁</w:t>
          </w:r>
          <w:r>
            <w:tab/>
          </w:r>
          <w:r>
            <w:fldChar w:fldCharType="begin"/>
          </w:r>
          <w:r>
            <w:instrText xml:space="preserve"> PAGEREF _Toc3865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2A862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_Toc10076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数据安全与合规</w:t>
          </w:r>
          <w:r>
            <w:tab/>
          </w:r>
          <w:r>
            <w:fldChar w:fldCharType="begin"/>
          </w:r>
          <w:r>
            <w:instrText xml:space="preserve"> PAGEREF _Toc10076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1DA6C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安全防护</w:t>
          </w:r>
          <w:r>
            <w:tab/>
          </w:r>
          <w:r>
            <w:fldChar w:fldCharType="begin"/>
          </w:r>
          <w:r>
            <w:instrText xml:space="preserve"> PAGEREF _Toc21745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C7A79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合规管理</w:t>
          </w:r>
          <w:r>
            <w:tab/>
          </w:r>
          <w:r>
            <w:fldChar w:fldCharType="begin"/>
          </w:r>
          <w:r>
            <w:instrText xml:space="preserve"> PAGEREF _Toc27528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898FC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数据质量控制</w:t>
          </w:r>
          <w:r>
            <w:tab/>
          </w:r>
          <w:r>
            <w:fldChar w:fldCharType="begin"/>
          </w:r>
          <w:r>
            <w:instrText xml:space="preserve"> PAGEREF _Toc624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56F38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_Toc17314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质量指标</w:t>
          </w:r>
          <w:r>
            <w:tab/>
          </w:r>
          <w:r>
            <w:fldChar w:fldCharType="begin"/>
          </w:r>
          <w:r>
            <w:instrText xml:space="preserve"> PAGEREF _Toc17314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2FDFA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_Toc27775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质量监控</w:t>
          </w:r>
          <w:r>
            <w:tab/>
          </w:r>
          <w:r>
            <w:fldChar w:fldCharType="begin"/>
          </w:r>
          <w:r>
            <w:instrText xml:space="preserve"> PAGEREF _Toc27775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6C28A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_Toc29184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5.3.3. </w:t>
          </w:r>
          <w:r>
            <w:t>质量改进</w:t>
          </w:r>
          <w:r>
            <w:tab/>
          </w:r>
          <w:r>
            <w:fldChar w:fldCharType="begin"/>
          </w:r>
          <w:r>
            <w:instrText xml:space="preserve"> PAGEREF _Toc29184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4C05A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_Toc20707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数据共享与应用</w:t>
          </w:r>
          <w:r>
            <w:tab/>
          </w:r>
          <w:r>
            <w:fldChar w:fldCharType="begin"/>
          </w:r>
          <w:r>
            <w:instrText xml:space="preserve"> PAGEREF _Toc20707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AF6E3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_Toc22259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t>数据共享</w:t>
          </w:r>
          <w:r>
            <w:tab/>
          </w:r>
          <w:r>
            <w:fldChar w:fldCharType="begin"/>
          </w:r>
          <w:r>
            <w:instrText xml:space="preserve"> PAGEREF _Toc22259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37A80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t>数据应用</w:t>
          </w:r>
          <w:r>
            <w:tab/>
          </w:r>
          <w:r>
            <w:fldChar w:fldCharType="begin"/>
          </w:r>
          <w:r>
            <w:instrText xml:space="preserve"> PAGEREF _Toc18888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75ACD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监督与审计</w:t>
          </w:r>
          <w:r>
            <w:tab/>
          </w:r>
          <w:r>
            <w:fldChar w:fldCharType="begin"/>
          </w:r>
          <w:r>
            <w:instrText xml:space="preserve"> PAGEREF _Toc23214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11D0A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_Toc17019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5.5.1. </w:t>
          </w:r>
          <w:r>
            <w:t>内部监督</w:t>
          </w:r>
          <w:r>
            <w:tab/>
          </w:r>
          <w:r>
            <w:fldChar w:fldCharType="begin"/>
          </w:r>
          <w:r>
            <w:instrText xml:space="preserve"> PAGEREF _Toc17019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C696B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制度评审与改进</w:t>
          </w:r>
          <w:r>
            <w:tab/>
          </w:r>
          <w:r>
            <w:fldChar w:fldCharType="begin"/>
          </w:r>
          <w:r>
            <w:instrText xml:space="preserve"> PAGEREF _Toc30601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98CEB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5.6.1. </w:t>
          </w:r>
          <w:r>
            <w:t>外部审计</w:t>
          </w:r>
          <w:r>
            <w:tab/>
          </w:r>
          <w:r>
            <w:fldChar w:fldCharType="begin"/>
          </w:r>
          <w:r>
            <w:instrText xml:space="preserve"> PAGEREF _Toc7983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AA58F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_Toc28475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培训与宣贯</w:t>
          </w:r>
          <w:r>
            <w:tab/>
          </w:r>
          <w:r>
            <w:fldChar w:fldCharType="begin"/>
          </w:r>
          <w:r>
            <w:instrText xml:space="preserve"> PAGEREF _Toc28475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BE822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_Toc6088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_Toc6088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7A74A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_Toc19199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F8FF7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_Toc1523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F8DAC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_Toc1470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2588"/>
      <w:r>
        <w:t>目的</w:t>
      </w:r>
      <w:bookmarkEnd w:id="2"/>
    </w:p>
    <w:p w14:paraId="67E339A4">
      <w:pPr>
        <w:pStyle w:val="29"/>
        <w:bidi w:val="0"/>
      </w:pPr>
      <w:r>
        <w:t>本制度旨在通过建立系统化的服务数据管理体系，实现服务数据的规范采集、安全存储、高效利用和合规管控，提升服务质量与效率，支撑服务过程改进和应急交付决策，保障服务数据资产的完整性与价值最大化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24071"/>
      <w:r>
        <w:rPr>
          <w:rFonts w:hint="eastAsia"/>
          <w:lang w:val="en-US" w:eastAsia="zh-CN"/>
        </w:rPr>
        <w:t>原则</w:t>
      </w:r>
      <w:bookmarkEnd w:id="3"/>
    </w:p>
    <w:p w14:paraId="03B23CE4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全面性原则：</w:t>
      </w:r>
    </w:p>
    <w:p w14:paraId="774A2CF1">
      <w:pPr>
        <w:pStyle w:val="39"/>
        <w:numPr>
          <w:ilvl w:val="0"/>
          <w:numId w:val="0"/>
        </w:numPr>
        <w:bidi w:val="0"/>
      </w:pPr>
      <w:r>
        <w:t>覆盖服务数据全生命周期各环节，确保无管理盲区。</w:t>
      </w:r>
    </w:p>
    <w:p w14:paraId="716A2446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准确性原则：</w:t>
      </w:r>
    </w:p>
    <w:p w14:paraId="1459BCF2">
      <w:pPr>
        <w:pStyle w:val="39"/>
        <w:numPr>
          <w:ilvl w:val="0"/>
          <w:numId w:val="0"/>
        </w:numPr>
        <w:bidi w:val="0"/>
      </w:pPr>
      <w:r>
        <w:t>保证服务数据真实、准确、完整，为决策提供可靠依据。</w:t>
      </w:r>
    </w:p>
    <w:p w14:paraId="0B37973B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安全性原则：</w:t>
      </w:r>
    </w:p>
    <w:p w14:paraId="0FDBE870">
      <w:pPr>
        <w:pStyle w:val="39"/>
        <w:numPr>
          <w:ilvl w:val="0"/>
          <w:numId w:val="0"/>
        </w:numPr>
        <w:bidi w:val="0"/>
      </w:pPr>
      <w:r>
        <w:t>采取必要的技术和管理措施，保障服务数据不被泄露、篡改或滥用。</w:t>
      </w:r>
    </w:p>
    <w:p w14:paraId="1C82BCC2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合规性原则：</w:t>
      </w:r>
    </w:p>
    <w:p w14:paraId="398FB86F">
      <w:pPr>
        <w:pStyle w:val="39"/>
        <w:numPr>
          <w:ilvl w:val="0"/>
          <w:numId w:val="0"/>
        </w:numPr>
        <w:bidi w:val="0"/>
      </w:pPr>
      <w:r>
        <w:t>遵循国家相关法律法规及行业标准，规范服务数据的管理与使用。</w:t>
      </w:r>
    </w:p>
    <w:p w14:paraId="47297150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实用性原则：</w:t>
      </w:r>
    </w:p>
    <w:p w14:paraId="65471F51">
      <w:pPr>
        <w:pStyle w:val="39"/>
        <w:numPr>
          <w:ilvl w:val="0"/>
          <w:numId w:val="0"/>
        </w:numPr>
        <w:bidi w:val="0"/>
        <w:ind w:leftChars="0"/>
      </w:pPr>
      <w:r>
        <w:t>服务数据管理流程应简洁高效，满足服务优化和业务发展需求。</w:t>
      </w:r>
    </w:p>
    <w:p w14:paraId="6BD52D84">
      <w:pPr>
        <w:pStyle w:val="28"/>
        <w:bidi w:val="0"/>
      </w:pPr>
      <w:bookmarkStart w:id="4" w:name="_Toc17759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224472C">
      <w:pPr>
        <w:pStyle w:val="29"/>
        <w:bidi w:val="0"/>
      </w:pPr>
      <w:r>
        <w:t>适用于组织内所有与服务活动相关的数据，包括但不限于服务需求数据、响应数据、执行数据、结果数据、客户反馈数据、应急交付数据等，涵盖数据从产生、流转、使用到销毁的全生命周期，涉及所有参与服务数据管理的部门及人员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24113"/>
      <w:r>
        <w:rPr>
          <w:rFonts w:hint="eastAsia"/>
          <w:lang w:val="en-US" w:eastAsia="zh-CN"/>
        </w:rPr>
        <w:t>岗位职责</w:t>
      </w:r>
      <w:bookmarkEnd w:id="5"/>
    </w:p>
    <w:p w14:paraId="570B030A">
      <w:pPr>
        <w:pStyle w:val="30"/>
        <w:bidi w:val="0"/>
        <w:rPr>
          <w:rFonts w:hint="default"/>
          <w:lang w:val="en-US" w:eastAsia="zh-CN"/>
        </w:rPr>
      </w:pPr>
      <w:bookmarkStart w:id="6" w:name="_Toc23263"/>
      <w:r>
        <w:rPr>
          <w:rFonts w:hint="eastAsia"/>
          <w:lang w:val="en-US" w:eastAsia="zh-CN"/>
        </w:rPr>
        <w:t>运维部</w:t>
      </w:r>
      <w:bookmarkEnd w:id="6"/>
    </w:p>
    <w:p w14:paraId="5CF66D98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负责服务数据管理系统的建设、维护和技术支持，保障系统安全稳定运行，提供数据存储、处理、分析等技术服务。</w:t>
      </w:r>
    </w:p>
    <w:p w14:paraId="3FF0EFD1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负责制定和完善服务数据管理制度、流程和标准，组织开展数据治理工作，监督制度的执行情况</w:t>
      </w:r>
      <w:r>
        <w:rPr>
          <w:rFonts w:hint="eastAsia"/>
          <w:lang w:val="en-US" w:eastAsia="zh-CN"/>
        </w:rPr>
        <w:t>.</w:t>
      </w:r>
    </w:p>
    <w:p w14:paraId="2F4349AA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cs="宋体"/>
          <w:spacing w:val="-1"/>
          <w:szCs w:val="24"/>
          <w:lang w:val="en-US" w:eastAsia="zh-CN"/>
        </w:rPr>
      </w:pPr>
      <w:r>
        <w:t>负责本部门服务数据的采集、整理、上报和使用，确保数据质量。</w:t>
      </w:r>
    </w:p>
    <w:p w14:paraId="234D9A50">
      <w:pPr>
        <w:pStyle w:val="30"/>
        <w:bidi w:val="0"/>
        <w:rPr>
          <w:rFonts w:hint="default"/>
          <w:lang w:val="en-US" w:eastAsia="zh-CN"/>
        </w:rPr>
      </w:pPr>
      <w:bookmarkStart w:id="7" w:name="_Toc13399"/>
      <w:r>
        <w:rPr>
          <w:rFonts w:hint="eastAsia"/>
          <w:lang w:val="en-US" w:eastAsia="zh-CN"/>
        </w:rPr>
        <w:t>研发部</w:t>
      </w:r>
      <w:bookmarkEnd w:id="7"/>
    </w:p>
    <w:p w14:paraId="0547C518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t>负责本部门服务数据的采集、整理、上报和使用，确保数据质量。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8" w:name="bookmark3"/>
      <w:bookmarkEnd w:id="8"/>
      <w:bookmarkStart w:id="9" w:name="_Toc17424"/>
      <w:bookmarkStart w:id="10" w:name="_Toc2710"/>
      <w:r>
        <w:rPr>
          <w:rFonts w:hint="eastAsia"/>
          <w:lang w:val="en-US" w:eastAsia="zh-CN"/>
        </w:rPr>
        <w:t>服务数据管理</w:t>
      </w:r>
      <w:bookmarkEnd w:id="9"/>
      <w:bookmarkEnd w:id="10"/>
    </w:p>
    <w:p w14:paraId="0473E501">
      <w:pPr>
        <w:pStyle w:val="30"/>
        <w:bidi w:val="0"/>
      </w:pPr>
      <w:bookmarkStart w:id="11" w:name="_Toc11344"/>
      <w:r>
        <w:t>服务数据全生命周期管理</w:t>
      </w:r>
      <w:bookmarkEnd w:id="11"/>
    </w:p>
    <w:p w14:paraId="37170F47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服务数据生命周期主要包括：</w:t>
      </w:r>
    </w:p>
    <w:p w14:paraId="35077D87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 w14:paraId="347253FA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 w14:paraId="547B5CA6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数据处理与转换</w:t>
      </w:r>
    </w:p>
    <w:p w14:paraId="3ECBB7C7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数据使用与分享</w:t>
      </w:r>
    </w:p>
    <w:p w14:paraId="296F7BF6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数据销毁</w:t>
      </w:r>
    </w:p>
    <w:p w14:paraId="734333F6">
      <w:pPr>
        <w:pStyle w:val="31"/>
        <w:bidi w:val="0"/>
      </w:pPr>
      <w:bookmarkStart w:id="12" w:name="bookmark9"/>
      <w:bookmarkEnd w:id="12"/>
      <w:bookmarkStart w:id="13" w:name="_Toc13421"/>
      <w:r>
        <w:t>数据采集</w:t>
      </w:r>
      <w:bookmarkEnd w:id="13"/>
    </w:p>
    <w:p w14:paraId="3AB66696">
      <w:pPr>
        <w:numPr>
          <w:ilvl w:val="0"/>
          <w:numId w:val="6"/>
        </w:numPr>
        <w:spacing w:before="221" w:line="274" w:lineRule="auto"/>
        <w:ind w:left="313" w:hanging="27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采集范围</w:t>
      </w:r>
    </w:p>
    <w:p w14:paraId="3F60EF81">
      <w:pPr>
        <w:pStyle w:val="29"/>
        <w:bidi w:val="0"/>
      </w:pPr>
      <w:r>
        <w:t>包括服务需求信息（需求内容、紧急程度、客户信息等）、服务响应信息（响应时间、响应方式、响应人员等）、服务执行信息（执行步骤、资源消耗、进度情况等）、服务结果信息（交付成果、验收情况、服务成本等）、客户反馈信息（满意度评分、意见建议等）、应急交付信息（应急场景、处置措施、交付时效等）。</w:t>
      </w:r>
    </w:p>
    <w:p w14:paraId="1780C91A">
      <w:pPr>
        <w:numPr>
          <w:ilvl w:val="0"/>
          <w:numId w:val="6"/>
        </w:numPr>
        <w:spacing w:before="211" w:line="265" w:lineRule="auto"/>
        <w:ind w:left="313" w:leftChars="0" w:right="181" w:hanging="274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采集标准</w:t>
      </w:r>
    </w:p>
    <w:p w14:paraId="3755F2CE">
      <w:pPr>
        <w:pStyle w:val="29"/>
        <w:bidi w:val="0"/>
      </w:pPr>
      <w:r>
        <w:t>明确各类服务数据的采集字段、数据格式、计量单位等，确保数据的一致性和可比性。例如，服务响应时间精确到分钟，满意度评分采用百分制。</w:t>
      </w:r>
    </w:p>
    <w:p w14:paraId="481AA64E">
      <w:pPr>
        <w:numPr>
          <w:ilvl w:val="0"/>
          <w:numId w:val="4"/>
        </w:numPr>
        <w:spacing w:before="207" w:line="271" w:lineRule="auto"/>
        <w:ind w:left="425" w:leftChars="0" w:right="85" w:hanging="425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采集方式</w:t>
      </w:r>
    </w:p>
    <w:p w14:paraId="7676B432">
      <w:pPr>
        <w:pStyle w:val="29"/>
        <w:bidi w:val="0"/>
      </w:pPr>
      <w:r>
        <w:t>结合自动化采集和人工采集两种方式。对于可通过系统自动获取的数据（如服务系统中的响应时间、执行进度等），由 运维部配置自动采集规则；对于需人工录入的数据（如客户口头反馈、现场服务情况等），由业务人员通过指定系统或表单及时、准确录入。</w:t>
      </w:r>
    </w:p>
    <w:p w14:paraId="5397BC78">
      <w:pPr>
        <w:numPr>
          <w:ilvl w:val="0"/>
          <w:numId w:val="4"/>
        </w:numPr>
        <w:spacing w:before="210" w:line="253" w:lineRule="auto"/>
        <w:ind w:left="425" w:leftChars="0" w:right="181" w:hanging="425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采集责任</w:t>
      </w:r>
    </w:p>
    <w:p w14:paraId="4D9AD015">
      <w:pPr>
        <w:pStyle w:val="29"/>
        <w:bidi w:val="0"/>
      </w:pPr>
      <w:r>
        <w:t>业务人员为数据采集的直接责任人，确保在数据产生后24小时内完成采集录入工作，</w:t>
      </w:r>
      <w:r>
        <w:rPr>
          <w:rFonts w:hint="eastAsia"/>
          <w:lang w:eastAsia="zh-CN"/>
        </w:rPr>
        <w:t>运维部</w:t>
      </w:r>
      <w:r>
        <w:t>定期检查采集完成情况。</w:t>
      </w:r>
    </w:p>
    <w:p w14:paraId="32DDC329">
      <w:pPr>
        <w:pStyle w:val="31"/>
        <w:bidi w:val="0"/>
      </w:pPr>
      <w:bookmarkStart w:id="14" w:name="_Toc1060"/>
      <w:r>
        <w:t>数据存储</w:t>
      </w:r>
      <w:bookmarkEnd w:id="14"/>
    </w:p>
    <w:p w14:paraId="243114DB">
      <w:pPr>
        <w:numPr>
          <w:ilvl w:val="0"/>
          <w:numId w:val="7"/>
        </w:numPr>
        <w:spacing w:before="215" w:line="265" w:lineRule="auto"/>
        <w:ind w:left="312" w:right="181" w:hanging="273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存储要求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0E30EED2">
      <w:pPr>
        <w:pStyle w:val="29"/>
        <w:bidi w:val="0"/>
      </w:pPr>
      <w:r>
        <w:t>采用安全可靠的存储介质和系统，满足数据存储容量、性能和可靠性需求。根据数据重要程度和访问频率，合理规划存储架构，对重要数据实行多副本存</w:t>
      </w:r>
      <w:r>
        <w:rPr>
          <w:rFonts w:hint="eastAsia"/>
          <w:lang w:eastAsia="zh-CN"/>
        </w:rPr>
        <w:t>、</w:t>
      </w:r>
      <w:r>
        <w:t>储和异地备份。</w:t>
      </w:r>
    </w:p>
    <w:p w14:paraId="39B8CD96">
      <w:pPr>
        <w:numPr>
          <w:ilvl w:val="0"/>
          <w:numId w:val="7"/>
        </w:numPr>
        <w:spacing w:before="210" w:line="253" w:lineRule="auto"/>
        <w:ind w:left="312" w:leftChars="0" w:right="181" w:hanging="273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存储分类</w:t>
      </w:r>
    </w:p>
    <w:p w14:paraId="199B58CD">
      <w:pPr>
        <w:pStyle w:val="29"/>
        <w:bidi w:val="0"/>
      </w:pPr>
      <w:r>
        <w:t>按照数据类型和敏感程度进行分类存储。敏感数据（如客户隐私信息、核心业务数据）需进行加密存储，普通数据可采用常规存储方式。</w:t>
      </w:r>
    </w:p>
    <w:p w14:paraId="4F3024A8">
      <w:pPr>
        <w:numPr>
          <w:ilvl w:val="0"/>
          <w:numId w:val="4"/>
        </w:numPr>
        <w:spacing w:before="209" w:line="271" w:lineRule="auto"/>
        <w:ind w:left="425" w:leftChars="0" w:hanging="425" w:firstLineChars="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存储期限</w:t>
      </w:r>
    </w:p>
    <w:p w14:paraId="70D0F450">
      <w:pPr>
        <w:pStyle w:val="29"/>
        <w:bidi w:val="0"/>
      </w:pPr>
      <w:r>
        <w:t>根据数据的价值和相关规定，确定不同类型服务数据的存储期限。服务需求、结果等关键数据长期存储；应急交付数据存储至应急事件处理完毕后 5 年；其他一般性数据存储 3-5年，超过存储期限的数据按规定进行归档或销毁。</w:t>
      </w:r>
    </w:p>
    <w:p w14:paraId="3F2B63CA">
      <w:pPr>
        <w:numPr>
          <w:ilvl w:val="0"/>
          <w:numId w:val="7"/>
        </w:numPr>
        <w:spacing w:before="210" w:line="265" w:lineRule="auto"/>
        <w:ind w:left="312" w:leftChars="0" w:right="181" w:hanging="273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数据备份</w:t>
      </w:r>
    </w:p>
    <w:p w14:paraId="00344250">
      <w:pPr>
        <w:pStyle w:val="29"/>
        <w:bidi w:val="0"/>
      </w:pPr>
      <w:r>
        <w:t>运维部负责制定数据备份计划，定期对服务数据进行备份，备份频率至少为每日一次。备份数据需进行加密处理，并存储在安全的地点，定期进行备份恢复测试，确保备份数据的可用性。</w:t>
      </w:r>
    </w:p>
    <w:p w14:paraId="39158988">
      <w:pPr>
        <w:pStyle w:val="31"/>
        <w:bidi w:val="0"/>
      </w:pPr>
      <w:bookmarkStart w:id="15" w:name="bookmark11"/>
      <w:bookmarkEnd w:id="15"/>
      <w:bookmarkStart w:id="16" w:name="_Toc3333"/>
      <w:r>
        <w:t>数据处理与转换</w:t>
      </w:r>
      <w:bookmarkEnd w:id="16"/>
    </w:p>
    <w:p w14:paraId="44EAD61C">
      <w:pPr>
        <w:numPr>
          <w:ilvl w:val="0"/>
          <w:numId w:val="8"/>
        </w:numPr>
        <w:spacing w:before="228" w:line="283" w:lineRule="auto"/>
        <w:ind w:left="425" w:leftChars="0" w:right="7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数据清洗</w:t>
      </w:r>
    </w:p>
    <w:p w14:paraId="348581C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定期对服务数据进行清洗，去除重复数据、纠正错误数据、补充缺失数据，确保数据的准确性和完整性。对于清洗过程中发现的问题，及时反馈给相关业务部门进行整改。</w:t>
      </w:r>
    </w:p>
    <w:p w14:paraId="38553B93">
      <w:pPr>
        <w:numPr>
          <w:ilvl w:val="0"/>
          <w:numId w:val="8"/>
        </w:numPr>
        <w:spacing w:before="233" w:line="266" w:lineRule="auto"/>
        <w:ind w:left="425" w:leftChars="0" w:right="24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数据转换</w:t>
      </w:r>
    </w:p>
    <w:p w14:paraId="4A0CCC9D">
      <w:pPr>
        <w:pStyle w:val="29"/>
        <w:bidi w:val="0"/>
      </w:pPr>
      <w:r>
        <w:t>根据数据分析和应用需求，对服务数据进行格式转换、汇总计算等处理，形成符合要求的数据形式。例如，将分散的客户反馈数据汇总成月度满意度报告。</w:t>
      </w:r>
    </w:p>
    <w:p w14:paraId="61F16A85">
      <w:pPr>
        <w:numPr>
          <w:ilvl w:val="0"/>
          <w:numId w:val="7"/>
        </w:numPr>
        <w:spacing w:before="72" w:line="267" w:lineRule="auto"/>
        <w:ind w:left="312" w:leftChars="0" w:right="178" w:hanging="273" w:firstLineChars="0"/>
        <w:rPr>
          <w:rFonts w:ascii="宋体" w:hAnsi="宋体" w:eastAsia="宋体" w:cs="宋体"/>
          <w:spacing w:val="-1"/>
          <w:sz w:val="22"/>
          <w:szCs w:val="22"/>
        </w:rPr>
      </w:pPr>
    </w:p>
    <w:p w14:paraId="422B7AB6">
      <w:pPr>
        <w:numPr>
          <w:ilvl w:val="0"/>
          <w:numId w:val="8"/>
        </w:numPr>
        <w:spacing w:before="72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数据整合</w:t>
      </w:r>
    </w:p>
    <w:p w14:paraId="19F689F3">
      <w:pPr>
        <w:pStyle w:val="29"/>
        <w:bidi w:val="0"/>
      </w:pPr>
      <w:r>
        <w:t>整合不同来源、不同格式的服务数据，消除数据孤岛，形成统一的服务数据视图，为数据分析和应用提供支持。</w:t>
      </w:r>
    </w:p>
    <w:p w14:paraId="43606BDC">
      <w:pPr>
        <w:pStyle w:val="31"/>
        <w:bidi w:val="0"/>
      </w:pPr>
      <w:bookmarkStart w:id="17" w:name="bookmark12"/>
      <w:bookmarkEnd w:id="17"/>
      <w:bookmarkStart w:id="18" w:name="_Toc14786"/>
      <w:r>
        <w:t>数据使用与共享</w:t>
      </w:r>
      <w:bookmarkEnd w:id="18"/>
    </w:p>
    <w:p w14:paraId="6C585B49">
      <w:pPr>
        <w:numPr>
          <w:ilvl w:val="0"/>
          <w:numId w:val="9"/>
        </w:numPr>
        <w:spacing w:before="224" w:line="291" w:lineRule="auto"/>
        <w:ind w:left="425" w:leftChars="0" w:right="176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数据使用权限</w:t>
      </w:r>
    </w:p>
    <w:p w14:paraId="322793E1">
      <w:pPr>
        <w:pStyle w:val="29"/>
        <w:bidi w:val="0"/>
      </w:pPr>
      <w:r>
        <w:t>基于 “最小权限”原则，为不同部门和人员分配相应的数据使用权限。业务部门可使用本部门相关的服务数据；管理部门可使用全局服务数据进行分析和决策；外部机构如需使用服务数据，需经数据治理委员会审批，并签订数据使用协议。</w:t>
      </w:r>
    </w:p>
    <w:p w14:paraId="165B5F26">
      <w:pPr>
        <w:numPr>
          <w:ilvl w:val="0"/>
          <w:numId w:val="9"/>
        </w:numPr>
        <w:spacing w:before="230" w:line="284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数据使用规范</w:t>
      </w:r>
    </w:p>
    <w:p w14:paraId="067556A5">
      <w:pPr>
        <w:pStyle w:val="29"/>
        <w:bidi w:val="0"/>
      </w:pPr>
      <w:r>
        <w:t>使用服务数据时，应遵守相关法律法规和组织规定，不得用于未经授权的用途。严禁泄露、篡改、出售服务数据，对敏感数据的使用需进行严格审批和记录。</w:t>
      </w:r>
    </w:p>
    <w:p w14:paraId="7C903DC6">
      <w:pPr>
        <w:numPr>
          <w:ilvl w:val="0"/>
          <w:numId w:val="9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数据共享机制</w:t>
      </w:r>
    </w:p>
    <w:p w14:paraId="7AC14342">
      <w:pPr>
        <w:pStyle w:val="29"/>
        <w:bidi w:val="0"/>
      </w:pPr>
      <w:r>
        <w:t>建立数据共享平台，实现各部门之间服务数据的有序共享。数据共享需通过数据共享平台进行，共享过程中需对数据进行脱敏处理，保护敏感信息。</w:t>
      </w:r>
    </w:p>
    <w:p w14:paraId="64C9992A">
      <w:pPr>
        <w:pStyle w:val="29"/>
        <w:bidi w:val="0"/>
      </w:pPr>
      <w:r>
        <w:t>数据提供部门负责确保共享数据的质量，数据使用部门对共享数据的合理使用负责。</w:t>
      </w:r>
    </w:p>
    <w:p w14:paraId="00AB3432">
      <w:pPr>
        <w:pStyle w:val="31"/>
        <w:bidi w:val="0"/>
      </w:pPr>
      <w:bookmarkStart w:id="19" w:name="_Toc3865"/>
      <w:r>
        <w:t>数据销毁</w:t>
      </w:r>
      <w:bookmarkEnd w:id="19"/>
    </w:p>
    <w:p w14:paraId="738FEB44">
      <w:pPr>
        <w:numPr>
          <w:ilvl w:val="0"/>
          <w:numId w:val="10"/>
        </w:numPr>
        <w:spacing w:before="226" w:line="267" w:lineRule="auto"/>
        <w:ind w:left="425" w:leftChars="0" w:right="203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销毁条件</w:t>
      </w:r>
      <w:r>
        <w:rPr>
          <w:rFonts w:ascii="宋体" w:hAnsi="宋体" w:eastAsia="宋体" w:cs="宋体"/>
          <w:spacing w:val="-2"/>
          <w:sz w:val="22"/>
          <w:szCs w:val="22"/>
        </w:rPr>
        <w:t>：</w:t>
      </w:r>
    </w:p>
    <w:p w14:paraId="42240248">
      <w:pPr>
        <w:pStyle w:val="29"/>
        <w:bidi w:val="0"/>
      </w:pPr>
      <w:r>
        <w:t>超过存储期限且无保留价值的数据、经批准需要销毁的过期备份数据、以及因业务调整等原因不再需要的数据，可进行销毁。</w:t>
      </w:r>
    </w:p>
    <w:p w14:paraId="152F968B">
      <w:pPr>
        <w:numPr>
          <w:ilvl w:val="0"/>
          <w:numId w:val="10"/>
        </w:numPr>
        <w:spacing w:before="231" w:line="283" w:lineRule="auto"/>
        <w:ind w:left="425" w:leftChars="0" w:right="77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销毁流程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35F73EE3">
      <w:pPr>
        <w:pStyle w:val="29"/>
        <w:bidi w:val="0"/>
      </w:pPr>
      <w:r>
        <w:t>由数据使用部门提出数据销毁申请，说明销毁数据的类型、数量、原因和销毁方式，经</w:t>
      </w:r>
      <w:r>
        <w:rPr>
          <w:rFonts w:hint="eastAsia"/>
          <w:lang w:eastAsia="zh-CN"/>
        </w:rPr>
        <w:t>运维部</w:t>
      </w:r>
      <w:r>
        <w:rPr>
          <w:rFonts w:hint="eastAsia"/>
          <w:lang w:val="en-US" w:eastAsia="zh-CN"/>
        </w:rPr>
        <w:t>经理</w:t>
      </w:r>
      <w:r>
        <w:t>审核，报</w:t>
      </w:r>
      <w:r>
        <w:rPr>
          <w:rFonts w:hint="eastAsia"/>
          <w:lang w:val="en-US" w:eastAsia="zh-CN"/>
        </w:rPr>
        <w:t>总经理</w:t>
      </w:r>
      <w:r>
        <w:t>批准后，由运维部按照规定的销毁方式进行销毁。</w:t>
      </w:r>
    </w:p>
    <w:p w14:paraId="71223855">
      <w:pPr>
        <w:numPr>
          <w:ilvl w:val="0"/>
          <w:numId w:val="10"/>
        </w:numPr>
        <w:spacing w:before="231" w:line="283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销毁方式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F499DFD">
      <w:pPr>
        <w:pStyle w:val="29"/>
        <w:bidi w:val="0"/>
      </w:pPr>
      <w:r>
        <w:t>根据数据存储介质的不同，采用相应的销毁方式。电子数据可采用数据覆盖、物理销毁存储介质等方式；纸质数据采用粉碎等方式。</w:t>
      </w:r>
    </w:p>
    <w:p w14:paraId="71B0E8B1">
      <w:pPr>
        <w:pStyle w:val="30"/>
        <w:bidi w:val="0"/>
      </w:pPr>
      <w:bookmarkStart w:id="20" w:name="_Toc10076"/>
      <w:r>
        <w:t>数据安全与合规</w:t>
      </w:r>
      <w:bookmarkEnd w:id="20"/>
    </w:p>
    <w:p w14:paraId="6636FB14">
      <w:pPr>
        <w:pStyle w:val="31"/>
        <w:bidi w:val="0"/>
      </w:pPr>
      <w:bookmarkStart w:id="21" w:name="bookmark15"/>
      <w:bookmarkEnd w:id="21"/>
      <w:bookmarkStart w:id="22" w:name="_Toc21745"/>
      <w:r>
        <w:t>安全防护</w:t>
      </w:r>
      <w:bookmarkEnd w:id="22"/>
    </w:p>
    <w:p w14:paraId="52922C99">
      <w:pPr>
        <w:numPr>
          <w:ilvl w:val="0"/>
          <w:numId w:val="11"/>
        </w:numPr>
        <w:spacing w:before="226" w:line="283" w:lineRule="auto"/>
        <w:ind w:left="425" w:leftChars="0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访问控制</w:t>
      </w:r>
    </w:p>
    <w:p w14:paraId="1AF942D8">
      <w:pPr>
        <w:pStyle w:val="29"/>
        <w:bidi w:val="0"/>
      </w:pPr>
      <w:r>
        <w:t>建立严格的访问控制机制，对服务数据的访问进行身份认证和权限管理。采用多因素认证方式（如密码 + 动态令牌），限制未授权人员访问数据。定期对访问权限进行审查和调整，确保权限与职责相符。</w:t>
      </w:r>
    </w:p>
    <w:p w14:paraId="250ABE4E">
      <w:pPr>
        <w:numPr>
          <w:ilvl w:val="0"/>
          <w:numId w:val="11"/>
        </w:numPr>
        <w:spacing w:before="233" w:line="267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数据加密</w:t>
      </w:r>
    </w:p>
    <w:p w14:paraId="047526D1">
      <w:pPr>
        <w:pStyle w:val="29"/>
        <w:bidi w:val="0"/>
      </w:pPr>
      <w:r>
        <w:t>对敏感服务数据在传输和存储过程中进行加密处理，采用国家认可的加密算法（如AES-256），防止数据泄露。</w:t>
      </w:r>
    </w:p>
    <w:p w14:paraId="711C345B">
      <w:pPr>
        <w:numPr>
          <w:ilvl w:val="0"/>
          <w:numId w:val="11"/>
        </w:numPr>
        <w:spacing w:before="231" w:line="268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安全审计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E958BBF">
      <w:pPr>
        <w:pStyle w:val="29"/>
        <w:bidi w:val="0"/>
      </w:pPr>
      <w:r>
        <w:rPr>
          <w:rFonts w:hint="eastAsia"/>
          <w:lang w:eastAsia="zh-CN"/>
        </w:rPr>
        <w:t>运维部经理</w:t>
      </w:r>
      <w:r>
        <w:t>负责对服务数据的访问、操作等行为进行安全审计，记录审计日志，定期分析审计结果，及时发现和处理安全隐患。</w:t>
      </w:r>
    </w:p>
    <w:p w14:paraId="7051D90F">
      <w:pPr>
        <w:numPr>
          <w:ilvl w:val="0"/>
          <w:numId w:val="11"/>
        </w:numPr>
        <w:spacing w:before="232" w:line="282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应急响应</w:t>
      </w:r>
    </w:p>
    <w:p w14:paraId="786D5B98">
      <w:pPr>
        <w:pStyle w:val="29"/>
        <w:bidi w:val="0"/>
      </w:pPr>
      <w:r>
        <w:t>制定数据安全应急响应预案，明确应急处理流程和责任分工。在发生数据泄露、篡改等安全事件时，及时启动应急预案，采取措施防止事态扩大，并按照规定向相关部门报告。</w:t>
      </w:r>
    </w:p>
    <w:p w14:paraId="2470B77A">
      <w:pPr>
        <w:pStyle w:val="31"/>
        <w:bidi w:val="0"/>
      </w:pPr>
      <w:bookmarkStart w:id="23" w:name="bookmark16"/>
      <w:bookmarkEnd w:id="23"/>
      <w:bookmarkStart w:id="24" w:name="_Toc27528"/>
      <w:r>
        <w:t>合规管理</w:t>
      </w:r>
      <w:bookmarkEnd w:id="24"/>
    </w:p>
    <w:p w14:paraId="325F8EE4">
      <w:pPr>
        <w:numPr>
          <w:ilvl w:val="0"/>
          <w:numId w:val="12"/>
        </w:numPr>
        <w:spacing w:before="226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法律法规遵循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4D2E5AE">
      <w:pPr>
        <w:pStyle w:val="29"/>
        <w:bidi w:val="0"/>
      </w:pPr>
      <w:r>
        <w:t>严格遵守《中华人民共和国数据安全法》《中华人民共和国个人信息保护法》等相关法律法规，确保服务数据管理活动合法合规。</w:t>
      </w:r>
    </w:p>
    <w:p w14:paraId="367C0A67">
      <w:pPr>
        <w:numPr>
          <w:ilvl w:val="0"/>
          <w:numId w:val="12"/>
        </w:numPr>
        <w:spacing w:before="231" w:line="268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行业标准执行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55290516">
      <w:pPr>
        <w:pStyle w:val="29"/>
        <w:bidi w:val="0"/>
      </w:pPr>
      <w:r>
        <w:t>遵循行业内相关数据管理标准和规范，结合组织实际情况，制定具体的实施细则。</w:t>
      </w:r>
    </w:p>
    <w:p w14:paraId="0694AD60">
      <w:pPr>
        <w:numPr>
          <w:ilvl w:val="0"/>
          <w:numId w:val="12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隐私保护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161B0332">
      <w:pPr>
        <w:pStyle w:val="29"/>
        <w:bidi w:val="0"/>
        <w:rPr>
          <w:rFonts w:hint="eastAsia"/>
          <w:lang w:eastAsia="zh-CN"/>
        </w:rPr>
      </w:pPr>
      <w:r>
        <w:t>加强对客户隐私信息的保护，在数据采集、使用、共享等环节，明确隐私保护要求，获得客户授权，不得非法收集、使用客户隐私信息</w:t>
      </w:r>
      <w:r>
        <w:rPr>
          <w:rFonts w:hint="eastAsia"/>
          <w:lang w:eastAsia="zh-CN"/>
        </w:rPr>
        <w:t>。</w:t>
      </w:r>
    </w:p>
    <w:p w14:paraId="5D1FA30E">
      <w:pPr>
        <w:pStyle w:val="30"/>
        <w:bidi w:val="0"/>
      </w:pPr>
      <w:bookmarkStart w:id="25" w:name="_Toc624"/>
      <w:r>
        <w:t>数据质量控制</w:t>
      </w:r>
      <w:bookmarkEnd w:id="25"/>
    </w:p>
    <w:p w14:paraId="77370BD3">
      <w:pPr>
        <w:pStyle w:val="31"/>
        <w:bidi w:val="0"/>
      </w:pPr>
      <w:bookmarkStart w:id="26" w:name="bookmark18"/>
      <w:bookmarkEnd w:id="26"/>
      <w:bookmarkStart w:id="27" w:name="_Toc17314"/>
      <w:r>
        <w:t>质量指标</w:t>
      </w:r>
      <w:bookmarkEnd w:id="27"/>
    </w:p>
    <w:p w14:paraId="73521BA5">
      <w:pPr>
        <w:numPr>
          <w:ilvl w:val="0"/>
          <w:numId w:val="13"/>
        </w:numPr>
        <w:spacing w:before="224" w:line="220" w:lineRule="auto"/>
        <w:ind w:left="39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准确性</w:t>
      </w:r>
    </w:p>
    <w:p w14:paraId="0E2735C7">
      <w:pPr>
        <w:pStyle w:val="29"/>
        <w:bidi w:val="0"/>
      </w:pPr>
      <w:r>
        <w:t>服务数据与实际情况的符合程度，错误数据占比不超过 1%。</w:t>
      </w:r>
    </w:p>
    <w:p w14:paraId="6638CA64">
      <w:pPr>
        <w:numPr>
          <w:ilvl w:val="0"/>
          <w:numId w:val="13"/>
        </w:numPr>
        <w:spacing w:before="232" w:line="219" w:lineRule="auto"/>
        <w:ind w:left="39" w:leftChars="0" w:firstLine="0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完整性</w:t>
      </w:r>
    </w:p>
    <w:p w14:paraId="18D28ABF">
      <w:pPr>
        <w:pStyle w:val="29"/>
        <w:bidi w:val="0"/>
      </w:pPr>
      <w:r>
        <w:t>数据采集的完整程度，关键数据字段缺失率不超过 2%。</w:t>
      </w:r>
    </w:p>
    <w:p w14:paraId="179056BA">
      <w:pPr>
        <w:numPr>
          <w:ilvl w:val="0"/>
          <w:numId w:val="12"/>
        </w:numPr>
        <w:spacing w:before="233" w:line="220" w:lineRule="auto"/>
        <w:ind w:left="425" w:lef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一致性</w:t>
      </w:r>
    </w:p>
    <w:p w14:paraId="3F6F991D">
      <w:pPr>
        <w:pStyle w:val="29"/>
        <w:bidi w:val="0"/>
      </w:pPr>
      <w:r>
        <w:t>同一数据在不同系统和场景中的一致性，数据不一致率不超过 1%。</w:t>
      </w:r>
    </w:p>
    <w:p w14:paraId="2638601F">
      <w:pPr>
        <w:numPr>
          <w:ilvl w:val="0"/>
          <w:numId w:val="13"/>
        </w:numPr>
        <w:spacing w:before="233" w:line="219" w:lineRule="auto"/>
        <w:ind w:left="39" w:leftChars="0" w:firstLine="0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及时性</w:t>
      </w:r>
    </w:p>
    <w:p w14:paraId="49E59318">
      <w:pPr>
        <w:pStyle w:val="29"/>
        <w:bidi w:val="0"/>
      </w:pPr>
      <w:r>
        <w:t>数据采集和更新的及时程度，数据延迟采集率不超过 5%。</w:t>
      </w:r>
    </w:p>
    <w:p w14:paraId="1476616B">
      <w:pPr>
        <w:pStyle w:val="31"/>
        <w:bidi w:val="0"/>
      </w:pPr>
      <w:bookmarkStart w:id="28" w:name="bookmark19"/>
      <w:bookmarkEnd w:id="28"/>
      <w:bookmarkStart w:id="29" w:name="_Toc27775"/>
      <w:r>
        <w:t>质量监控</w:t>
      </w:r>
      <w:bookmarkEnd w:id="29"/>
    </w:p>
    <w:p w14:paraId="5DEA5CBE">
      <w:pPr>
        <w:numPr>
          <w:ilvl w:val="0"/>
          <w:numId w:val="14"/>
        </w:numPr>
        <w:spacing w:before="227" w:line="267" w:lineRule="auto"/>
        <w:ind w:left="309" w:right="171" w:hanging="27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日常监控</w:t>
      </w:r>
    </w:p>
    <w:p w14:paraId="7C5C1990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通过数据管理系统对服务数据质量进行实时监控，设置数据质量预警阈值，当数据质量指标超出阈值时，及时发出预警信息。</w:t>
      </w:r>
    </w:p>
    <w:p w14:paraId="5133AF03">
      <w:pPr>
        <w:numPr>
          <w:ilvl w:val="0"/>
          <w:numId w:val="14"/>
        </w:numPr>
        <w:spacing w:before="233" w:line="266" w:lineRule="auto"/>
        <w:ind w:left="309" w:leftChars="0" w:hanging="270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定期检查</w:t>
      </w:r>
    </w:p>
    <w:p w14:paraId="24906C7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每月组织一次服务数据质量检查，对数据准确性、完整性、一致性等进行全面检查，形成质量检查报告。</w:t>
      </w:r>
    </w:p>
    <w:p w14:paraId="46942371">
      <w:pPr>
        <w:pStyle w:val="31"/>
        <w:bidi w:val="0"/>
      </w:pPr>
      <w:bookmarkStart w:id="30" w:name="bookmark20"/>
      <w:bookmarkEnd w:id="30"/>
      <w:bookmarkStart w:id="31" w:name="_Toc29184"/>
      <w:r>
        <w:t>质量改进</w:t>
      </w:r>
      <w:bookmarkEnd w:id="31"/>
    </w:p>
    <w:p w14:paraId="143275B7">
      <w:pPr>
        <w:numPr>
          <w:ilvl w:val="0"/>
          <w:numId w:val="15"/>
        </w:numPr>
        <w:spacing w:before="226" w:line="267" w:lineRule="auto"/>
        <w:ind w:left="309" w:right="171" w:hanging="27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问题整改</w:t>
      </w:r>
    </w:p>
    <w:p w14:paraId="22DE221B">
      <w:pPr>
        <w:pStyle w:val="29"/>
        <w:bidi w:val="0"/>
      </w:pPr>
      <w:r>
        <w:t>对监控和检查中发现的数据质量问题，</w:t>
      </w:r>
      <w:r>
        <w:rPr>
          <w:rFonts w:hint="eastAsia"/>
          <w:lang w:eastAsia="zh-CN"/>
        </w:rPr>
        <w:t>运维部</w:t>
      </w:r>
      <w:r>
        <w:t>向相关业务部门下达整改通知，明确整改要求和期限，跟踪整改情况，确保问题及时解决。</w:t>
      </w:r>
    </w:p>
    <w:p w14:paraId="41319E07">
      <w:pPr>
        <w:numPr>
          <w:ilvl w:val="0"/>
          <w:numId w:val="15"/>
        </w:numPr>
        <w:spacing w:before="232" w:line="267" w:lineRule="auto"/>
        <w:ind w:left="309" w:leftChars="0" w:right="17" w:hanging="270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流程优化</w:t>
      </w:r>
    </w:p>
    <w:p w14:paraId="5B8CE811">
      <w:pPr>
        <w:pStyle w:val="29"/>
        <w:bidi w:val="0"/>
      </w:pPr>
      <w:r>
        <w:t>分析数据质量问题产生的原因，针对数据采集、处理等环节存在的漏洞，优化相关流程和制度，从源头上提高数据质量。</w:t>
      </w:r>
    </w:p>
    <w:p w14:paraId="71358A62">
      <w:pPr>
        <w:pStyle w:val="30"/>
        <w:bidi w:val="0"/>
      </w:pPr>
      <w:bookmarkStart w:id="32" w:name="bookmark21"/>
      <w:bookmarkEnd w:id="32"/>
      <w:bookmarkStart w:id="33" w:name="_Toc20707"/>
      <w:r>
        <w:t>数据共享与应用</w:t>
      </w:r>
      <w:bookmarkEnd w:id="33"/>
    </w:p>
    <w:p w14:paraId="6F7CB079">
      <w:pPr>
        <w:pStyle w:val="31"/>
        <w:bidi w:val="0"/>
      </w:pPr>
      <w:bookmarkStart w:id="34" w:name="bookmark22"/>
      <w:bookmarkEnd w:id="34"/>
      <w:bookmarkStart w:id="35" w:name="_Toc22259"/>
      <w:r>
        <w:t>数据共享</w:t>
      </w:r>
      <w:bookmarkEnd w:id="35"/>
    </w:p>
    <w:p w14:paraId="32C9DFF4">
      <w:pPr>
        <w:numPr>
          <w:ilvl w:val="0"/>
          <w:numId w:val="16"/>
        </w:numPr>
        <w:spacing w:before="228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共享范围</w:t>
      </w:r>
    </w:p>
    <w:p w14:paraId="0BA85097">
      <w:pPr>
        <w:pStyle w:val="29"/>
        <w:bidi w:val="0"/>
      </w:pPr>
      <w:r>
        <w:t>在组织内部，根据业务需求和权限设置，实现服务数据在各部门之间的合理共享，提高数据利用效率。</w:t>
      </w:r>
    </w:p>
    <w:p w14:paraId="682ADE53">
      <w:pPr>
        <w:numPr>
          <w:ilvl w:val="0"/>
          <w:numId w:val="16"/>
        </w:numPr>
        <w:spacing w:before="232" w:line="220" w:lineRule="auto"/>
        <w:ind w:left="425" w:lef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共享流程</w:t>
      </w:r>
    </w:p>
    <w:p w14:paraId="386FA44F">
      <w:pPr>
        <w:pStyle w:val="29"/>
        <w:bidi w:val="0"/>
      </w:pPr>
      <w:r>
        <w:t>部门之间需要共享服务数据时，由需求部门向</w:t>
      </w:r>
      <w:r>
        <w:rPr>
          <w:rFonts w:hint="eastAsia"/>
          <w:lang w:eastAsia="zh-CN"/>
        </w:rPr>
        <w:t>运维部</w:t>
      </w:r>
      <w:r>
        <w:t>提出申请，</w:t>
      </w:r>
      <w:r>
        <w:rPr>
          <w:rFonts w:hint="eastAsia"/>
          <w:lang w:eastAsia="zh-CN"/>
        </w:rPr>
        <w:t>运维部</w:t>
      </w:r>
      <w:r>
        <w:t>审核后，协调数据提供部门提供数据，并对共享数据进行脱敏处理。</w:t>
      </w:r>
    </w:p>
    <w:p w14:paraId="5C4347F1">
      <w:pPr>
        <w:pStyle w:val="31"/>
        <w:bidi w:val="0"/>
      </w:pPr>
      <w:bookmarkStart w:id="36" w:name="bookmark23"/>
      <w:bookmarkEnd w:id="36"/>
      <w:bookmarkStart w:id="37" w:name="_Toc18888"/>
      <w:r>
        <w:t>数据应用</w:t>
      </w:r>
      <w:bookmarkEnd w:id="37"/>
    </w:p>
    <w:p w14:paraId="278778E8">
      <w:pPr>
        <w:numPr>
          <w:ilvl w:val="0"/>
          <w:numId w:val="17"/>
        </w:numPr>
        <w:spacing w:before="227" w:line="316" w:lineRule="auto"/>
        <w:ind w:left="425" w:leftChars="0" w:hanging="425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服务优化</w:t>
      </w:r>
    </w:p>
    <w:p w14:paraId="4DD01F13">
      <w:pPr>
        <w:pStyle w:val="29"/>
        <w:bidi w:val="0"/>
      </w:pPr>
      <w:r>
        <w:t>利用服务数据进行分析，识别服务过程中的薄弱环节，为服务流程改进、服务质量提升提供依据。例如，通过分析服务响应时间数据，优化响应流程，缩短响应时间。</w:t>
      </w:r>
    </w:p>
    <w:p w14:paraId="3FDC1098">
      <w:pPr>
        <w:numPr>
          <w:ilvl w:val="0"/>
          <w:numId w:val="17"/>
        </w:numPr>
        <w:spacing w:before="76" w:line="267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决策支持</w:t>
      </w:r>
    </w:p>
    <w:p w14:paraId="508C9D3E">
      <w:pPr>
        <w:pStyle w:val="29"/>
        <w:bidi w:val="0"/>
      </w:pPr>
      <w:r>
        <w:t>基于服务数据统计分析结果，为服务规划、资源配置、应急交付等决策提供数据支持，提高决策的科学性和准确性。</w:t>
      </w:r>
    </w:p>
    <w:p w14:paraId="3974C5D7">
      <w:pPr>
        <w:numPr>
          <w:ilvl w:val="0"/>
          <w:numId w:val="17"/>
        </w:numPr>
        <w:spacing w:before="233" w:line="267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客户服务</w:t>
      </w:r>
    </w:p>
    <w:p w14:paraId="3E40FFCD">
      <w:pPr>
        <w:pStyle w:val="29"/>
        <w:bidi w:val="0"/>
      </w:pPr>
      <w:r>
        <w:t>利用客户反馈数据，了解客户需求和期望，改进客户服务方式，提升客户满意度。</w:t>
      </w:r>
    </w:p>
    <w:p w14:paraId="39669BFA">
      <w:pPr>
        <w:pStyle w:val="30"/>
        <w:bidi w:val="0"/>
      </w:pPr>
      <w:bookmarkStart w:id="38" w:name="bookmark35"/>
      <w:bookmarkEnd w:id="38"/>
      <w:bookmarkStart w:id="39" w:name="bookmark24"/>
      <w:bookmarkEnd w:id="39"/>
      <w:bookmarkStart w:id="40" w:name="_Toc23214"/>
      <w:r>
        <w:t>监督与审计</w:t>
      </w:r>
      <w:bookmarkEnd w:id="40"/>
    </w:p>
    <w:p w14:paraId="23B6AD19">
      <w:pPr>
        <w:pStyle w:val="31"/>
        <w:bidi w:val="0"/>
      </w:pPr>
      <w:bookmarkStart w:id="41" w:name="bookmark25"/>
      <w:bookmarkEnd w:id="41"/>
      <w:bookmarkStart w:id="42" w:name="_Toc17019"/>
      <w:r>
        <w:t>内部监督</w:t>
      </w:r>
      <w:bookmarkEnd w:id="42"/>
    </w:p>
    <w:p w14:paraId="78A0FF3A">
      <w:pPr>
        <w:numPr>
          <w:ilvl w:val="0"/>
          <w:numId w:val="18"/>
        </w:numPr>
        <w:spacing w:before="226" w:line="266" w:lineRule="auto"/>
        <w:ind w:left="425" w:leftChars="0" w:right="203" w:hanging="425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部门自查</w:t>
      </w:r>
    </w:p>
    <w:p w14:paraId="5FF743C3">
      <w:pPr>
        <w:pStyle w:val="29"/>
        <w:bidi w:val="0"/>
      </w:pPr>
      <w:r>
        <w:t>各业务部门每月对本部门服务数据管理情况进行自查，检查数据采集、存储、使用等环节是否符合制度要求，形成自查报告报送</w:t>
      </w:r>
      <w:r>
        <w:rPr>
          <w:rFonts w:hint="eastAsia"/>
          <w:lang w:eastAsia="zh-CN"/>
        </w:rPr>
        <w:t>运维部</w:t>
      </w:r>
      <w:r>
        <w:t>。</w:t>
      </w:r>
    </w:p>
    <w:p w14:paraId="519D077E">
      <w:pPr>
        <w:numPr>
          <w:ilvl w:val="0"/>
          <w:numId w:val="18"/>
        </w:numPr>
        <w:spacing w:before="233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专项检查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6D7707D">
      <w:pPr>
        <w:pStyle w:val="29"/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运维部</w:t>
      </w:r>
      <w:r>
        <w:t>每季度组织一次服务数据管理专项检查，重点检查制度执行情况</w:t>
      </w:r>
      <w:r>
        <w:rPr>
          <w:rFonts w:hint="eastAsia"/>
          <w:lang w:eastAsia="zh-CN"/>
        </w:rPr>
        <w:t>。</w:t>
      </w:r>
    </w:p>
    <w:p w14:paraId="463BBC8A">
      <w:pPr>
        <w:pStyle w:val="30"/>
        <w:bidi w:val="0"/>
      </w:pPr>
      <w:bookmarkStart w:id="43" w:name="_Toc30601"/>
      <w:r>
        <w:t>制度评审与改进</w:t>
      </w:r>
      <w:bookmarkEnd w:id="43"/>
    </w:p>
    <w:p w14:paraId="5FEB09CD">
      <w:pPr>
        <w:numPr>
          <w:ilvl w:val="0"/>
          <w:numId w:val="19"/>
        </w:numPr>
        <w:spacing w:before="72" w:line="265" w:lineRule="auto"/>
        <w:ind w:left="425" w:leftChars="0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评审周期</w:t>
      </w:r>
    </w:p>
    <w:p w14:paraId="600905FC">
      <w:pPr>
        <w:pStyle w:val="29"/>
        <w:bidi w:val="0"/>
      </w:pPr>
      <w:r>
        <w:t>本制度每年评审一次，由数据治理委员会组织开展，根据组织业务发展、法律法规变化、制度执行情况等，对制度进行评估和修订。</w:t>
      </w:r>
    </w:p>
    <w:p w14:paraId="6359162F">
      <w:pPr>
        <w:numPr>
          <w:ilvl w:val="0"/>
          <w:numId w:val="19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持续改进</w:t>
      </w:r>
    </w:p>
    <w:p w14:paraId="0214A493">
      <w:pPr>
        <w:pStyle w:val="29"/>
        <w:bidi w:val="0"/>
        <w:rPr>
          <w:rFonts w:hint="eastAsia"/>
          <w:lang w:val="en-US" w:eastAsia="zh-CN"/>
        </w:rPr>
      </w:pPr>
      <w:r>
        <w:t>根据评审结果和实际管理需求，不断完善服务数据管理制度和流程，适应组织发展和外部环境变化，提高服务数据管理水平。</w:t>
      </w:r>
    </w:p>
    <w:p w14:paraId="603AE93E">
      <w:pPr>
        <w:pStyle w:val="31"/>
        <w:bidi w:val="0"/>
      </w:pPr>
      <w:bookmarkStart w:id="44" w:name="bookmark26"/>
      <w:bookmarkEnd w:id="44"/>
      <w:bookmarkStart w:id="45" w:name="_Toc7983"/>
      <w:r>
        <w:t>外部审计</w:t>
      </w:r>
      <w:bookmarkEnd w:id="45"/>
    </w:p>
    <w:p w14:paraId="692E0979">
      <w:pPr>
        <w:pStyle w:val="29"/>
        <w:bidi w:val="0"/>
      </w:pPr>
      <w:r>
        <w:t>每年聘请第三方审计机构对服务数据管理制度的执行情况进行审计，出具审计报告，根据审计结果进行制度完善和管理改进。</w:t>
      </w:r>
    </w:p>
    <w:p w14:paraId="79AD1834">
      <w:pPr>
        <w:pStyle w:val="30"/>
        <w:bidi w:val="0"/>
      </w:pPr>
      <w:bookmarkStart w:id="46" w:name="bookmark28"/>
      <w:bookmarkEnd w:id="46"/>
      <w:bookmarkStart w:id="47" w:name="bookmark27"/>
      <w:bookmarkEnd w:id="47"/>
      <w:bookmarkStart w:id="48" w:name="_Toc28475"/>
      <w:r>
        <w:t>培训与宣贯</w:t>
      </w:r>
      <w:bookmarkEnd w:id="48"/>
    </w:p>
    <w:p w14:paraId="78F101F8">
      <w:pPr>
        <w:numPr>
          <w:ilvl w:val="0"/>
          <w:numId w:val="20"/>
        </w:numPr>
        <w:spacing w:before="72" w:line="282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培训计划</w:t>
      </w:r>
    </w:p>
    <w:p w14:paraId="798269B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制定年度服务数据管理培训计划，定期组织相关部门和人员参加培训，培训内容包括制度规定、数据采集方法、数据安全知识、数据分析工具使用等。</w:t>
      </w:r>
    </w:p>
    <w:p w14:paraId="36C10049">
      <w:pPr>
        <w:numPr>
          <w:ilvl w:val="0"/>
          <w:numId w:val="20"/>
        </w:numPr>
        <w:spacing w:before="235" w:line="266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宣贯活动</w:t>
      </w:r>
    </w:p>
    <w:p w14:paraId="38D09866">
      <w:pPr>
        <w:pStyle w:val="29"/>
        <w:bidi w:val="0"/>
      </w:pPr>
      <w:r>
        <w:t>通过内部网站、宣传栏、会议等多种形式，加强对服务数据管理制度的宣贯，提高全员数据管理意识和合规意识。</w:t>
      </w:r>
    </w:p>
    <w:p w14:paraId="515ED9D6">
      <w:pPr>
        <w:pStyle w:val="30"/>
        <w:bidi w:val="0"/>
      </w:pPr>
      <w:bookmarkStart w:id="49" w:name="bookmark29"/>
      <w:bookmarkEnd w:id="49"/>
      <w:bookmarkStart w:id="50" w:name="_Toc6088"/>
      <w:r>
        <w:t>考核指标</w:t>
      </w:r>
      <w:bookmarkEnd w:id="50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583"/>
        <w:gridCol w:w="1353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70E8829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36DC3899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3B6D449C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7BE0BA8E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指标要求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395C77A5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服务数据准确率</w:t>
            </w:r>
          </w:p>
        </w:tc>
        <w:tc>
          <w:tcPr>
            <w:tcW w:w="2583" w:type="dxa"/>
          </w:tcPr>
          <w:p w14:paraId="27347DB2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服务数据的准确数量/服务数据总数×100 %</w:t>
            </w:r>
          </w:p>
        </w:tc>
        <w:tc>
          <w:tcPr>
            <w:tcW w:w="1353" w:type="dxa"/>
          </w:tcPr>
          <w:p w14:paraId="2E961F64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  <w:tc>
          <w:tcPr>
            <w:tcW w:w="1583" w:type="dxa"/>
          </w:tcPr>
          <w:p w14:paraId="6A5D6556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211D1590">
      <w:pPr>
        <w:pStyle w:val="28"/>
        <w:bidi w:val="0"/>
        <w:rPr>
          <w:rFonts w:hint="default"/>
          <w:lang w:val="en-US" w:eastAsia="zh-CN"/>
        </w:rPr>
      </w:pPr>
      <w:bookmarkStart w:id="51" w:name="bookmark14"/>
      <w:bookmarkEnd w:id="51"/>
      <w:bookmarkStart w:id="52" w:name="_Toc19199"/>
      <w:r>
        <w:rPr>
          <w:rFonts w:hint="eastAsia"/>
          <w:lang w:val="en-US" w:eastAsia="zh-CN"/>
        </w:rPr>
        <w:t>附则</w:t>
      </w:r>
      <w:bookmarkEnd w:id="52"/>
    </w:p>
    <w:p w14:paraId="5C1DDC39">
      <w:pPr>
        <w:keepNext w:val="0"/>
        <w:keepLines w:val="0"/>
        <w:pageBreakBefore w:val="0"/>
        <w:widowControl/>
        <w:numPr>
          <w:ilvl w:val="0"/>
          <w:numId w:val="21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7ACC40C">
      <w:pPr>
        <w:keepNext w:val="0"/>
        <w:keepLines w:val="0"/>
        <w:pageBreakBefore w:val="0"/>
        <w:widowControl/>
        <w:numPr>
          <w:ilvl w:val="0"/>
          <w:numId w:val="21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53" w:name="_Toc1523"/>
      <w:r>
        <w:rPr>
          <w:rFonts w:hint="eastAsia"/>
          <w:lang w:val="en-US" w:eastAsia="zh-CN"/>
        </w:rPr>
        <w:t>附件</w:t>
      </w:r>
      <w:bookmarkEnd w:id="53"/>
    </w:p>
    <w:p w14:paraId="4E1F821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54" w:name="_Toc1470"/>
      <w:r>
        <w:rPr>
          <w:rFonts w:hint="eastAsia"/>
          <w:lang w:val="en-US" w:eastAsia="zh-CN"/>
        </w:rPr>
        <w:t>记录</w:t>
      </w:r>
      <w:bookmarkEnd w:id="54"/>
    </w:p>
    <w:p w14:paraId="5C82DB76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99D00F">
    <w:pPr>
      <w:spacing w:line="209" w:lineRule="auto"/>
      <w:ind w:left="7581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6"/>
        <w:sz w:val="18"/>
        <w:szCs w:val="18"/>
      </w:rPr>
      <w:t>第</w:t>
    </w:r>
    <w:r>
      <w:rPr>
        <w:rFonts w:ascii="宋体" w:hAnsi="宋体" w:eastAsia="宋体" w:cs="宋体"/>
        <w:spacing w:val="-35"/>
        <w:sz w:val="18"/>
        <w:szCs w:val="18"/>
      </w:rPr>
      <w:t xml:space="preserve"> </w:t>
    </w:r>
    <w:r>
      <w:rPr>
        <w:rFonts w:ascii="Calibri" w:hAnsi="Calibri" w:eastAsia="Calibri" w:cs="Calibri"/>
        <w:spacing w:val="-6"/>
        <w:sz w:val="18"/>
        <w:szCs w:val="18"/>
      </w:rPr>
      <w:t>5</w:t>
    </w:r>
    <w:r>
      <w:rPr>
        <w:rFonts w:ascii="宋体" w:hAnsi="宋体" w:eastAsia="宋体" w:cs="宋体"/>
        <w:spacing w:val="-6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AD85"/>
    <w:multiLevelType w:val="singleLevel"/>
    <w:tmpl w:val="804EA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A9D5E82"/>
    <w:multiLevelType w:val="singleLevel"/>
    <w:tmpl w:val="9A9D5E8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7B64214"/>
    <w:multiLevelType w:val="singleLevel"/>
    <w:tmpl w:val="B7B6421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B627EDA"/>
    <w:multiLevelType w:val="singleLevel"/>
    <w:tmpl w:val="BB627E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F32AFC4"/>
    <w:multiLevelType w:val="singleLevel"/>
    <w:tmpl w:val="BF32AF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6EF56D7"/>
    <w:multiLevelType w:val="singleLevel"/>
    <w:tmpl w:val="D6EF56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2DB6DE8"/>
    <w:multiLevelType w:val="singleLevel"/>
    <w:tmpl w:val="02DB6D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2DD07AB"/>
    <w:multiLevelType w:val="singleLevel"/>
    <w:tmpl w:val="02DD07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B8165C8"/>
    <w:multiLevelType w:val="singleLevel"/>
    <w:tmpl w:val="1B8165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98CC4F3"/>
    <w:multiLevelType w:val="singleLevel"/>
    <w:tmpl w:val="498CC4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C0606E4"/>
    <w:multiLevelType w:val="singleLevel"/>
    <w:tmpl w:val="4C0606E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440AD2D"/>
    <w:multiLevelType w:val="singleLevel"/>
    <w:tmpl w:val="5440AD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647180F"/>
    <w:multiLevelType w:val="singleLevel"/>
    <w:tmpl w:val="56471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A9863EA"/>
    <w:multiLevelType w:val="singleLevel"/>
    <w:tmpl w:val="5A9863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B160B76"/>
    <w:multiLevelType w:val="singleLevel"/>
    <w:tmpl w:val="5B160B7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E8F8094"/>
    <w:multiLevelType w:val="singleLevel"/>
    <w:tmpl w:val="5E8F80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0ED038C"/>
    <w:multiLevelType w:val="singleLevel"/>
    <w:tmpl w:val="70ED0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52606B0"/>
    <w:multiLevelType w:val="singleLevel"/>
    <w:tmpl w:val="752606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53A6557"/>
    <w:multiLevelType w:val="singleLevel"/>
    <w:tmpl w:val="753A6557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F2D4426"/>
    <w:multiLevelType w:val="singleLevel"/>
    <w:tmpl w:val="7F2D44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13"/>
  </w:num>
  <w:num w:numId="5">
    <w:abstractNumId w:val="18"/>
  </w:num>
  <w:num w:numId="6">
    <w:abstractNumId w:val="19"/>
  </w:num>
  <w:num w:numId="7">
    <w:abstractNumId w:val="2"/>
  </w:num>
  <w:num w:numId="8">
    <w:abstractNumId w:val="12"/>
  </w:num>
  <w:num w:numId="9">
    <w:abstractNumId w:val="5"/>
  </w:num>
  <w:num w:numId="10">
    <w:abstractNumId w:val="10"/>
  </w:num>
  <w:num w:numId="11">
    <w:abstractNumId w:val="7"/>
  </w:num>
  <w:num w:numId="12">
    <w:abstractNumId w:val="17"/>
  </w:num>
  <w:num w:numId="13">
    <w:abstractNumId w:val="15"/>
  </w:num>
  <w:num w:numId="14">
    <w:abstractNumId w:val="11"/>
  </w:num>
  <w:num w:numId="15">
    <w:abstractNumId w:val="3"/>
  </w:num>
  <w:num w:numId="16">
    <w:abstractNumId w:val="6"/>
  </w:num>
  <w:num w:numId="17">
    <w:abstractNumId w:val="14"/>
  </w:num>
  <w:num w:numId="18">
    <w:abstractNumId w:val="8"/>
  </w:num>
  <w:num w:numId="19">
    <w:abstractNumId w:val="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A2456D"/>
    <w:rsid w:val="017B5688"/>
    <w:rsid w:val="017D6044"/>
    <w:rsid w:val="018B1DD7"/>
    <w:rsid w:val="02105DD0"/>
    <w:rsid w:val="050D0D74"/>
    <w:rsid w:val="055661F0"/>
    <w:rsid w:val="05573D16"/>
    <w:rsid w:val="05C8669A"/>
    <w:rsid w:val="0726391C"/>
    <w:rsid w:val="0734230A"/>
    <w:rsid w:val="08055CAB"/>
    <w:rsid w:val="08D77648"/>
    <w:rsid w:val="08FB181D"/>
    <w:rsid w:val="08FC70AE"/>
    <w:rsid w:val="09615163"/>
    <w:rsid w:val="09BE4364"/>
    <w:rsid w:val="09DE0562"/>
    <w:rsid w:val="09FE29B2"/>
    <w:rsid w:val="0B04224A"/>
    <w:rsid w:val="0B13248D"/>
    <w:rsid w:val="0B2B77D7"/>
    <w:rsid w:val="0B930577"/>
    <w:rsid w:val="0C3C0535"/>
    <w:rsid w:val="0CA84E57"/>
    <w:rsid w:val="0DC14423"/>
    <w:rsid w:val="0E4869E6"/>
    <w:rsid w:val="0EF32D02"/>
    <w:rsid w:val="0F5134D5"/>
    <w:rsid w:val="0FC5179F"/>
    <w:rsid w:val="100912AD"/>
    <w:rsid w:val="104D4694"/>
    <w:rsid w:val="112A43FB"/>
    <w:rsid w:val="116B1D07"/>
    <w:rsid w:val="117B6FDE"/>
    <w:rsid w:val="119775A7"/>
    <w:rsid w:val="11C970B1"/>
    <w:rsid w:val="11E608FC"/>
    <w:rsid w:val="11FE3E97"/>
    <w:rsid w:val="15EE05F4"/>
    <w:rsid w:val="160F7CF5"/>
    <w:rsid w:val="167A1613"/>
    <w:rsid w:val="16C265E3"/>
    <w:rsid w:val="170C7BDF"/>
    <w:rsid w:val="17370680"/>
    <w:rsid w:val="19DF45AE"/>
    <w:rsid w:val="1A264519"/>
    <w:rsid w:val="1AB748A9"/>
    <w:rsid w:val="1AC27A2C"/>
    <w:rsid w:val="1AC83294"/>
    <w:rsid w:val="1B8D153C"/>
    <w:rsid w:val="1CFA72C7"/>
    <w:rsid w:val="1D330E3C"/>
    <w:rsid w:val="1D7B4B8F"/>
    <w:rsid w:val="1E360515"/>
    <w:rsid w:val="1F044A98"/>
    <w:rsid w:val="209179EB"/>
    <w:rsid w:val="21617F9F"/>
    <w:rsid w:val="24CD14A7"/>
    <w:rsid w:val="252A3422"/>
    <w:rsid w:val="25626B9F"/>
    <w:rsid w:val="259F0920"/>
    <w:rsid w:val="25DC7BF4"/>
    <w:rsid w:val="262C093B"/>
    <w:rsid w:val="263115B8"/>
    <w:rsid w:val="26747E2C"/>
    <w:rsid w:val="26914E82"/>
    <w:rsid w:val="27363334"/>
    <w:rsid w:val="279A1B15"/>
    <w:rsid w:val="279B1602"/>
    <w:rsid w:val="27A6495D"/>
    <w:rsid w:val="28862099"/>
    <w:rsid w:val="296511D8"/>
    <w:rsid w:val="29CA0A63"/>
    <w:rsid w:val="2A0635A2"/>
    <w:rsid w:val="2A756A5F"/>
    <w:rsid w:val="2A9F38E6"/>
    <w:rsid w:val="2B141C1D"/>
    <w:rsid w:val="2B5244B4"/>
    <w:rsid w:val="2B5841C1"/>
    <w:rsid w:val="2B9C4A12"/>
    <w:rsid w:val="2BBA09D7"/>
    <w:rsid w:val="2BC0763F"/>
    <w:rsid w:val="2BF37A45"/>
    <w:rsid w:val="2C90798A"/>
    <w:rsid w:val="2D381E44"/>
    <w:rsid w:val="2D8165B1"/>
    <w:rsid w:val="2E0B376C"/>
    <w:rsid w:val="2E363031"/>
    <w:rsid w:val="2E516CA5"/>
    <w:rsid w:val="2E9D013C"/>
    <w:rsid w:val="2F135073"/>
    <w:rsid w:val="2F4A02C4"/>
    <w:rsid w:val="2F860BD0"/>
    <w:rsid w:val="2FF80E15"/>
    <w:rsid w:val="301D1535"/>
    <w:rsid w:val="31605B7D"/>
    <w:rsid w:val="31B859B9"/>
    <w:rsid w:val="32C13470"/>
    <w:rsid w:val="335C2374"/>
    <w:rsid w:val="3361798A"/>
    <w:rsid w:val="33896EE1"/>
    <w:rsid w:val="33A855B9"/>
    <w:rsid w:val="34034EE6"/>
    <w:rsid w:val="366559E4"/>
    <w:rsid w:val="36785717"/>
    <w:rsid w:val="36F25E64"/>
    <w:rsid w:val="36FA4FFE"/>
    <w:rsid w:val="375815A3"/>
    <w:rsid w:val="37BF1626"/>
    <w:rsid w:val="384A4AB3"/>
    <w:rsid w:val="384A559C"/>
    <w:rsid w:val="39431617"/>
    <w:rsid w:val="3A2E2E7E"/>
    <w:rsid w:val="3A3D6832"/>
    <w:rsid w:val="3AE570F3"/>
    <w:rsid w:val="3B183024"/>
    <w:rsid w:val="3B6E533A"/>
    <w:rsid w:val="3C28373B"/>
    <w:rsid w:val="3C634773"/>
    <w:rsid w:val="3CE26DBB"/>
    <w:rsid w:val="3D156FFD"/>
    <w:rsid w:val="3D695DB9"/>
    <w:rsid w:val="3E491747"/>
    <w:rsid w:val="3E7C0C45"/>
    <w:rsid w:val="3E94330A"/>
    <w:rsid w:val="3EAB0654"/>
    <w:rsid w:val="3F2301EA"/>
    <w:rsid w:val="3F5A203E"/>
    <w:rsid w:val="410A1661"/>
    <w:rsid w:val="41566655"/>
    <w:rsid w:val="426B25D4"/>
    <w:rsid w:val="429D0A4E"/>
    <w:rsid w:val="43A318F9"/>
    <w:rsid w:val="442D371B"/>
    <w:rsid w:val="45BB4AEB"/>
    <w:rsid w:val="4613720A"/>
    <w:rsid w:val="461865CE"/>
    <w:rsid w:val="4642189D"/>
    <w:rsid w:val="471A69C9"/>
    <w:rsid w:val="47432D89"/>
    <w:rsid w:val="47E81FD1"/>
    <w:rsid w:val="48343468"/>
    <w:rsid w:val="489130C1"/>
    <w:rsid w:val="4893018E"/>
    <w:rsid w:val="49A85EBB"/>
    <w:rsid w:val="4AA3483E"/>
    <w:rsid w:val="4AC42881"/>
    <w:rsid w:val="4AD827D0"/>
    <w:rsid w:val="4AD909E8"/>
    <w:rsid w:val="4AF60C02"/>
    <w:rsid w:val="4B644252"/>
    <w:rsid w:val="4C013661"/>
    <w:rsid w:val="4D343593"/>
    <w:rsid w:val="4D4A2A8B"/>
    <w:rsid w:val="4E035DB6"/>
    <w:rsid w:val="4ECA2430"/>
    <w:rsid w:val="4F540134"/>
    <w:rsid w:val="504C1069"/>
    <w:rsid w:val="51703763"/>
    <w:rsid w:val="52DA377C"/>
    <w:rsid w:val="53305F83"/>
    <w:rsid w:val="53BB4A3D"/>
    <w:rsid w:val="54522EB8"/>
    <w:rsid w:val="54B725CE"/>
    <w:rsid w:val="54CD67D6"/>
    <w:rsid w:val="57AC16EE"/>
    <w:rsid w:val="5859544B"/>
    <w:rsid w:val="58956A46"/>
    <w:rsid w:val="58C8202C"/>
    <w:rsid w:val="592F7A5F"/>
    <w:rsid w:val="59561490"/>
    <w:rsid w:val="59C566F2"/>
    <w:rsid w:val="5ACB37B8"/>
    <w:rsid w:val="5ADC59C5"/>
    <w:rsid w:val="5B0D0CB2"/>
    <w:rsid w:val="5BBB7799"/>
    <w:rsid w:val="5BC619FD"/>
    <w:rsid w:val="5C717B35"/>
    <w:rsid w:val="5CCD540A"/>
    <w:rsid w:val="5D1A3D55"/>
    <w:rsid w:val="5E133B7E"/>
    <w:rsid w:val="5E3B2A02"/>
    <w:rsid w:val="5E8425FB"/>
    <w:rsid w:val="5EBF3633"/>
    <w:rsid w:val="604F714A"/>
    <w:rsid w:val="60591866"/>
    <w:rsid w:val="608C7E04"/>
    <w:rsid w:val="60FF797D"/>
    <w:rsid w:val="62364D94"/>
    <w:rsid w:val="62853344"/>
    <w:rsid w:val="629372B1"/>
    <w:rsid w:val="62AD7C47"/>
    <w:rsid w:val="637B1AF3"/>
    <w:rsid w:val="6457120A"/>
    <w:rsid w:val="648B3FB8"/>
    <w:rsid w:val="64A70B38"/>
    <w:rsid w:val="650165D1"/>
    <w:rsid w:val="659A0BDD"/>
    <w:rsid w:val="65F22540"/>
    <w:rsid w:val="67931B01"/>
    <w:rsid w:val="6832131A"/>
    <w:rsid w:val="68945B31"/>
    <w:rsid w:val="689A2A1B"/>
    <w:rsid w:val="69862A24"/>
    <w:rsid w:val="69B61AD7"/>
    <w:rsid w:val="69BC26F9"/>
    <w:rsid w:val="69D9062E"/>
    <w:rsid w:val="6A051AEA"/>
    <w:rsid w:val="6A0E57B1"/>
    <w:rsid w:val="6A1C78BD"/>
    <w:rsid w:val="6AAF6C52"/>
    <w:rsid w:val="6ADC556D"/>
    <w:rsid w:val="6B6421C7"/>
    <w:rsid w:val="6B947BF6"/>
    <w:rsid w:val="6BCE07B8"/>
    <w:rsid w:val="6C7C0DB6"/>
    <w:rsid w:val="6C9500C9"/>
    <w:rsid w:val="6DDC581A"/>
    <w:rsid w:val="6DE04984"/>
    <w:rsid w:val="6DEF55B7"/>
    <w:rsid w:val="70B34FC2"/>
    <w:rsid w:val="711710AD"/>
    <w:rsid w:val="712A221C"/>
    <w:rsid w:val="7148395C"/>
    <w:rsid w:val="716601F4"/>
    <w:rsid w:val="71D074AE"/>
    <w:rsid w:val="722F2426"/>
    <w:rsid w:val="72895FDA"/>
    <w:rsid w:val="729E635B"/>
    <w:rsid w:val="72DC0914"/>
    <w:rsid w:val="737F118B"/>
    <w:rsid w:val="746F7452"/>
    <w:rsid w:val="747E1443"/>
    <w:rsid w:val="7695113D"/>
    <w:rsid w:val="76B163FD"/>
    <w:rsid w:val="76F93003"/>
    <w:rsid w:val="77020109"/>
    <w:rsid w:val="77F62490"/>
    <w:rsid w:val="788860C0"/>
    <w:rsid w:val="78CC6D3B"/>
    <w:rsid w:val="78DC469B"/>
    <w:rsid w:val="79102FB2"/>
    <w:rsid w:val="7A147095"/>
    <w:rsid w:val="7A3F3423"/>
    <w:rsid w:val="7AC51B7A"/>
    <w:rsid w:val="7AF366E7"/>
    <w:rsid w:val="7AF64429"/>
    <w:rsid w:val="7B1B3E90"/>
    <w:rsid w:val="7B734B9C"/>
    <w:rsid w:val="7B842A7E"/>
    <w:rsid w:val="7BA92079"/>
    <w:rsid w:val="7C5A4C18"/>
    <w:rsid w:val="7C72188D"/>
    <w:rsid w:val="7D1E37CD"/>
    <w:rsid w:val="7DD86C30"/>
    <w:rsid w:val="7E993157"/>
    <w:rsid w:val="7EC14D4E"/>
    <w:rsid w:val="7EEC7170"/>
    <w:rsid w:val="7F2F774B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0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uiPriority w:val="0"/>
    <w:pPr>
      <w:ind w:firstLine="0" w:firstLineChars="0"/>
    </w:pPr>
    <w:rPr>
      <w:rFonts w:ascii="Arial" w:hAnsi="Arial"/>
      <w:sz w:val="24"/>
      <w:lang w:eastAsia="zh-CN"/>
    </w:rPr>
  </w:style>
  <w:style w:type="character" w:customStyle="1" w:styleId="40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4143</Words>
  <Characters>4345</Characters>
  <Lines>0</Lines>
  <Paragraphs>0</Paragraphs>
  <TotalTime>1</TotalTime>
  <ScaleCrop>false</ScaleCrop>
  <LinksUpToDate>false</LinksUpToDate>
  <CharactersWithSpaces>4494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