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供应商管理制度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t>王钰轩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王钰轩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7B4205B">
      <w:pPr>
        <w:pStyle w:val="29"/>
        <w:bidi w:val="0"/>
        <w:rPr>
          <w:rFonts w:hint="default" w:eastAsia="宋体"/>
          <w:lang w:val="en-US" w:eastAsia="zh-CN"/>
        </w:rPr>
      </w:pPr>
      <w:r>
        <w:t>为优化供应体系，需建立</w:t>
      </w:r>
      <w:r>
        <w:rPr>
          <w:rFonts w:hint="default"/>
        </w:rPr>
        <w:t>严格的供应商准入机制，实施持续的绩效动态评估（质量、价格、交付、服务），并依据评估结果进行分级管理（激励、优化、淘汰），形成闭环，以确保供应链的稳定、高效与竞争力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17117F4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战略匹配原则：供应商选择与管理必须支持公司的整体战略和目标。</w:t>
      </w:r>
    </w:p>
    <w:p w14:paraId="11E1109D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质量优先原则：确保供应商提供的产品和服务质量持续稳定可靠，是管理的首要目标。</w:t>
      </w:r>
    </w:p>
    <w:p w14:paraId="6709DCB6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公平竞争与公开透明原则：引入竞争机制，流程公开、公平、公正，选择最优合作伙伴。</w:t>
      </w:r>
    </w:p>
    <w:p w14:paraId="34DA114A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风险控制原则：主动识别和评估供应链中的潜在风险（如断供、价格波动、质量事故），并制定应对措施。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1242E3FC">
      <w:pPr>
        <w:pStyle w:val="29"/>
        <w:bidi w:val="0"/>
      </w:pPr>
      <w:r>
        <w:t>本制度规定了企业在采购、开发供应商时，对供应商的日常管理考核的工作程序、规范。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0177FF29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</w:t>
      </w:r>
    </w:p>
    <w:p w14:paraId="045879F5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参与供应商资质评定、样品验证、供货质量管理及考核。</w:t>
      </w:r>
    </w:p>
    <w:p w14:paraId="6B2EE30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采集供应商的资料和查证合格供应商的日常管理考核；对供应商的交货能力、价格、售后服务的资质的准确性、真实性负责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供应商管理实施</w:t>
      </w:r>
    </w:p>
    <w:p w14:paraId="79C03E87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供应商准入标准</w:t>
      </w:r>
    </w:p>
    <w:p w14:paraId="60878DC2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负责不定期收集潜在供应商信息，并通过多种渠道主动寻源。</w:t>
      </w:r>
      <w:r>
        <w:rPr>
          <w:rFonts w:hint="eastAsia"/>
          <w:lang w:val="en-US" w:eastAsia="zh-CN"/>
        </w:rPr>
        <w:t>运维部</w:t>
      </w:r>
      <w:r>
        <w:rPr>
          <w:rFonts w:hint="default"/>
          <w:lang w:val="en-US" w:eastAsia="zh-CN"/>
        </w:rPr>
        <w:t>可根据规划与项目需要，向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推荐潜在供应商。选择时应综合评估其主营业务、地理位置、公司规模及行业口碑等因素。</w:t>
      </w:r>
    </w:p>
    <w:p w14:paraId="6B614A60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供应商资格审查</w:t>
      </w:r>
    </w:p>
    <w:p w14:paraId="6030DB10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潜在供应商资料收集齐全后，由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组织相关部门进行资格审查。审查时应调查其主体资格、资信状况与履约能力，且对方当事人须满足以下基本条件：</w:t>
      </w:r>
    </w:p>
    <w:p w14:paraId="0BD2C77B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为依法成立的法人或其他组织；</w:t>
      </w:r>
    </w:p>
    <w:p w14:paraId="751C0242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原则上成立时间不少于三年；</w:t>
      </w:r>
    </w:p>
    <w:p w14:paraId="7AE9171F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在经营范围内开展业务，若属特殊行业须持有相应经营许可证；</w:t>
      </w:r>
    </w:p>
    <w:p w14:paraId="77658FF1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具备法定的国家或行业资质；</w:t>
      </w:r>
    </w:p>
    <w:p w14:paraId="72C077DD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具有良好的资信状况和履约能力。</w:t>
      </w:r>
    </w:p>
    <w:p w14:paraId="773A7960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信息安全要求</w:t>
      </w:r>
    </w:p>
    <w:p w14:paraId="1E796D96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公司须对供应商服务提出明确安全要求，并依据公司安全管理规定进行管理，具体包括：</w:t>
      </w:r>
    </w:p>
    <w:p w14:paraId="3099EB65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识别并记录允许访问公司信息的供应商类型（如IT服务、物流、金融等）7) 根据供应商类型，定义其可访问的信息类型，并实施相应的监控与访问控制措施；</w:t>
      </w:r>
    </w:p>
    <w:p w14:paraId="6F157468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遵循最小权限原则为供应商分配访问权限，并设定有效期，到期后须及时撤销；</w:t>
      </w:r>
    </w:p>
    <w:p w14:paraId="286EB33B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对供应商的信息安全管理能力进行评估；</w:t>
      </w:r>
    </w:p>
    <w:p w14:paraId="61C1E775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对与供应商交互的公司内部人员开展安全意识培训，明确行为规范；</w:t>
      </w:r>
    </w:p>
    <w:p w14:paraId="272649DF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将关键信息安全要求与控制措施纳入合同或保密协议。</w:t>
      </w:r>
    </w:p>
    <w:p w14:paraId="750148C2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合同管理</w:t>
      </w:r>
    </w:p>
    <w:p w14:paraId="67A3ECFD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采购经理</w:t>
      </w:r>
      <w:r>
        <w:rPr>
          <w:rFonts w:hint="default"/>
          <w:lang w:val="en-US" w:eastAsia="zh-CN"/>
        </w:rPr>
        <w:t>负责管理合同及协议，并维护《合格供应商名录》中的关系记录；</w:t>
      </w:r>
    </w:p>
    <w:p w14:paraId="4A1E899B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所有合同签署前须经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审核确认；</w:t>
      </w:r>
    </w:p>
    <w:p w14:paraId="0B88387B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应每年至少进行一次合同符合性检查，确保业务需求与合同条款一致；</w:t>
      </w:r>
    </w:p>
    <w:p w14:paraId="7E96D518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所有合同变更需在满足客户需求的前提下进行；</w:t>
      </w:r>
    </w:p>
    <w:p w14:paraId="0EB7CE1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发生合同纠纷时，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须按合同约定流程处理；</w:t>
      </w:r>
    </w:p>
    <w:p w14:paraId="29DD3950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遇服务结束、提前终止或转移时，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须按合同约定流程处理。</w:t>
      </w:r>
    </w:p>
    <w:p w14:paraId="5B5F8F44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供应商评价</w:t>
      </w:r>
    </w:p>
    <w:p w14:paraId="03432CAE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每个服务周期初，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应依据服务合同与协议，参照《合格供应商名录》，对供应商进行至少年度评审。评审应涵盖产品质量、技术支持、合同执行、质量保证及售后服务等方面，并根据结果对供应商进行分级（如合格、不合格）。同时记录改进措施，作为服务改进计划的输入。</w:t>
      </w:r>
    </w:p>
    <w:p w14:paraId="5B86ECFA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质量异常处理</w:t>
      </w:r>
    </w:p>
    <w:p w14:paraId="6AA99AFD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当供应商供货质量出现波动时，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应组织进行现场工艺技术验证，分析原因并推动制定改善措施，相关结果须经双方书面确认。若发生重大质量事故造成损失，应依据质保金制度索赔。对整改不力、质量仍不稳定的供应商，应取消其合格供应商资格。</w:t>
      </w:r>
    </w:p>
    <w:p w14:paraId="788038EA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供应商变更</w:t>
      </w:r>
    </w:p>
    <w:p w14:paraId="56E8BF97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所有供应商服务的变更均需执行变更管理流程，并重新评估其对业务信息、系统及过程的风险影响。变更管理涵盖以下三个方面：</w:t>
      </w:r>
    </w:p>
    <w:p w14:paraId="6E7D746A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供应商协议的变更；</w:t>
      </w:r>
    </w:p>
    <w:p w14:paraId="0FF67638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我公司发起的变更，包括：</w:t>
      </w:r>
    </w:p>
    <w:p w14:paraId="19DAA8E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对现有服务的增强；</w:t>
      </w:r>
    </w:p>
    <w:p w14:paraId="2C5DCB3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新应用与系统的开发；</w:t>
      </w:r>
    </w:p>
    <w:p w14:paraId="6C08A382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组织策略与规程的更新；</w:t>
      </w:r>
    </w:p>
    <w:p w14:paraId="451D28E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为应对安全事件或改进安全而采取的新控制措施；</w:t>
      </w:r>
    </w:p>
    <w:p w14:paraId="0193E988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供应商发起的变更，包括：</w:t>
      </w:r>
    </w:p>
    <w:p w14:paraId="584162AB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网络变更与加强；</w:t>
      </w:r>
    </w:p>
    <w:p w14:paraId="0AC39830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新技术的使用；</w:t>
      </w:r>
    </w:p>
    <w:p w14:paraId="34AEFB01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新产品或版本的采用；</w:t>
      </w:r>
    </w:p>
    <w:p w14:paraId="25D4B3D6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开发工具与环境的变更；</w:t>
      </w:r>
    </w:p>
    <w:p w14:paraId="049B0071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服务设施地点的变更；</w:t>
      </w:r>
    </w:p>
    <w:p w14:paraId="041DCCD0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供应商主体变更；</w:t>
      </w:r>
    </w:p>
    <w:p w14:paraId="72E31B12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分包给其他供应商。</w:t>
      </w:r>
    </w:p>
    <w:p w14:paraId="2E06660B">
      <w:pPr>
        <w:pStyle w:val="29"/>
        <w:rPr>
          <w:rFonts w:hint="default"/>
          <w:lang w:val="en-US" w:eastAsia="zh-CN"/>
        </w:rPr>
      </w:pPr>
    </w:p>
    <w:p w14:paraId="22D41075">
      <w:pPr>
        <w:pStyle w:val="29"/>
        <w:rPr>
          <w:rFonts w:hint="default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采购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78DA6493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  <w:bookmarkStart w:id="7" w:name="_GoBack"/>
      <w:bookmarkEnd w:id="7"/>
    </w:p>
    <w:p w14:paraId="656629A7">
      <w:pPr>
        <w:pStyle w:val="39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《合格供应商名录》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37007B5"/>
    <w:multiLevelType w:val="singleLevel"/>
    <w:tmpl w:val="937007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F726D3"/>
    <w:multiLevelType w:val="singleLevel"/>
    <w:tmpl w:val="D2F726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7AC91D"/>
    <w:multiLevelType w:val="singleLevel"/>
    <w:tmpl w:val="DA7AC91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E475A80E"/>
    <w:multiLevelType w:val="singleLevel"/>
    <w:tmpl w:val="E475A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C300126"/>
    <w:multiLevelType w:val="singleLevel"/>
    <w:tmpl w:val="FC30012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0E2CEBEC"/>
    <w:multiLevelType w:val="singleLevel"/>
    <w:tmpl w:val="0E2CEB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B5AB892"/>
    <w:multiLevelType w:val="singleLevel"/>
    <w:tmpl w:val="1B5AB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61662C"/>
    <w:rsid w:val="031C03B4"/>
    <w:rsid w:val="05573D16"/>
    <w:rsid w:val="05C8669A"/>
    <w:rsid w:val="08055CAB"/>
    <w:rsid w:val="0839318B"/>
    <w:rsid w:val="09615163"/>
    <w:rsid w:val="0AF810E2"/>
    <w:rsid w:val="0B13248D"/>
    <w:rsid w:val="0B930577"/>
    <w:rsid w:val="0CA84E57"/>
    <w:rsid w:val="0DC14423"/>
    <w:rsid w:val="0E4869E6"/>
    <w:rsid w:val="0EA33B28"/>
    <w:rsid w:val="100912AD"/>
    <w:rsid w:val="104D4694"/>
    <w:rsid w:val="112A43FB"/>
    <w:rsid w:val="119775A7"/>
    <w:rsid w:val="15A63162"/>
    <w:rsid w:val="160F7CF5"/>
    <w:rsid w:val="167A1613"/>
    <w:rsid w:val="16C265E3"/>
    <w:rsid w:val="170C7BDF"/>
    <w:rsid w:val="199A0D0F"/>
    <w:rsid w:val="1A264519"/>
    <w:rsid w:val="1AC27A2C"/>
    <w:rsid w:val="1B8D153C"/>
    <w:rsid w:val="1CFA72C7"/>
    <w:rsid w:val="1D7B4B8F"/>
    <w:rsid w:val="1E360515"/>
    <w:rsid w:val="1F777037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A6C0809"/>
    <w:rsid w:val="2B141C1D"/>
    <w:rsid w:val="2B9C4A12"/>
    <w:rsid w:val="2BC0763F"/>
    <w:rsid w:val="2D381E44"/>
    <w:rsid w:val="2E3D64AF"/>
    <w:rsid w:val="2E516CA5"/>
    <w:rsid w:val="2E9D013C"/>
    <w:rsid w:val="2F135073"/>
    <w:rsid w:val="2F4A02C4"/>
    <w:rsid w:val="2FA75F07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15B010F"/>
    <w:rsid w:val="426B25D4"/>
    <w:rsid w:val="429D0A4E"/>
    <w:rsid w:val="431A1904"/>
    <w:rsid w:val="43394480"/>
    <w:rsid w:val="43A318F9"/>
    <w:rsid w:val="442D371B"/>
    <w:rsid w:val="4441183E"/>
    <w:rsid w:val="4613720A"/>
    <w:rsid w:val="461865CE"/>
    <w:rsid w:val="4642189D"/>
    <w:rsid w:val="471A69C9"/>
    <w:rsid w:val="47432D89"/>
    <w:rsid w:val="47C00CCC"/>
    <w:rsid w:val="47E81FD1"/>
    <w:rsid w:val="4893018E"/>
    <w:rsid w:val="4A4F7F3F"/>
    <w:rsid w:val="4AA3483E"/>
    <w:rsid w:val="4AC42881"/>
    <w:rsid w:val="4AD909E8"/>
    <w:rsid w:val="4B644252"/>
    <w:rsid w:val="4C013661"/>
    <w:rsid w:val="4D343593"/>
    <w:rsid w:val="4ECA2430"/>
    <w:rsid w:val="4F540134"/>
    <w:rsid w:val="540A554E"/>
    <w:rsid w:val="54B725CE"/>
    <w:rsid w:val="54CD67D6"/>
    <w:rsid w:val="56DA1F05"/>
    <w:rsid w:val="57AC16EE"/>
    <w:rsid w:val="5840501E"/>
    <w:rsid w:val="5859544B"/>
    <w:rsid w:val="58956A46"/>
    <w:rsid w:val="58C8202C"/>
    <w:rsid w:val="592875B7"/>
    <w:rsid w:val="5A613113"/>
    <w:rsid w:val="5ADC59C5"/>
    <w:rsid w:val="5B597015"/>
    <w:rsid w:val="5BBB7799"/>
    <w:rsid w:val="5BC619FD"/>
    <w:rsid w:val="5C717B35"/>
    <w:rsid w:val="5D722610"/>
    <w:rsid w:val="5E133B7E"/>
    <w:rsid w:val="5E3B2A02"/>
    <w:rsid w:val="5E8425FB"/>
    <w:rsid w:val="5EE057B9"/>
    <w:rsid w:val="608C7E04"/>
    <w:rsid w:val="609E2607"/>
    <w:rsid w:val="60FF797D"/>
    <w:rsid w:val="62364D94"/>
    <w:rsid w:val="62853344"/>
    <w:rsid w:val="637B1AF3"/>
    <w:rsid w:val="6457120A"/>
    <w:rsid w:val="65F22540"/>
    <w:rsid w:val="676A4358"/>
    <w:rsid w:val="67931B01"/>
    <w:rsid w:val="689A2A1B"/>
    <w:rsid w:val="69862A24"/>
    <w:rsid w:val="69B61AD7"/>
    <w:rsid w:val="69D9062E"/>
    <w:rsid w:val="6ADC556D"/>
    <w:rsid w:val="6B6421C7"/>
    <w:rsid w:val="6B7834E8"/>
    <w:rsid w:val="6B947BF6"/>
    <w:rsid w:val="6BCE07B8"/>
    <w:rsid w:val="6C635F46"/>
    <w:rsid w:val="6C7C0DB6"/>
    <w:rsid w:val="711710AD"/>
    <w:rsid w:val="7148395C"/>
    <w:rsid w:val="71D074AE"/>
    <w:rsid w:val="724F0D1A"/>
    <w:rsid w:val="72895FDA"/>
    <w:rsid w:val="72DC0914"/>
    <w:rsid w:val="747E1443"/>
    <w:rsid w:val="75A94A21"/>
    <w:rsid w:val="7695113D"/>
    <w:rsid w:val="77020109"/>
    <w:rsid w:val="77B07EAB"/>
    <w:rsid w:val="780F5B56"/>
    <w:rsid w:val="78CC6D3B"/>
    <w:rsid w:val="78DC469B"/>
    <w:rsid w:val="7A147095"/>
    <w:rsid w:val="7A170370"/>
    <w:rsid w:val="7AF366E7"/>
    <w:rsid w:val="7B734B9C"/>
    <w:rsid w:val="7C50660F"/>
    <w:rsid w:val="7D1E37CD"/>
    <w:rsid w:val="7DD86C30"/>
    <w:rsid w:val="7E993157"/>
    <w:rsid w:val="7EA83C8C"/>
    <w:rsid w:val="7EC14D4E"/>
    <w:rsid w:val="7F45025C"/>
    <w:rsid w:val="7FB30CF2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