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7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2412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2300"/>
      <w:r>
        <w:rPr>
          <w:rFonts w:hint="eastAsia"/>
          <w:lang w:val="en-US" w:eastAsia="zh-CN"/>
        </w:rPr>
        <w:t>供应商管理制度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u w:val="single"/>
                <w:shd w:val="clear" w:fill="FFFFFF"/>
              </w:rPr>
              <w:t>王钰轩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王钰轩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BB2E37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_Toc2412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0B28F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_Toc22300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供应商管理制度</w:t>
          </w:r>
          <w:r>
            <w:tab/>
          </w:r>
          <w:r>
            <w:fldChar w:fldCharType="begin"/>
          </w:r>
          <w:r>
            <w:instrText xml:space="preserve"> PAGEREF _Toc22300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84E588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_Toc15534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_Toc15534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B2154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_Toc5572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_Toc5572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9C751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_Toc19473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FD72E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_Toc1966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61C2E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_Toc4030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采购部</w:t>
          </w:r>
          <w:r>
            <w:tab/>
          </w:r>
          <w:r>
            <w:fldChar w:fldCharType="begin"/>
          </w:r>
          <w:r>
            <w:instrText xml:space="preserve"> PAGEREF _Toc4030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7F7B9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供应商管理实施</w:t>
          </w:r>
          <w:r>
            <w:tab/>
          </w:r>
          <w:r>
            <w:fldChar w:fldCharType="begin"/>
          </w:r>
          <w:r>
            <w:instrText xml:space="preserve"> PAGEREF _Toc902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89B40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_Toc3635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 供应商准入标准</w:t>
          </w:r>
          <w:r>
            <w:tab/>
          </w:r>
          <w:r>
            <w:fldChar w:fldCharType="begin"/>
          </w:r>
          <w:r>
            <w:instrText xml:space="preserve"> PAGEREF _Toc3635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7F3B7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_Toc24147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5.2. 供应商资格审查</w:t>
          </w:r>
          <w:r>
            <w:tab/>
          </w:r>
          <w:r>
            <w:fldChar w:fldCharType="begin"/>
          </w:r>
          <w:r>
            <w:instrText xml:space="preserve"> PAGEREF _Toc24147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210D0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_Toc30445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5.3. 信息安全要求</w:t>
          </w:r>
          <w:r>
            <w:tab/>
          </w:r>
          <w:r>
            <w:fldChar w:fldCharType="begin"/>
          </w:r>
          <w:r>
            <w:instrText xml:space="preserve"> PAGEREF _Toc30445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AE6F3B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_Toc17891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5.4. 合同管理</w:t>
          </w:r>
          <w:r>
            <w:tab/>
          </w:r>
          <w:r>
            <w:fldChar w:fldCharType="begin"/>
          </w:r>
          <w:r>
            <w:instrText xml:space="preserve"> PAGEREF _Toc17891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AB9DF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_Toc13219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5.5. 供应商评价</w:t>
          </w:r>
          <w:r>
            <w:tab/>
          </w:r>
          <w:r>
            <w:fldChar w:fldCharType="begin"/>
          </w:r>
          <w:r>
            <w:instrText xml:space="preserve"> PAGEREF _Toc13219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0ECC2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_Toc11180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5.6. 质量异常处理</w:t>
          </w:r>
          <w:r>
            <w:tab/>
          </w:r>
          <w:r>
            <w:fldChar w:fldCharType="begin"/>
          </w:r>
          <w:r>
            <w:instrText xml:space="preserve"> PAGEREF _Toc11180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F806E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_Toc19495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5.7. 供应商变更</w:t>
          </w:r>
          <w:r>
            <w:tab/>
          </w:r>
          <w:r>
            <w:fldChar w:fldCharType="begin"/>
          </w:r>
          <w:r>
            <w:instrText xml:space="preserve"> PAGEREF _Toc19495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4303B3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_Toc11171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_Toc11171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51E29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_Toc31325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_Toc31325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D1D80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_Toc30419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_Toc30419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15534"/>
      <w:r>
        <w:t>目的</w:t>
      </w:r>
      <w:bookmarkEnd w:id="2"/>
    </w:p>
    <w:p w14:paraId="27B4205B">
      <w:pPr>
        <w:pStyle w:val="29"/>
        <w:bidi w:val="0"/>
        <w:rPr>
          <w:rFonts w:hint="default" w:eastAsia="宋体"/>
          <w:lang w:val="en-US" w:eastAsia="zh-CN"/>
        </w:rPr>
      </w:pPr>
      <w:r>
        <w:t>为优化供应体系，需建立</w:t>
      </w:r>
      <w:r>
        <w:rPr>
          <w:rFonts w:hint="default"/>
        </w:rPr>
        <w:t>严格的供应商准入机制，实施持续的绩效动态评估（质量、价格、交付、服务），并依据评估结果进行分级管理（激励、优化、淘汰），形成闭环，以确保供应链的稳定、高效与竞争力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特制定此制度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5572"/>
      <w:r>
        <w:rPr>
          <w:rFonts w:hint="eastAsia"/>
          <w:lang w:val="en-US" w:eastAsia="zh-CN"/>
        </w:rPr>
        <w:t>原则</w:t>
      </w:r>
      <w:bookmarkEnd w:id="3"/>
    </w:p>
    <w:p w14:paraId="17117F45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战略匹配原则：供应商选择与管理必须支持公司的整体战略和目标。</w:t>
      </w:r>
    </w:p>
    <w:p w14:paraId="11E1109D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质量优先原则：确保供应商提供的产品和服务质量持续稳定可靠，是管理的首要目标。</w:t>
      </w:r>
    </w:p>
    <w:p w14:paraId="6709DCB6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公平竞争与公开透明原则：引入竞争机制，流程公开、公平、公正，选择最优合作伙伴。</w:t>
      </w:r>
    </w:p>
    <w:p w14:paraId="34DA114A">
      <w:pPr>
        <w:pStyle w:val="29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风险控制原则：主动识别和评估供应链中的潜在风险（如断供、价格波动、质量事故），并制定应对措施。</w:t>
      </w:r>
    </w:p>
    <w:p w14:paraId="6BD52D84">
      <w:pPr>
        <w:pStyle w:val="28"/>
        <w:bidi w:val="0"/>
      </w:pPr>
      <w:bookmarkStart w:id="4" w:name="_Toc19473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1242E3FC">
      <w:pPr>
        <w:pStyle w:val="29"/>
        <w:bidi w:val="0"/>
      </w:pPr>
      <w:r>
        <w:t>本制度规定了企业在采购、开发供应商时，对供应商的日常管理考核的工作程序、规范。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5" w:name="_Toc1966"/>
      <w:r>
        <w:rPr>
          <w:rFonts w:hint="eastAsia"/>
          <w:lang w:val="en-US" w:eastAsia="zh-CN"/>
        </w:rPr>
        <w:t>岗位职责</w:t>
      </w:r>
      <w:bookmarkEnd w:id="5"/>
    </w:p>
    <w:p w14:paraId="0177FF29">
      <w:pPr>
        <w:pStyle w:val="30"/>
        <w:bidi w:val="0"/>
        <w:rPr>
          <w:rFonts w:hint="default"/>
          <w:lang w:val="en-US" w:eastAsia="zh-CN"/>
        </w:rPr>
      </w:pPr>
      <w:bookmarkStart w:id="6" w:name="_Toc4030"/>
      <w:r>
        <w:rPr>
          <w:rFonts w:hint="eastAsia"/>
          <w:lang w:val="en-US" w:eastAsia="zh-CN"/>
        </w:rPr>
        <w:t>采购部</w:t>
      </w:r>
      <w:bookmarkEnd w:id="6"/>
    </w:p>
    <w:p w14:paraId="045879F5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参与供应商资质评定、样品验证、供货质量管理及考核。</w:t>
      </w:r>
    </w:p>
    <w:p w14:paraId="6B2EE30A">
      <w:pPr>
        <w:pStyle w:val="39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采集供应商的资料和查证合格供应商的日常管理考核；对供应商的交货能力、价格、售后服务的资质的准确性、真实性负责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7" w:name="_Toc902"/>
      <w:r>
        <w:rPr>
          <w:rFonts w:hint="eastAsia"/>
          <w:lang w:val="en-US" w:eastAsia="zh-CN"/>
        </w:rPr>
        <w:t>供应商管理实施</w:t>
      </w:r>
      <w:bookmarkEnd w:id="7"/>
    </w:p>
    <w:p w14:paraId="79C03E87">
      <w:pPr>
        <w:pStyle w:val="30"/>
        <w:bidi w:val="0"/>
        <w:rPr>
          <w:rFonts w:hint="default"/>
          <w:lang w:val="en-US" w:eastAsia="zh-CN"/>
        </w:rPr>
      </w:pPr>
      <w:bookmarkStart w:id="8" w:name="_Toc3635"/>
      <w:r>
        <w:rPr>
          <w:rFonts w:hint="default"/>
          <w:lang w:val="en-US" w:eastAsia="zh-CN"/>
        </w:rPr>
        <w:t>供应商准入标准</w:t>
      </w:r>
      <w:bookmarkEnd w:id="8"/>
    </w:p>
    <w:p w14:paraId="60878DC2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采购部</w:t>
      </w:r>
      <w:r>
        <w:rPr>
          <w:rFonts w:hint="default"/>
          <w:lang w:val="en-US" w:eastAsia="zh-CN"/>
        </w:rPr>
        <w:t>负责不定期收集潜在供应商信息，并通过多种渠道主动寻源。</w:t>
      </w:r>
      <w:r>
        <w:rPr>
          <w:rFonts w:hint="eastAsia"/>
          <w:lang w:val="en-US" w:eastAsia="zh-CN"/>
        </w:rPr>
        <w:t>运维部</w:t>
      </w:r>
      <w:r>
        <w:rPr>
          <w:rFonts w:hint="default"/>
          <w:lang w:val="en-US" w:eastAsia="zh-CN"/>
        </w:rPr>
        <w:t>可根据规划与项目需要，向</w:t>
      </w:r>
      <w:r>
        <w:rPr>
          <w:rFonts w:hint="eastAsia"/>
          <w:lang w:val="en-US" w:eastAsia="zh-CN"/>
        </w:rPr>
        <w:t>采购部</w:t>
      </w:r>
      <w:r>
        <w:rPr>
          <w:rFonts w:hint="default"/>
          <w:lang w:val="en-US" w:eastAsia="zh-CN"/>
        </w:rPr>
        <w:t>推荐潜在供应商。选择时应综合评估其主营业务、地理位置、公司规模及行业口碑等因素。</w:t>
      </w:r>
    </w:p>
    <w:p w14:paraId="6B614A60">
      <w:pPr>
        <w:pStyle w:val="30"/>
        <w:bidi w:val="0"/>
        <w:rPr>
          <w:rFonts w:hint="default"/>
          <w:lang w:val="en-US" w:eastAsia="zh-CN"/>
        </w:rPr>
      </w:pPr>
      <w:bookmarkStart w:id="9" w:name="_Toc24147"/>
      <w:r>
        <w:rPr>
          <w:rFonts w:hint="default"/>
          <w:lang w:val="en-US" w:eastAsia="zh-CN"/>
        </w:rPr>
        <w:t>供应商资格审查</w:t>
      </w:r>
      <w:bookmarkEnd w:id="9"/>
    </w:p>
    <w:p w14:paraId="6030DB10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潜在供应商资料收集齐全后，由</w:t>
      </w:r>
      <w:r>
        <w:rPr>
          <w:rFonts w:hint="eastAsia"/>
          <w:lang w:val="en-US" w:eastAsia="zh-CN"/>
        </w:rPr>
        <w:t>采购部</w:t>
      </w:r>
      <w:r>
        <w:rPr>
          <w:rFonts w:hint="default"/>
          <w:lang w:val="en-US" w:eastAsia="zh-CN"/>
        </w:rPr>
        <w:t>组织相关部门进行资格审查。审查时应调查其主体资格、资信状况与履约能力，且对方当事人须满足以下基本条件：</w:t>
      </w:r>
    </w:p>
    <w:p w14:paraId="0BD2C77B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为依法成立的法人或其他组织；</w:t>
      </w:r>
    </w:p>
    <w:p w14:paraId="751C0242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原则上成立时间不少于三年；</w:t>
      </w:r>
    </w:p>
    <w:p w14:paraId="7AE9171F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在经营范围内开展业务，若属特殊行业须持有相应经营许可证；</w:t>
      </w:r>
    </w:p>
    <w:p w14:paraId="77658FF1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具备法定的国家或行业资质；</w:t>
      </w:r>
    </w:p>
    <w:p w14:paraId="72C077DD">
      <w:pPr>
        <w:pStyle w:val="29"/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具有良好的资信状况和履约能力。</w:t>
      </w:r>
    </w:p>
    <w:p w14:paraId="773A7960">
      <w:pPr>
        <w:pStyle w:val="30"/>
        <w:bidi w:val="0"/>
        <w:rPr>
          <w:rFonts w:hint="default"/>
          <w:lang w:val="en-US" w:eastAsia="zh-CN"/>
        </w:rPr>
      </w:pPr>
      <w:bookmarkStart w:id="10" w:name="_Toc30445"/>
      <w:r>
        <w:rPr>
          <w:rFonts w:hint="default"/>
          <w:lang w:val="en-US" w:eastAsia="zh-CN"/>
        </w:rPr>
        <w:t>信息安全要求</w:t>
      </w:r>
      <w:bookmarkEnd w:id="10"/>
    </w:p>
    <w:p w14:paraId="1E796D96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公司须对供应商服务提出明确安全要求，并依据公司安全管理规定进行管理，具体包括：</w:t>
      </w:r>
    </w:p>
    <w:p w14:paraId="3099EB65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识别并记录允许访问公司信息的供应商类型（如IT服务、物流、金融等</w:t>
      </w:r>
      <w:r>
        <w:rPr>
          <w:rFonts w:hint="eastAsia"/>
          <w:lang w:val="en-US" w:eastAsia="zh-CN"/>
        </w:rPr>
        <w:t>），</w:t>
      </w:r>
      <w:r>
        <w:rPr>
          <w:rFonts w:hint="default"/>
          <w:lang w:val="en-US" w:eastAsia="zh-CN"/>
        </w:rPr>
        <w:t>根据供应商类型，定义其可访问的信息类型，并实施相应的监控与访问控制措施；</w:t>
      </w:r>
    </w:p>
    <w:p w14:paraId="6F157468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遵循最小权限原则为供应商分配访问权限，并设定有效期，到期后须及时撤销；</w:t>
      </w:r>
    </w:p>
    <w:p w14:paraId="286EB33B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对供应商的信息安全管理能力进行评估；</w:t>
      </w:r>
    </w:p>
    <w:p w14:paraId="61C1E775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对与供应商交互的公司内部人员开展安全意识培训，明确行为规范；</w:t>
      </w:r>
    </w:p>
    <w:p w14:paraId="272649DF">
      <w:pPr>
        <w:pStyle w:val="29"/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将关键信息安全要求与控制措施纳入合同或保密协议。</w:t>
      </w:r>
    </w:p>
    <w:p w14:paraId="750148C2">
      <w:pPr>
        <w:pStyle w:val="30"/>
        <w:bidi w:val="0"/>
        <w:rPr>
          <w:rFonts w:hint="default"/>
          <w:lang w:val="en-US" w:eastAsia="zh-CN"/>
        </w:rPr>
      </w:pPr>
      <w:bookmarkStart w:id="11" w:name="_Toc17891"/>
      <w:r>
        <w:rPr>
          <w:rFonts w:hint="default"/>
          <w:lang w:val="en-US" w:eastAsia="zh-CN"/>
        </w:rPr>
        <w:t>合同管理</w:t>
      </w:r>
      <w:bookmarkEnd w:id="11"/>
    </w:p>
    <w:p w14:paraId="67A3ECFD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采购部经理</w:t>
      </w:r>
      <w:r>
        <w:rPr>
          <w:rFonts w:hint="default"/>
          <w:lang w:val="en-US" w:eastAsia="zh-CN"/>
        </w:rPr>
        <w:t>负责管理合同及协议，并维护《合格供应商名录》中的关系记录；</w:t>
      </w:r>
    </w:p>
    <w:p w14:paraId="4A1E899B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所有合同签署前须经</w:t>
      </w:r>
      <w:r>
        <w:rPr>
          <w:rFonts w:hint="eastAsia"/>
          <w:lang w:val="en-US" w:eastAsia="zh-CN"/>
        </w:rPr>
        <w:t>总经理</w:t>
      </w:r>
      <w:r>
        <w:rPr>
          <w:rFonts w:hint="default"/>
          <w:lang w:val="en-US" w:eastAsia="zh-CN"/>
        </w:rPr>
        <w:t>审核确认；</w:t>
      </w:r>
    </w:p>
    <w:p w14:paraId="0B88387B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采购部经理</w:t>
      </w:r>
      <w:r>
        <w:rPr>
          <w:rFonts w:hint="default"/>
          <w:lang w:val="en-US" w:eastAsia="zh-CN"/>
        </w:rPr>
        <w:t>应每年至少进行一次合同符合性检查，确保业务需求与合同条款一致；</w:t>
      </w:r>
    </w:p>
    <w:p w14:paraId="7E96D518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所有合同变更需在满足客户需求的前提下进行；</w:t>
      </w:r>
    </w:p>
    <w:p w14:paraId="0EB7CE1A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发生合同纠纷时，</w:t>
      </w:r>
      <w:r>
        <w:rPr>
          <w:rFonts w:hint="eastAsia"/>
          <w:lang w:val="en-US" w:eastAsia="zh-CN"/>
        </w:rPr>
        <w:t>采购部经理</w:t>
      </w:r>
      <w:r>
        <w:rPr>
          <w:rFonts w:hint="default"/>
          <w:lang w:val="en-US" w:eastAsia="zh-CN"/>
        </w:rPr>
        <w:t>须按合同约定流程处理；</w:t>
      </w:r>
    </w:p>
    <w:p w14:paraId="29DD3950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遇服务结束、提前终止或转移时，</w:t>
      </w:r>
      <w:r>
        <w:rPr>
          <w:rFonts w:hint="eastAsia"/>
          <w:lang w:val="en-US" w:eastAsia="zh-CN"/>
        </w:rPr>
        <w:t>采购部经理</w:t>
      </w:r>
      <w:r>
        <w:rPr>
          <w:rFonts w:hint="default"/>
          <w:lang w:val="en-US" w:eastAsia="zh-CN"/>
        </w:rPr>
        <w:t>须按合同约定流程处理。</w:t>
      </w:r>
    </w:p>
    <w:p w14:paraId="5B5F8F44">
      <w:pPr>
        <w:pStyle w:val="30"/>
        <w:bidi w:val="0"/>
        <w:rPr>
          <w:rFonts w:hint="default"/>
          <w:lang w:val="en-US" w:eastAsia="zh-CN"/>
        </w:rPr>
      </w:pPr>
      <w:bookmarkStart w:id="12" w:name="_Toc13219"/>
      <w:r>
        <w:rPr>
          <w:rFonts w:hint="default"/>
          <w:lang w:val="en-US" w:eastAsia="zh-CN"/>
        </w:rPr>
        <w:t>供应商评价</w:t>
      </w:r>
      <w:bookmarkEnd w:id="12"/>
    </w:p>
    <w:p w14:paraId="03432CAE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每个服务周期初，</w:t>
      </w:r>
      <w:r>
        <w:rPr>
          <w:rFonts w:hint="eastAsia"/>
          <w:lang w:val="en-US" w:eastAsia="zh-CN"/>
        </w:rPr>
        <w:t>采购部经理</w:t>
      </w:r>
      <w:r>
        <w:rPr>
          <w:rFonts w:hint="default"/>
          <w:lang w:val="en-US" w:eastAsia="zh-CN"/>
        </w:rPr>
        <w:t>应依据服务合同与协议，参照《合格供应商名录》，对供应商进行至少年度评审。评审应涵盖产品质量、技术支持、合同执行、质量保证及售后服务等方面，并根据结果对供应商进行分级。同时记录改进措施，作为服务改进计划的输入。</w:t>
      </w:r>
    </w:p>
    <w:p w14:paraId="5B86ECFA">
      <w:pPr>
        <w:pStyle w:val="30"/>
        <w:bidi w:val="0"/>
        <w:rPr>
          <w:rFonts w:hint="default"/>
          <w:lang w:val="en-US" w:eastAsia="zh-CN"/>
        </w:rPr>
      </w:pPr>
      <w:bookmarkStart w:id="13" w:name="_Toc11180"/>
      <w:r>
        <w:rPr>
          <w:rFonts w:hint="default"/>
          <w:lang w:val="en-US" w:eastAsia="zh-CN"/>
        </w:rPr>
        <w:t>质量异常处理</w:t>
      </w:r>
      <w:bookmarkEnd w:id="13"/>
    </w:p>
    <w:p w14:paraId="6AA99AFD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当供应商供货质量出现波动时，</w:t>
      </w:r>
      <w:r>
        <w:rPr>
          <w:rFonts w:hint="eastAsia"/>
          <w:lang w:val="en-US" w:eastAsia="zh-CN"/>
        </w:rPr>
        <w:t>采购部</w:t>
      </w:r>
      <w:r>
        <w:rPr>
          <w:rFonts w:hint="default"/>
          <w:lang w:val="en-US" w:eastAsia="zh-CN"/>
        </w:rPr>
        <w:t>应组织进行现场工艺技术验证，分析原因并推动制定改善措施，相关结果须经双方书面确认。若发生重大质量事故造成损失，应依据质保金制度索赔。对整改不力、质量仍不稳定的供应商，应取消其合格供应商资格。</w:t>
      </w:r>
    </w:p>
    <w:p w14:paraId="788038EA">
      <w:pPr>
        <w:pStyle w:val="30"/>
        <w:bidi w:val="0"/>
        <w:rPr>
          <w:rFonts w:hint="default"/>
          <w:lang w:val="en-US" w:eastAsia="zh-CN"/>
        </w:rPr>
      </w:pPr>
      <w:bookmarkStart w:id="14" w:name="_Toc19495"/>
      <w:r>
        <w:rPr>
          <w:rFonts w:hint="default"/>
          <w:lang w:val="en-US" w:eastAsia="zh-CN"/>
        </w:rPr>
        <w:t>供应商变更</w:t>
      </w:r>
      <w:bookmarkEnd w:id="14"/>
    </w:p>
    <w:p w14:paraId="56E8BF97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所有供应商服务的变更均需执行变更管理流程，并重新评估其对业务信息、系统及过程的风险影响。变更管理涵盖以下三个方面：</w:t>
      </w:r>
    </w:p>
    <w:p w14:paraId="6E7D746A">
      <w:pPr>
        <w:pStyle w:val="29"/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供应商协议的变更；</w:t>
      </w:r>
    </w:p>
    <w:p w14:paraId="0FF67638">
      <w:pPr>
        <w:pStyle w:val="29"/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我公司发起的变更，包括：</w:t>
      </w:r>
    </w:p>
    <w:p w14:paraId="19DAA8EC">
      <w:pPr>
        <w:pStyle w:val="29"/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对现有服务的增强；</w:t>
      </w:r>
    </w:p>
    <w:p w14:paraId="2C5DCB3C">
      <w:pPr>
        <w:pStyle w:val="29"/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新应用与系统的开发；</w:t>
      </w:r>
    </w:p>
    <w:p w14:paraId="6C08A382">
      <w:pPr>
        <w:pStyle w:val="29"/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组织策略与规程的更新；</w:t>
      </w:r>
    </w:p>
    <w:p w14:paraId="451D28EC">
      <w:pPr>
        <w:pStyle w:val="29"/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为应对安全事件或改进安全而采取的新控制措施；</w:t>
      </w:r>
    </w:p>
    <w:p w14:paraId="0193E988">
      <w:pPr>
        <w:pStyle w:val="29"/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供应商发起的变更，包括：</w:t>
      </w:r>
    </w:p>
    <w:p w14:paraId="584162AB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网络变更与加强；</w:t>
      </w:r>
    </w:p>
    <w:p w14:paraId="0AC39830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新技术的使用；</w:t>
      </w:r>
    </w:p>
    <w:p w14:paraId="34AEFB01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新产品或版本的采用；</w:t>
      </w:r>
    </w:p>
    <w:p w14:paraId="25D4B3D6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开发工具与环境的变更；</w:t>
      </w:r>
    </w:p>
    <w:p w14:paraId="049B0071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服务设施地点的变更；</w:t>
      </w:r>
    </w:p>
    <w:p w14:paraId="041DCCD0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供应商主体变更；</w:t>
      </w:r>
    </w:p>
    <w:p w14:paraId="72E31B12">
      <w:pPr>
        <w:pStyle w:val="29"/>
        <w:numPr>
          <w:ilvl w:val="0"/>
          <w:numId w:val="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分包给其他供应商。</w:t>
      </w:r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1" w:name="_GoBack"/>
      <w:bookmarkEnd w:id="21"/>
      <w:bookmarkStart w:id="15" w:name="bookmark3"/>
      <w:bookmarkEnd w:id="15"/>
      <w:bookmarkStart w:id="16" w:name="_Toc17424"/>
      <w:bookmarkStart w:id="17" w:name="_Toc11171"/>
      <w:r>
        <w:rPr>
          <w:rStyle w:val="38"/>
          <w:rFonts w:hint="eastAsia" w:eastAsia="宋体"/>
          <w:lang w:val="en-US" w:eastAsia="zh-CN"/>
        </w:rPr>
        <w:t>附则</w:t>
      </w:r>
      <w:bookmarkEnd w:id="16"/>
      <w:bookmarkEnd w:id="17"/>
    </w:p>
    <w:p w14:paraId="17535BA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采购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18" w:name="bookmark14"/>
      <w:bookmarkEnd w:id="18"/>
      <w:bookmarkStart w:id="19" w:name="_Toc31325"/>
      <w:r>
        <w:rPr>
          <w:rFonts w:hint="eastAsia"/>
          <w:lang w:val="en-US" w:eastAsia="zh-CN"/>
        </w:rPr>
        <w:t>附件</w:t>
      </w:r>
      <w:bookmarkEnd w:id="19"/>
    </w:p>
    <w:p w14:paraId="78DA6493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20" w:name="_Toc30419"/>
      <w:r>
        <w:rPr>
          <w:rFonts w:hint="eastAsia"/>
          <w:lang w:val="en-US" w:eastAsia="zh-CN"/>
        </w:rPr>
        <w:t>记录</w:t>
      </w:r>
      <w:bookmarkEnd w:id="20"/>
    </w:p>
    <w:p w14:paraId="656629A7">
      <w:pPr>
        <w:pStyle w:val="39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《合格供应商名录》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37007B5"/>
    <w:multiLevelType w:val="singleLevel"/>
    <w:tmpl w:val="937007B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D2F726D3"/>
    <w:multiLevelType w:val="singleLevel"/>
    <w:tmpl w:val="D2F726D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A7AC91D"/>
    <w:multiLevelType w:val="singleLevel"/>
    <w:tmpl w:val="DA7AC91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E475A80E"/>
    <w:multiLevelType w:val="singleLevel"/>
    <w:tmpl w:val="E475A8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FC300126"/>
    <w:multiLevelType w:val="singleLevel"/>
    <w:tmpl w:val="FC30012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7">
    <w:nsid w:val="0E2CEBEC"/>
    <w:multiLevelType w:val="singleLevel"/>
    <w:tmpl w:val="0E2CEBE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1B5AB892"/>
    <w:multiLevelType w:val="singleLevel"/>
    <w:tmpl w:val="1B5AB8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261662C"/>
    <w:rsid w:val="026E6F9B"/>
    <w:rsid w:val="031C03B4"/>
    <w:rsid w:val="05573D16"/>
    <w:rsid w:val="05C8669A"/>
    <w:rsid w:val="07CE5003"/>
    <w:rsid w:val="08055CAB"/>
    <w:rsid w:val="0839318B"/>
    <w:rsid w:val="09615163"/>
    <w:rsid w:val="0AF810E2"/>
    <w:rsid w:val="0B13248D"/>
    <w:rsid w:val="0B930577"/>
    <w:rsid w:val="0CA84E57"/>
    <w:rsid w:val="0DC14423"/>
    <w:rsid w:val="0E4869E6"/>
    <w:rsid w:val="0EA33B28"/>
    <w:rsid w:val="100912AD"/>
    <w:rsid w:val="104D4694"/>
    <w:rsid w:val="112A43FB"/>
    <w:rsid w:val="119775A7"/>
    <w:rsid w:val="12062999"/>
    <w:rsid w:val="15A63162"/>
    <w:rsid w:val="160F7CF5"/>
    <w:rsid w:val="167A1613"/>
    <w:rsid w:val="16C265E3"/>
    <w:rsid w:val="170C7BDF"/>
    <w:rsid w:val="199A0D0F"/>
    <w:rsid w:val="1A264519"/>
    <w:rsid w:val="1AC27A2C"/>
    <w:rsid w:val="1B8D153C"/>
    <w:rsid w:val="1C026332"/>
    <w:rsid w:val="1CFA72C7"/>
    <w:rsid w:val="1D7B4B8F"/>
    <w:rsid w:val="1E360515"/>
    <w:rsid w:val="1F777037"/>
    <w:rsid w:val="209179EB"/>
    <w:rsid w:val="21617F9F"/>
    <w:rsid w:val="24AE2DCD"/>
    <w:rsid w:val="25626B9F"/>
    <w:rsid w:val="262C093B"/>
    <w:rsid w:val="26747E2C"/>
    <w:rsid w:val="27363334"/>
    <w:rsid w:val="279B1602"/>
    <w:rsid w:val="28862099"/>
    <w:rsid w:val="296511D8"/>
    <w:rsid w:val="2A0635A2"/>
    <w:rsid w:val="2A377AEF"/>
    <w:rsid w:val="2A6C0809"/>
    <w:rsid w:val="2B141C1D"/>
    <w:rsid w:val="2B9C4A12"/>
    <w:rsid w:val="2BC0763F"/>
    <w:rsid w:val="2D381E44"/>
    <w:rsid w:val="2E3D64AF"/>
    <w:rsid w:val="2E516CA5"/>
    <w:rsid w:val="2E9D013C"/>
    <w:rsid w:val="2F135073"/>
    <w:rsid w:val="2F4A02C4"/>
    <w:rsid w:val="2FA75F07"/>
    <w:rsid w:val="2FF80E15"/>
    <w:rsid w:val="301D1535"/>
    <w:rsid w:val="32C13470"/>
    <w:rsid w:val="33896EE1"/>
    <w:rsid w:val="34034EE6"/>
    <w:rsid w:val="366559E4"/>
    <w:rsid w:val="36785717"/>
    <w:rsid w:val="36F25E64"/>
    <w:rsid w:val="36FA4FFE"/>
    <w:rsid w:val="37BF1626"/>
    <w:rsid w:val="384A559C"/>
    <w:rsid w:val="39431617"/>
    <w:rsid w:val="3A3D6832"/>
    <w:rsid w:val="3B6875A8"/>
    <w:rsid w:val="3B6E533A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15B010F"/>
    <w:rsid w:val="426B25D4"/>
    <w:rsid w:val="429D0A4E"/>
    <w:rsid w:val="431A1904"/>
    <w:rsid w:val="43394480"/>
    <w:rsid w:val="43A318F9"/>
    <w:rsid w:val="442D371B"/>
    <w:rsid w:val="4441183E"/>
    <w:rsid w:val="4613720A"/>
    <w:rsid w:val="461865CE"/>
    <w:rsid w:val="4642189D"/>
    <w:rsid w:val="471A69C9"/>
    <w:rsid w:val="47432D89"/>
    <w:rsid w:val="47C00CCC"/>
    <w:rsid w:val="47E81FD1"/>
    <w:rsid w:val="4893018E"/>
    <w:rsid w:val="49C425C9"/>
    <w:rsid w:val="4A4F7F3F"/>
    <w:rsid w:val="4AA3483E"/>
    <w:rsid w:val="4AC42881"/>
    <w:rsid w:val="4AD909E8"/>
    <w:rsid w:val="4B644252"/>
    <w:rsid w:val="4C013661"/>
    <w:rsid w:val="4D343593"/>
    <w:rsid w:val="4ECA2430"/>
    <w:rsid w:val="4F540134"/>
    <w:rsid w:val="540A554E"/>
    <w:rsid w:val="54B725CE"/>
    <w:rsid w:val="54CD67D6"/>
    <w:rsid w:val="56DA1F05"/>
    <w:rsid w:val="57AC16EE"/>
    <w:rsid w:val="5840501E"/>
    <w:rsid w:val="5859544B"/>
    <w:rsid w:val="58956A46"/>
    <w:rsid w:val="58C8202C"/>
    <w:rsid w:val="592875B7"/>
    <w:rsid w:val="5A613113"/>
    <w:rsid w:val="5ADC59C5"/>
    <w:rsid w:val="5B597015"/>
    <w:rsid w:val="5BBB7799"/>
    <w:rsid w:val="5BC619FD"/>
    <w:rsid w:val="5C717B35"/>
    <w:rsid w:val="5D722610"/>
    <w:rsid w:val="5E133B7E"/>
    <w:rsid w:val="5E3B2A02"/>
    <w:rsid w:val="5E8425FB"/>
    <w:rsid w:val="5EE057B9"/>
    <w:rsid w:val="608C7E04"/>
    <w:rsid w:val="609E2607"/>
    <w:rsid w:val="60FF797D"/>
    <w:rsid w:val="62364D94"/>
    <w:rsid w:val="62853344"/>
    <w:rsid w:val="637B1AF3"/>
    <w:rsid w:val="63FE3A57"/>
    <w:rsid w:val="6457120A"/>
    <w:rsid w:val="65F22540"/>
    <w:rsid w:val="676A4358"/>
    <w:rsid w:val="67931B01"/>
    <w:rsid w:val="689A2A1B"/>
    <w:rsid w:val="69862A24"/>
    <w:rsid w:val="69B61AD7"/>
    <w:rsid w:val="69D9062E"/>
    <w:rsid w:val="6ADC556D"/>
    <w:rsid w:val="6B6421C7"/>
    <w:rsid w:val="6B7834E8"/>
    <w:rsid w:val="6B947BF6"/>
    <w:rsid w:val="6BCE07B8"/>
    <w:rsid w:val="6C635F46"/>
    <w:rsid w:val="6C7C0DB6"/>
    <w:rsid w:val="711710AD"/>
    <w:rsid w:val="7148395C"/>
    <w:rsid w:val="71D074AE"/>
    <w:rsid w:val="724F0D1A"/>
    <w:rsid w:val="72895FDA"/>
    <w:rsid w:val="72DC0914"/>
    <w:rsid w:val="747E1443"/>
    <w:rsid w:val="75A94A21"/>
    <w:rsid w:val="7695113D"/>
    <w:rsid w:val="77020109"/>
    <w:rsid w:val="77B07EAB"/>
    <w:rsid w:val="780F5B56"/>
    <w:rsid w:val="78CC6D3B"/>
    <w:rsid w:val="78DC469B"/>
    <w:rsid w:val="7A147095"/>
    <w:rsid w:val="7A170370"/>
    <w:rsid w:val="7AF366E7"/>
    <w:rsid w:val="7B734B9C"/>
    <w:rsid w:val="7C50660F"/>
    <w:rsid w:val="7D1E37CD"/>
    <w:rsid w:val="7DD86C30"/>
    <w:rsid w:val="7E631DD5"/>
    <w:rsid w:val="7E993157"/>
    <w:rsid w:val="7EA83C8C"/>
    <w:rsid w:val="7EC14D4E"/>
    <w:rsid w:val="7F45025C"/>
    <w:rsid w:val="7FB30CF2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1758</Words>
  <Characters>1837</Characters>
  <Lines>0</Lines>
  <Paragraphs>0</Paragraphs>
  <TotalTime>1</TotalTime>
  <ScaleCrop>false</ScaleCrop>
  <LinksUpToDate>false</LinksUpToDate>
  <CharactersWithSpaces>1892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2025-09-16T13:05:39Z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