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31324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9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618D0E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09A44731">
      <w:pPr>
        <w:pStyle w:val="25"/>
        <w:bidi w:val="0"/>
      </w:pPr>
      <w:bookmarkStart w:id="0" w:name="_Toc11720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75F58F43">
      <w:pPr>
        <w:pStyle w:val="26"/>
        <w:bidi w:val="0"/>
        <w:rPr>
          <w:rFonts w:hint="default"/>
          <w:lang w:val="en-US"/>
        </w:rPr>
      </w:pPr>
      <w:bookmarkStart w:id="1" w:name="_Toc18846"/>
      <w:r>
        <w:rPr>
          <w:rFonts w:hint="eastAsia"/>
          <w:lang w:val="en-US" w:eastAsia="zh-CN"/>
        </w:rPr>
        <w:t>交付管理制度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69B45A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3F38B710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429E5B38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2BCB70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44E6F09C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232A8DF0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7400B6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13D80D36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48984A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13E6A5C4">
      <w:r>
        <w:br w:type="page"/>
      </w:r>
    </w:p>
    <w:p w14:paraId="40A4ADC6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4474DC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7A1B0F34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20BD6F13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5C55413E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05594FB2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026E1BEC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3704BF3E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3072AA3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75CFD3F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30ABABB4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5C3BBAC1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188A6C31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78D52139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3B601FDC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69A215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38E2A20">
            <w:pPr>
              <w:pStyle w:val="28"/>
            </w:pPr>
          </w:p>
        </w:tc>
        <w:tc>
          <w:tcPr>
            <w:tcW w:w="919" w:type="dxa"/>
          </w:tcPr>
          <w:p w14:paraId="59C4F75B">
            <w:pPr>
              <w:pStyle w:val="28"/>
            </w:pPr>
          </w:p>
        </w:tc>
        <w:tc>
          <w:tcPr>
            <w:tcW w:w="2289" w:type="dxa"/>
          </w:tcPr>
          <w:p w14:paraId="286596DD">
            <w:pPr>
              <w:pStyle w:val="28"/>
            </w:pPr>
          </w:p>
        </w:tc>
        <w:tc>
          <w:tcPr>
            <w:tcW w:w="1148" w:type="dxa"/>
          </w:tcPr>
          <w:p w14:paraId="7394EECE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13057358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38003F6E">
            <w:pPr>
              <w:pStyle w:val="28"/>
            </w:pPr>
          </w:p>
        </w:tc>
      </w:tr>
      <w:tr w14:paraId="4B0F189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744E9EB">
            <w:pPr>
              <w:pStyle w:val="28"/>
            </w:pPr>
          </w:p>
        </w:tc>
        <w:tc>
          <w:tcPr>
            <w:tcW w:w="919" w:type="dxa"/>
          </w:tcPr>
          <w:p w14:paraId="30A881A1">
            <w:pPr>
              <w:pStyle w:val="28"/>
            </w:pPr>
          </w:p>
        </w:tc>
        <w:tc>
          <w:tcPr>
            <w:tcW w:w="2289" w:type="dxa"/>
          </w:tcPr>
          <w:p w14:paraId="62058A13">
            <w:pPr>
              <w:pStyle w:val="28"/>
            </w:pPr>
          </w:p>
        </w:tc>
        <w:tc>
          <w:tcPr>
            <w:tcW w:w="1148" w:type="dxa"/>
          </w:tcPr>
          <w:p w14:paraId="2E00DDB3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7EA135EF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4DE86DE3">
            <w:pPr>
              <w:pStyle w:val="28"/>
            </w:pPr>
          </w:p>
        </w:tc>
      </w:tr>
      <w:tr w14:paraId="249ED7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57BCF7E7">
            <w:pPr>
              <w:pStyle w:val="28"/>
            </w:pPr>
          </w:p>
        </w:tc>
        <w:tc>
          <w:tcPr>
            <w:tcW w:w="919" w:type="dxa"/>
          </w:tcPr>
          <w:p w14:paraId="7EAA64ED">
            <w:pPr>
              <w:pStyle w:val="28"/>
            </w:pPr>
          </w:p>
        </w:tc>
        <w:tc>
          <w:tcPr>
            <w:tcW w:w="2289" w:type="dxa"/>
          </w:tcPr>
          <w:p w14:paraId="36694D7B">
            <w:pPr>
              <w:pStyle w:val="28"/>
            </w:pPr>
          </w:p>
        </w:tc>
        <w:tc>
          <w:tcPr>
            <w:tcW w:w="1148" w:type="dxa"/>
          </w:tcPr>
          <w:p w14:paraId="08D24609">
            <w:pPr>
              <w:pStyle w:val="28"/>
            </w:pPr>
          </w:p>
        </w:tc>
        <w:tc>
          <w:tcPr>
            <w:tcW w:w="1150" w:type="dxa"/>
          </w:tcPr>
          <w:p w14:paraId="33CCA89C">
            <w:pPr>
              <w:pStyle w:val="28"/>
            </w:pPr>
          </w:p>
        </w:tc>
        <w:tc>
          <w:tcPr>
            <w:tcW w:w="1240" w:type="dxa"/>
          </w:tcPr>
          <w:p w14:paraId="44CB9CD4">
            <w:pPr>
              <w:pStyle w:val="28"/>
            </w:pPr>
          </w:p>
        </w:tc>
      </w:tr>
      <w:tr w14:paraId="6CC64F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42A4D02">
            <w:pPr>
              <w:pStyle w:val="28"/>
            </w:pPr>
          </w:p>
        </w:tc>
        <w:tc>
          <w:tcPr>
            <w:tcW w:w="919" w:type="dxa"/>
          </w:tcPr>
          <w:p w14:paraId="0201A532">
            <w:pPr>
              <w:pStyle w:val="28"/>
            </w:pPr>
          </w:p>
        </w:tc>
        <w:tc>
          <w:tcPr>
            <w:tcW w:w="2289" w:type="dxa"/>
          </w:tcPr>
          <w:p w14:paraId="257FB4A4">
            <w:pPr>
              <w:pStyle w:val="28"/>
            </w:pPr>
          </w:p>
        </w:tc>
        <w:tc>
          <w:tcPr>
            <w:tcW w:w="1148" w:type="dxa"/>
          </w:tcPr>
          <w:p w14:paraId="39F4335A">
            <w:pPr>
              <w:pStyle w:val="28"/>
            </w:pPr>
          </w:p>
        </w:tc>
        <w:tc>
          <w:tcPr>
            <w:tcW w:w="1150" w:type="dxa"/>
          </w:tcPr>
          <w:p w14:paraId="6F723984">
            <w:pPr>
              <w:pStyle w:val="28"/>
            </w:pPr>
          </w:p>
        </w:tc>
        <w:tc>
          <w:tcPr>
            <w:tcW w:w="1240" w:type="dxa"/>
          </w:tcPr>
          <w:p w14:paraId="54C80B83">
            <w:pPr>
              <w:pStyle w:val="28"/>
            </w:pPr>
          </w:p>
        </w:tc>
      </w:tr>
      <w:tr w14:paraId="5CCAC71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3F767906">
            <w:pPr>
              <w:pStyle w:val="28"/>
            </w:pPr>
          </w:p>
        </w:tc>
        <w:tc>
          <w:tcPr>
            <w:tcW w:w="919" w:type="dxa"/>
          </w:tcPr>
          <w:p w14:paraId="086C70A0">
            <w:pPr>
              <w:pStyle w:val="28"/>
            </w:pPr>
          </w:p>
        </w:tc>
        <w:tc>
          <w:tcPr>
            <w:tcW w:w="2289" w:type="dxa"/>
          </w:tcPr>
          <w:p w14:paraId="2E517F43">
            <w:pPr>
              <w:pStyle w:val="28"/>
            </w:pPr>
          </w:p>
        </w:tc>
        <w:tc>
          <w:tcPr>
            <w:tcW w:w="1148" w:type="dxa"/>
          </w:tcPr>
          <w:p w14:paraId="4A6D8AEA">
            <w:pPr>
              <w:pStyle w:val="28"/>
            </w:pPr>
          </w:p>
        </w:tc>
        <w:tc>
          <w:tcPr>
            <w:tcW w:w="1150" w:type="dxa"/>
          </w:tcPr>
          <w:p w14:paraId="3AEBA4A9">
            <w:pPr>
              <w:pStyle w:val="28"/>
            </w:pPr>
          </w:p>
        </w:tc>
        <w:tc>
          <w:tcPr>
            <w:tcW w:w="1240" w:type="dxa"/>
          </w:tcPr>
          <w:p w14:paraId="4CCB29ED">
            <w:pPr>
              <w:pStyle w:val="28"/>
            </w:pPr>
          </w:p>
        </w:tc>
      </w:tr>
    </w:tbl>
    <w:p w14:paraId="30CB4EC0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AB197C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B44043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_Toc11720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_Toc11720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30C9E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_Toc18846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交付管理制度</w:t>
          </w:r>
          <w:r>
            <w:tab/>
          </w:r>
          <w:r>
            <w:fldChar w:fldCharType="begin"/>
          </w:r>
          <w:r>
            <w:instrText xml:space="preserve"> PAGEREF _Toc18846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7A08A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_Toc12429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_Toc12429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1DA7ED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_Toc6554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_Toc6554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996F1A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_Toc23891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_Toc23891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BECB4F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_Toc19519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_Toc19519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55A2EA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_Toc27944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_Toc27944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611740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_Toc11669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运维部经理</w:t>
          </w:r>
          <w:r>
            <w:tab/>
          </w:r>
          <w:r>
            <w:fldChar w:fldCharType="begin"/>
          </w:r>
          <w:r>
            <w:instrText xml:space="preserve"> PAGEREF _Toc11669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E2ACBE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_Toc32326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运维项目经理</w:t>
          </w:r>
          <w:r>
            <w:tab/>
          </w:r>
          <w:r>
            <w:fldChar w:fldCharType="begin"/>
          </w:r>
          <w:r>
            <w:instrText xml:space="preserve"> PAGEREF _Toc32326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00F78E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_Toc9212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质量部经理</w:t>
          </w:r>
          <w:r>
            <w:tab/>
          </w:r>
          <w:r>
            <w:fldChar w:fldCharType="begin"/>
          </w:r>
          <w:r>
            <w:instrText xml:space="preserve"> PAGEREF _Toc9212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4FE69A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_Toc17007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运维实施工程师</w:t>
          </w:r>
          <w:r>
            <w:tab/>
          </w:r>
          <w:r>
            <w:fldChar w:fldCharType="begin"/>
          </w:r>
          <w:r>
            <w:instrText xml:space="preserve"> PAGEREF _Toc17007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AD90F2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_Toc29574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交付构成与管理</w:t>
          </w:r>
          <w:r>
            <w:tab/>
          </w:r>
          <w:r>
            <w:fldChar w:fldCharType="begin"/>
          </w:r>
          <w:r>
            <w:instrText xml:space="preserve"> PAGEREF _Toc29574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DE1D33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_Toc18782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交付管理</w:t>
          </w:r>
          <w:r>
            <w:tab/>
          </w:r>
          <w:r>
            <w:fldChar w:fldCharType="begin"/>
          </w:r>
          <w:r>
            <w:instrText xml:space="preserve"> PAGEREF _Toc18782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8C2B032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_Toc8492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t>交付策划</w:t>
          </w:r>
          <w:r>
            <w:tab/>
          </w:r>
          <w:r>
            <w:fldChar w:fldCharType="begin"/>
          </w:r>
          <w:r>
            <w:instrText xml:space="preserve"> PAGEREF _Toc8492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E797BC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_Toc4011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5.1.2. </w:t>
          </w:r>
          <w:r>
            <w:t>交付实施</w:t>
          </w:r>
          <w:r>
            <w:tab/>
          </w:r>
          <w:r>
            <w:fldChar w:fldCharType="begin"/>
          </w:r>
          <w:r>
            <w:instrText xml:space="preserve"> PAGEREF _Toc4011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3748F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_Toc7332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5.1.3. </w:t>
          </w:r>
          <w:r>
            <w:t>交付检查</w:t>
          </w:r>
          <w:r>
            <w:tab/>
          </w:r>
          <w:r>
            <w:fldChar w:fldCharType="begin"/>
          </w:r>
          <w:r>
            <w:instrText xml:space="preserve"> PAGEREF _Toc7332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13046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_Toc32202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5.1.4. </w:t>
          </w:r>
          <w:r>
            <w:t>交付改进</w:t>
          </w:r>
          <w:r>
            <w:tab/>
          </w:r>
          <w:r>
            <w:fldChar w:fldCharType="begin"/>
          </w:r>
          <w:r>
            <w:instrText xml:space="preserve"> PAGEREF _Toc32202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D8A31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_Toc19931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交付内容</w:t>
          </w:r>
          <w:r>
            <w:tab/>
          </w:r>
          <w:r>
            <w:fldChar w:fldCharType="begin"/>
          </w:r>
          <w:r>
            <w:instrText xml:space="preserve"> PAGEREF _Toc19931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CD9AC2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_Toc8207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例行操作</w:t>
          </w:r>
          <w:r>
            <w:tab/>
          </w:r>
          <w:r>
            <w:fldChar w:fldCharType="begin"/>
          </w:r>
          <w:r>
            <w:instrText xml:space="preserve"> PAGEREF _Toc8207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615D3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_Toc19306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响应支持</w:t>
          </w:r>
          <w:r>
            <w:tab/>
          </w:r>
          <w:r>
            <w:fldChar w:fldCharType="begin"/>
          </w:r>
          <w:r>
            <w:instrText xml:space="preserve"> PAGEREF _Toc19306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2F8BC6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_Toc26599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5.2.3. </w:t>
          </w:r>
          <w:r>
            <w:t>优化改善</w:t>
          </w:r>
          <w:r>
            <w:tab/>
          </w:r>
          <w:r>
            <w:fldChar w:fldCharType="begin"/>
          </w:r>
          <w:r>
            <w:instrText xml:space="preserve"> PAGEREF _Toc26599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1834D3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_Toc27000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5.2.4. </w:t>
          </w:r>
          <w:r>
            <w:t>调研评估</w:t>
          </w:r>
          <w:r>
            <w:tab/>
          </w:r>
          <w:r>
            <w:fldChar w:fldCharType="begin"/>
          </w:r>
          <w:r>
            <w:instrText xml:space="preserve"> PAGEREF _Toc27000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88F606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6. 交付方式</w:t>
          </w:r>
          <w:r>
            <w:tab/>
          </w:r>
          <w:r>
            <w:fldChar w:fldCharType="begin"/>
          </w:r>
          <w:r>
            <w:instrText xml:space="preserve"> PAGEREF _Toc1945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B4C81C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_Toc3306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交付成果</w:t>
          </w:r>
          <w:r>
            <w:tab/>
          </w:r>
          <w:r>
            <w:fldChar w:fldCharType="begin"/>
          </w:r>
          <w:r>
            <w:instrText xml:space="preserve"> PAGEREF _Toc3306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2D866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_Toc17742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5.4.1. </w:t>
          </w:r>
          <w:r>
            <w:t>交付成果管理</w:t>
          </w:r>
          <w:r>
            <w:tab/>
          </w:r>
          <w:r>
            <w:fldChar w:fldCharType="begin"/>
          </w:r>
          <w:r>
            <w:instrText xml:space="preserve"> PAGEREF _Toc17742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77360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_Toc19662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5.4.2. </w:t>
          </w:r>
          <w:r>
            <w:t>例行操作成果</w:t>
          </w:r>
          <w:r>
            <w:tab/>
          </w:r>
          <w:r>
            <w:fldChar w:fldCharType="begin"/>
          </w:r>
          <w:r>
            <w:instrText xml:space="preserve"> PAGEREF _Toc19662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CA614C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_Toc18233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5.4.3. </w:t>
          </w:r>
          <w:r>
            <w:t>响应支持成果</w:t>
          </w:r>
          <w:r>
            <w:tab/>
          </w:r>
          <w:r>
            <w:fldChar w:fldCharType="begin"/>
          </w:r>
          <w:r>
            <w:instrText xml:space="preserve"> PAGEREF _Toc18233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F7E3CC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_Toc31844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5.4.4. </w:t>
          </w:r>
          <w:r>
            <w:t>优化改善成果</w:t>
          </w:r>
          <w:r>
            <w:tab/>
          </w:r>
          <w:r>
            <w:fldChar w:fldCharType="begin"/>
          </w:r>
          <w:r>
            <w:instrText xml:space="preserve"> PAGEREF _Toc31844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F7DB6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_Toc10768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考核指标</w:t>
          </w:r>
          <w:r>
            <w:tab/>
          </w:r>
          <w:r>
            <w:fldChar w:fldCharType="begin"/>
          </w:r>
          <w:r>
            <w:instrText xml:space="preserve"> PAGEREF _Toc10768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8242BF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_Toc18998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_Toc18998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928BDF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_Toc31797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规范性引用文件</w:t>
          </w:r>
          <w:r>
            <w:tab/>
          </w:r>
          <w:r>
            <w:fldChar w:fldCharType="begin"/>
          </w:r>
          <w:r>
            <w:instrText xml:space="preserve"> PAGEREF _Toc31797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AAE471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_Toc17687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_Toc17687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95ADA3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_Toc19264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_Toc19264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F421C49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44D55297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5B194E6A">
      <w:pPr>
        <w:pStyle w:val="29"/>
        <w:bidi w:val="0"/>
      </w:pPr>
      <w:bookmarkStart w:id="2" w:name="_Toc12429"/>
      <w:r>
        <w:t>目的</w:t>
      </w:r>
      <w:bookmarkEnd w:id="2"/>
    </w:p>
    <w:p w14:paraId="35E2BE03">
      <w:pPr>
        <w:pStyle w:val="30"/>
        <w:bidi w:val="0"/>
      </w:pPr>
      <w:r>
        <w:t>为了规范公司运维服务交付管理过程，通过交付策划、交付实施、交付检查和交付改进等管理活动，确保交付质量得到有效控制，以满足服务级别协议要求。</w:t>
      </w:r>
    </w:p>
    <w:p w14:paraId="405F7BE0">
      <w:pPr>
        <w:pStyle w:val="31"/>
        <w:bidi w:val="0"/>
      </w:pPr>
      <w:bookmarkStart w:id="3" w:name="_Toc6554"/>
      <w:r>
        <w:rPr>
          <w:rFonts w:hint="eastAsia"/>
          <w:lang w:val="en-US" w:eastAsia="zh-CN"/>
        </w:rPr>
        <w:t>术语和定义</w:t>
      </w:r>
      <w:bookmarkEnd w:id="3"/>
    </w:p>
    <w:p w14:paraId="6C058D01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本标准制度中所涉及的与交付管理相关的主要术语的定义如表1-1所示</w:t>
      </w:r>
    </w:p>
    <w:p w14:paraId="5D6E2A0A">
      <w:pPr>
        <w:pStyle w:val="30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表 \* ARABIC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主要术语定义</w:t>
      </w:r>
    </w:p>
    <w:tbl>
      <w:tblPr>
        <w:tblStyle w:val="27"/>
        <w:tblW w:w="900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7"/>
        <w:gridCol w:w="990"/>
        <w:gridCol w:w="5457"/>
      </w:tblGrid>
      <w:tr w14:paraId="2D149CE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557" w:type="dxa"/>
          </w:tcPr>
          <w:p w14:paraId="529EBDA9">
            <w:pPr>
              <w:spacing w:before="178" w:line="219" w:lineRule="auto"/>
              <w:ind w:left="10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术语</w:t>
            </w:r>
          </w:p>
        </w:tc>
        <w:tc>
          <w:tcPr>
            <w:tcW w:w="990" w:type="dxa"/>
          </w:tcPr>
          <w:p w14:paraId="329FEB97">
            <w:pPr>
              <w:spacing w:before="177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缩略词</w:t>
            </w:r>
          </w:p>
        </w:tc>
        <w:tc>
          <w:tcPr>
            <w:tcW w:w="5457" w:type="dxa"/>
          </w:tcPr>
          <w:p w14:paraId="04F569EA">
            <w:pPr>
              <w:spacing w:before="177" w:line="220" w:lineRule="auto"/>
              <w:ind w:left="24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定义</w:t>
            </w:r>
          </w:p>
        </w:tc>
      </w:tr>
      <w:tr w14:paraId="1F27D8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8" w:hRule="atLeast"/>
        </w:trPr>
        <w:tc>
          <w:tcPr>
            <w:tcW w:w="2557" w:type="dxa"/>
          </w:tcPr>
          <w:p w14:paraId="21226F1E">
            <w:pPr>
              <w:pStyle w:val="28"/>
              <w:spacing w:line="271" w:lineRule="auto"/>
            </w:pPr>
          </w:p>
          <w:p w14:paraId="1EA0E589">
            <w:pPr>
              <w:spacing w:before="79" w:line="219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运行维护服务交付</w:t>
            </w:r>
          </w:p>
        </w:tc>
        <w:tc>
          <w:tcPr>
            <w:tcW w:w="990" w:type="dxa"/>
          </w:tcPr>
          <w:p w14:paraId="3FAE09A2">
            <w:pPr>
              <w:pStyle w:val="28"/>
              <w:spacing w:line="271" w:lineRule="auto"/>
            </w:pPr>
          </w:p>
          <w:p w14:paraId="135BFC74">
            <w:pPr>
              <w:spacing w:before="79" w:line="219" w:lineRule="auto"/>
              <w:ind w:left="26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交付</w:t>
            </w:r>
          </w:p>
        </w:tc>
        <w:tc>
          <w:tcPr>
            <w:tcW w:w="5457" w:type="dxa"/>
          </w:tcPr>
          <w:p w14:paraId="2682792F">
            <w:pPr>
              <w:spacing w:before="195" w:line="242" w:lineRule="auto"/>
              <w:ind w:left="116" w:right="102" w:hanging="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>供方在服务级别协议有效期内向需方提供服务级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别协 议中承诺的运行维护服务。</w:t>
            </w:r>
          </w:p>
        </w:tc>
      </w:tr>
      <w:tr w14:paraId="46F59A0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2557" w:type="dxa"/>
          </w:tcPr>
          <w:p w14:paraId="7F330DC2">
            <w:pPr>
              <w:spacing w:before="196" w:line="219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运行维护服务供方</w:t>
            </w:r>
          </w:p>
        </w:tc>
        <w:tc>
          <w:tcPr>
            <w:tcW w:w="990" w:type="dxa"/>
          </w:tcPr>
          <w:p w14:paraId="5B6E10B1">
            <w:pPr>
              <w:spacing w:before="196" w:line="219" w:lineRule="auto"/>
              <w:ind w:left="2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供方</w:t>
            </w:r>
          </w:p>
        </w:tc>
        <w:tc>
          <w:tcPr>
            <w:tcW w:w="5457" w:type="dxa"/>
          </w:tcPr>
          <w:p w14:paraId="64F3594E">
            <w:pPr>
              <w:spacing w:before="196" w:line="219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提供运行维护服务的内、外部组织或机构。</w:t>
            </w:r>
          </w:p>
        </w:tc>
      </w:tr>
      <w:tr w14:paraId="3352AE6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2557" w:type="dxa"/>
          </w:tcPr>
          <w:p w14:paraId="448F83E2">
            <w:pPr>
              <w:spacing w:before="220" w:line="219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运行维护服务需方</w:t>
            </w:r>
          </w:p>
        </w:tc>
        <w:tc>
          <w:tcPr>
            <w:tcW w:w="990" w:type="dxa"/>
          </w:tcPr>
          <w:p w14:paraId="28282C7B">
            <w:pPr>
              <w:spacing w:before="220" w:line="220" w:lineRule="auto"/>
              <w:ind w:left="27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2"/>
                <w:sz w:val="24"/>
                <w:szCs w:val="24"/>
              </w:rPr>
              <w:t>需方</w:t>
            </w:r>
          </w:p>
        </w:tc>
        <w:tc>
          <w:tcPr>
            <w:tcW w:w="5457" w:type="dxa"/>
          </w:tcPr>
          <w:p w14:paraId="55715F2F">
            <w:pPr>
              <w:spacing w:before="219" w:line="219" w:lineRule="auto"/>
              <w:ind w:left="1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需要运行维护服务的组织或机构。</w:t>
            </w:r>
          </w:p>
        </w:tc>
      </w:tr>
      <w:tr w14:paraId="5E2D97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2557" w:type="dxa"/>
            <w:shd w:val="clear" w:color="auto" w:fill="auto"/>
          </w:tcPr>
          <w:p w14:paraId="08F7C08A">
            <w:pPr>
              <w:spacing w:before="206" w:line="219" w:lineRule="auto"/>
              <w:ind w:left="80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例行操作</w:t>
            </w:r>
          </w:p>
        </w:tc>
        <w:tc>
          <w:tcPr>
            <w:tcW w:w="990" w:type="dxa"/>
            <w:shd w:val="clear" w:color="auto" w:fill="auto"/>
          </w:tcPr>
          <w:p w14:paraId="3CB23296">
            <w:pPr>
              <w:spacing w:before="206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5457" w:type="dxa"/>
            <w:shd w:val="clear" w:color="auto" w:fill="auto"/>
          </w:tcPr>
          <w:p w14:paraId="6CBE8B65">
            <w:pPr>
              <w:spacing w:before="49" w:line="226" w:lineRule="auto"/>
              <w:ind w:left="114" w:leftChars="0" w:right="107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供方日常提供的预定服务，如巡检、监控、备份和测试等。</w:t>
            </w:r>
          </w:p>
        </w:tc>
      </w:tr>
      <w:tr w14:paraId="3CD3503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</w:tcPr>
          <w:p w14:paraId="0397FF45">
            <w:pPr>
              <w:spacing w:before="195" w:line="219" w:lineRule="auto"/>
              <w:ind w:left="81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响应支持</w:t>
            </w:r>
          </w:p>
        </w:tc>
        <w:tc>
          <w:tcPr>
            <w:tcW w:w="0" w:type="auto"/>
            <w:shd w:val="clear" w:color="auto" w:fill="auto"/>
          </w:tcPr>
          <w:p w14:paraId="0A8B99A2">
            <w:pPr>
              <w:spacing w:before="194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</w:tcPr>
          <w:p w14:paraId="75E97966">
            <w:pPr>
              <w:spacing w:before="40" w:line="225" w:lineRule="auto"/>
              <w:ind w:left="117" w:leftChars="0" w:right="107" w:rightChars="0" w:hanging="3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供方对服务请求或故障申报提供的即时服务，如突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发事件处理等。</w:t>
            </w:r>
          </w:p>
        </w:tc>
      </w:tr>
      <w:tr w14:paraId="32DAAC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</w:tcPr>
          <w:p w14:paraId="37681A41">
            <w:pPr>
              <w:spacing w:before="196" w:line="219" w:lineRule="auto"/>
              <w:ind w:left="80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优化改善</w:t>
            </w:r>
          </w:p>
        </w:tc>
        <w:tc>
          <w:tcPr>
            <w:tcW w:w="0" w:type="auto"/>
            <w:shd w:val="clear" w:color="auto" w:fill="auto"/>
          </w:tcPr>
          <w:p w14:paraId="37F27147">
            <w:pPr>
              <w:spacing w:before="195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</w:tcPr>
          <w:p w14:paraId="34BDF04E">
            <w:pPr>
              <w:spacing w:before="40" w:line="225" w:lineRule="auto"/>
              <w:ind w:left="114" w:leftChars="0" w:right="102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>供方对运行维护服务对象提供功能和性能的调优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服务，如数据库优化、网络优化等。</w:t>
            </w:r>
          </w:p>
        </w:tc>
      </w:tr>
      <w:tr w14:paraId="291C6F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</w:tcPr>
          <w:p w14:paraId="0248A149">
            <w:pPr>
              <w:pStyle w:val="28"/>
              <w:spacing w:line="430" w:lineRule="auto"/>
            </w:pPr>
          </w:p>
          <w:p w14:paraId="634B5C2D">
            <w:pPr>
              <w:spacing w:before="78" w:line="218" w:lineRule="auto"/>
              <w:ind w:left="8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调研评估</w:t>
            </w:r>
          </w:p>
        </w:tc>
        <w:tc>
          <w:tcPr>
            <w:tcW w:w="0" w:type="auto"/>
            <w:shd w:val="clear" w:color="auto" w:fill="auto"/>
          </w:tcPr>
          <w:p w14:paraId="202ED8EB">
            <w:pPr>
              <w:pStyle w:val="28"/>
              <w:spacing w:line="430" w:lineRule="auto"/>
            </w:pPr>
          </w:p>
          <w:p w14:paraId="15DA1C5B">
            <w:pPr>
              <w:spacing w:before="78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</w:tcPr>
          <w:p w14:paraId="3221316B">
            <w:pPr>
              <w:spacing w:before="198" w:line="241" w:lineRule="auto"/>
              <w:ind w:left="113" w:leftChars="0" w:right="102" w:right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>供方通过对运行维护服务对象的调查研究或分析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评价，给出报告或建议。如系统调研、IT</w:t>
            </w:r>
            <w:r>
              <w:rPr>
                <w:rFonts w:ascii="宋体" w:hAnsi="宋体" w:eastAsia="宋体" w:cs="宋体"/>
                <w:spacing w:val="-3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连续性评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估等。</w:t>
            </w:r>
          </w:p>
        </w:tc>
      </w:tr>
      <w:tr w14:paraId="5C2103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</w:tcPr>
          <w:p w14:paraId="338CDF84">
            <w:pPr>
              <w:spacing w:before="197" w:line="219" w:lineRule="auto"/>
              <w:ind w:left="32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SLA服务级别协议</w:t>
            </w:r>
          </w:p>
        </w:tc>
        <w:tc>
          <w:tcPr>
            <w:tcW w:w="0" w:type="auto"/>
            <w:shd w:val="clear" w:color="auto" w:fill="auto"/>
          </w:tcPr>
          <w:p w14:paraId="133A4F65">
            <w:pPr>
              <w:spacing w:before="232" w:line="185" w:lineRule="auto"/>
              <w:ind w:left="321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SLA</w:t>
            </w:r>
          </w:p>
        </w:tc>
        <w:tc>
          <w:tcPr>
            <w:tcW w:w="0" w:type="auto"/>
            <w:shd w:val="clear" w:color="auto" w:fill="auto"/>
          </w:tcPr>
          <w:p w14:paraId="177CB60E">
            <w:pPr>
              <w:spacing w:before="40" w:line="224" w:lineRule="auto"/>
              <w:ind w:left="119" w:leftChars="0" w:right="102" w:rightChars="0" w:hanging="5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>运行维护服务供方与需方之间签署的描述符合和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约定服务级别的协议。</w:t>
            </w:r>
          </w:p>
        </w:tc>
      </w:tr>
      <w:tr w14:paraId="0432B09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</w:tcPr>
          <w:p w14:paraId="25CEE21A">
            <w:pPr>
              <w:pStyle w:val="28"/>
              <w:spacing w:line="276" w:lineRule="auto"/>
            </w:pPr>
          </w:p>
          <w:p w14:paraId="3333275B">
            <w:pPr>
              <w:spacing w:before="78" w:line="219" w:lineRule="auto"/>
              <w:ind w:left="80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应急事件</w:t>
            </w:r>
          </w:p>
        </w:tc>
        <w:tc>
          <w:tcPr>
            <w:tcW w:w="0" w:type="auto"/>
            <w:shd w:val="clear" w:color="auto" w:fill="auto"/>
          </w:tcPr>
          <w:p w14:paraId="1FED2BF6">
            <w:pPr>
              <w:pStyle w:val="28"/>
              <w:spacing w:line="276" w:lineRule="auto"/>
            </w:pPr>
          </w:p>
          <w:p w14:paraId="7B03F5D9">
            <w:pPr>
              <w:spacing w:before="78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</w:tcPr>
          <w:p w14:paraId="3AB3F555">
            <w:pPr>
              <w:spacing w:before="200" w:line="242" w:lineRule="auto"/>
              <w:ind w:left="115" w:leftChars="0" w:right="107" w:rightChars="0" w:firstLine="5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导致或即将导致运行维护服务对象运行中断、运行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质 量降低，以及需要实施重点时段保障的事件。</w:t>
            </w:r>
          </w:p>
        </w:tc>
      </w:tr>
      <w:tr w14:paraId="636ED5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</w:tcPr>
          <w:p w14:paraId="45049859">
            <w:pPr>
              <w:pStyle w:val="28"/>
              <w:spacing w:line="277" w:lineRule="auto"/>
            </w:pPr>
          </w:p>
          <w:p w14:paraId="67D6D8B7">
            <w:pPr>
              <w:spacing w:before="78" w:line="220" w:lineRule="auto"/>
              <w:ind w:left="68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利益相关方</w:t>
            </w:r>
          </w:p>
        </w:tc>
        <w:tc>
          <w:tcPr>
            <w:tcW w:w="0" w:type="auto"/>
            <w:shd w:val="clear" w:color="auto" w:fill="auto"/>
          </w:tcPr>
          <w:p w14:paraId="66DF2072">
            <w:pPr>
              <w:pStyle w:val="28"/>
              <w:spacing w:line="277" w:lineRule="auto"/>
            </w:pPr>
          </w:p>
          <w:p w14:paraId="35304257">
            <w:pPr>
              <w:spacing w:before="78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</w:tcPr>
          <w:p w14:paraId="3A623EDD">
            <w:pPr>
              <w:spacing w:before="200" w:line="242" w:lineRule="auto"/>
              <w:ind w:left="115" w:leftChars="0" w:right="107" w:rightChars="0" w:hanging="2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在组织的决策或活动中有重要利益的组织，包括服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务需方、服务供方、供应商等。</w:t>
            </w:r>
          </w:p>
        </w:tc>
      </w:tr>
    </w:tbl>
    <w:p w14:paraId="66B43F90">
      <w:pPr>
        <w:pStyle w:val="30"/>
        <w:bidi w:val="0"/>
        <w:rPr>
          <w:rFonts w:hint="default"/>
          <w:lang w:val="en-US" w:eastAsia="zh-CN"/>
        </w:rPr>
      </w:pPr>
    </w:p>
    <w:p w14:paraId="30DA8460">
      <w:pPr>
        <w:pStyle w:val="29"/>
        <w:bidi w:val="0"/>
        <w:rPr>
          <w:rFonts w:hint="eastAsia"/>
          <w:lang w:val="en-US" w:eastAsia="zh-CN"/>
        </w:rPr>
      </w:pPr>
      <w:bookmarkStart w:id="4" w:name="_Toc23891"/>
      <w:r>
        <w:rPr>
          <w:rFonts w:hint="eastAsia"/>
          <w:lang w:val="en-US" w:eastAsia="zh-CN"/>
        </w:rPr>
        <w:t>原则</w:t>
      </w:r>
      <w:bookmarkEnd w:id="4"/>
    </w:p>
    <w:p w14:paraId="723A302F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为确保交付管理工作的科学性、规范性和有效性，保障服务质量并持续提升客户满意度，特制定以下核心原则：</w:t>
      </w:r>
    </w:p>
    <w:p w14:paraId="071E0C57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客户导向原则</w:t>
      </w:r>
    </w:p>
    <w:p w14:paraId="710E966B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交付管理的最终目标是满足客户需求并创造价值。所有交付活动应以客户服务级别协议（SLA）为核心依据，主动管理客户期望，确保交付成果与客户业务目标保持一致。</w:t>
      </w:r>
    </w:p>
    <w:p w14:paraId="7EB45C9A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过程规范原则</w:t>
      </w:r>
    </w:p>
    <w:p w14:paraId="4A819AB2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所有服务交付活动必须遵循既定的管理流程和操作规范。推行标准化、流程化的交付模式，确保交付过程的可控、可预测和可追溯，减少对个体经验的依赖。</w:t>
      </w:r>
    </w:p>
    <w:p w14:paraId="577259E4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质量可控原则</w:t>
      </w:r>
    </w:p>
    <w:p w14:paraId="0BFFFCB6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交付质量是管理的生命线。应建立全面的质量评价体系，对交付过程中的关键活动、交付物及最终结果进行度量、监控和评审，确保交付质量符合既定标准。</w:t>
      </w:r>
    </w:p>
    <w:p w14:paraId="58F45F54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持续改进原则</w:t>
      </w:r>
    </w:p>
    <w:p w14:paraId="57652D23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交付管理是一个持续优化的过程。应定期收集交付过程中的数据、分析绩效指标、汲取经验教训，并将其应用于流程优化和服务改进，形成闭环管理，不断提升交付效率和效果。</w:t>
      </w:r>
    </w:p>
    <w:p w14:paraId="66CE4EE1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风险预控原则</w:t>
      </w:r>
    </w:p>
    <w:p w14:paraId="3951A293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坚持预防为主。对交付过程中可能出现的风险（如人员、资源、技术、安全等风险）进行前瞻性识别、评估和应对，制定应急预案，最大限度降低风险对交付目标的负面影响。</w:t>
      </w:r>
    </w:p>
    <w:p w14:paraId="7BEB156C">
      <w:pPr>
        <w:pStyle w:val="29"/>
        <w:bidi w:val="0"/>
      </w:pPr>
      <w:bookmarkStart w:id="5" w:name="_Toc19519"/>
      <w:r>
        <w:rPr>
          <w:rFonts w:hint="eastAsia"/>
          <w:lang w:val="en-US" w:eastAsia="zh-CN"/>
        </w:rPr>
        <w:t>适用</w:t>
      </w:r>
      <w:r>
        <w:t>范围</w:t>
      </w:r>
      <w:bookmarkEnd w:id="5"/>
    </w:p>
    <w:p w14:paraId="1354C80C">
      <w:pPr>
        <w:pStyle w:val="30"/>
        <w:bidi w:val="0"/>
      </w:pPr>
      <w:r>
        <w:t>本制度适用于公司在运维服务项目的交付管理，包括交付策划、交付实施、交付检查和交付改进等。适用于运维服务相关部门，主要包括：运维部、质量部、</w:t>
      </w:r>
      <w:r>
        <w:rPr>
          <w:rFonts w:hint="eastAsia"/>
          <w:lang w:val="en-US" w:eastAsia="zh-CN"/>
        </w:rPr>
        <w:t>人力部</w:t>
      </w:r>
      <w:r>
        <w:t>、</w:t>
      </w:r>
      <w:r>
        <w:rPr>
          <w:rFonts w:hint="eastAsia"/>
          <w:lang w:val="en-US" w:eastAsia="zh-CN"/>
        </w:rPr>
        <w:t>研发部和采购部</w:t>
      </w:r>
      <w:r>
        <w:t>等。</w:t>
      </w:r>
    </w:p>
    <w:p w14:paraId="561F6036">
      <w:pPr>
        <w:pStyle w:val="29"/>
        <w:bidi w:val="0"/>
        <w:rPr>
          <w:rFonts w:hint="eastAsia"/>
          <w:lang w:val="en-US" w:eastAsia="zh-CN"/>
        </w:rPr>
      </w:pPr>
      <w:bookmarkStart w:id="6" w:name="_Toc27944"/>
      <w:r>
        <w:rPr>
          <w:rFonts w:hint="eastAsia"/>
          <w:lang w:val="en-US" w:eastAsia="zh-CN"/>
        </w:rPr>
        <w:t>岗位职责</w:t>
      </w:r>
      <w:bookmarkEnd w:id="6"/>
    </w:p>
    <w:p w14:paraId="0FCD34A0">
      <w:pPr>
        <w:pStyle w:val="31"/>
        <w:bidi w:val="0"/>
        <w:rPr>
          <w:rFonts w:hint="eastAsia"/>
          <w:lang w:val="en-US" w:eastAsia="zh-CN"/>
        </w:rPr>
      </w:pPr>
      <w:bookmarkStart w:id="7" w:name="_Toc11669"/>
      <w:r>
        <w:rPr>
          <w:rFonts w:hint="eastAsia"/>
          <w:lang w:val="en-US" w:eastAsia="zh-CN"/>
        </w:rPr>
        <w:t>运维部经理</w:t>
      </w:r>
      <w:bookmarkEnd w:id="7"/>
    </w:p>
    <w:p w14:paraId="31AF261B">
      <w:pPr>
        <w:pStyle w:val="30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负责交付过程的管理，包括交付过程的策划、资源调配、监督和改进。</w:t>
      </w:r>
    </w:p>
    <w:p w14:paraId="72CEE357">
      <w:pPr>
        <w:pStyle w:val="31"/>
        <w:bidi w:val="0"/>
        <w:rPr>
          <w:rFonts w:hint="eastAsia"/>
          <w:lang w:val="en-US" w:eastAsia="zh-CN"/>
        </w:rPr>
      </w:pPr>
      <w:bookmarkStart w:id="8" w:name="_Toc32326"/>
      <w:r>
        <w:rPr>
          <w:rFonts w:hint="eastAsia"/>
          <w:lang w:val="en-US" w:eastAsia="zh-CN"/>
        </w:rPr>
        <w:t>运维项目经理</w:t>
      </w:r>
      <w:bookmarkEnd w:id="8"/>
    </w:p>
    <w:p w14:paraId="601B6B5F">
      <w:pPr>
        <w:pStyle w:val="30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负责项目管理，包括了项目组组建、项目组织、计划、沟通、监督控制、项目总结等的管理</w:t>
      </w:r>
    </w:p>
    <w:p w14:paraId="3EBCB1D2">
      <w:pPr>
        <w:pStyle w:val="31"/>
        <w:bidi w:val="0"/>
        <w:rPr>
          <w:rFonts w:hint="eastAsia"/>
          <w:lang w:val="en-US" w:eastAsia="zh-CN"/>
        </w:rPr>
      </w:pPr>
      <w:bookmarkStart w:id="9" w:name="_Toc9212"/>
      <w:r>
        <w:rPr>
          <w:rFonts w:hint="eastAsia"/>
          <w:lang w:val="en-US" w:eastAsia="zh-CN"/>
        </w:rPr>
        <w:t>质量部经理</w:t>
      </w:r>
      <w:bookmarkEnd w:id="9"/>
    </w:p>
    <w:p w14:paraId="5394E83B">
      <w:pPr>
        <w:pStyle w:val="30"/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负责项目质量的保证措施的执行，包括了客户满意度、客户投诉和项目质量监控等</w:t>
      </w:r>
    </w:p>
    <w:p w14:paraId="01B216F7">
      <w:pPr>
        <w:pStyle w:val="31"/>
        <w:bidi w:val="0"/>
        <w:rPr>
          <w:rFonts w:hint="default"/>
          <w:lang w:val="en-US" w:eastAsia="zh-CN"/>
        </w:rPr>
      </w:pPr>
      <w:bookmarkStart w:id="10" w:name="_Toc17007"/>
      <w:r>
        <w:rPr>
          <w:rFonts w:hint="eastAsia"/>
          <w:lang w:val="en-US" w:eastAsia="zh-CN"/>
        </w:rPr>
        <w:t>运维实施工程师</w:t>
      </w:r>
      <w:bookmarkEnd w:id="10"/>
    </w:p>
    <w:p w14:paraId="7B700052">
      <w:pPr>
        <w:pStyle w:val="30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负责项目现场的执行，主要包括了项目任务的执行</w:t>
      </w:r>
    </w:p>
    <w:p w14:paraId="78170824">
      <w:pPr>
        <w:pStyle w:val="29"/>
        <w:bidi w:val="0"/>
        <w:rPr>
          <w:rFonts w:hint="default"/>
          <w:lang w:val="en-US" w:eastAsia="zh-CN"/>
        </w:rPr>
      </w:pPr>
      <w:bookmarkStart w:id="11" w:name="_Toc29574"/>
      <w:r>
        <w:rPr>
          <w:rFonts w:hint="eastAsia"/>
          <w:lang w:val="en-US" w:eastAsia="zh-CN"/>
        </w:rPr>
        <w:t>交付构成与管理</w:t>
      </w:r>
      <w:bookmarkEnd w:id="11"/>
    </w:p>
    <w:p w14:paraId="6CE8A809">
      <w:pPr>
        <w:pStyle w:val="31"/>
        <w:bidi w:val="0"/>
        <w:rPr>
          <w:rFonts w:hint="default"/>
          <w:lang w:val="en-US" w:eastAsia="zh-CN"/>
        </w:rPr>
      </w:pPr>
      <w:bookmarkStart w:id="12" w:name="_Toc18782"/>
      <w:r>
        <w:rPr>
          <w:rFonts w:hint="eastAsia"/>
          <w:lang w:val="en-US" w:eastAsia="zh-CN"/>
        </w:rPr>
        <w:t>交付管理</w:t>
      </w:r>
      <w:bookmarkEnd w:id="12"/>
    </w:p>
    <w:p w14:paraId="36FCE1AB">
      <w:pPr>
        <w:spacing w:before="296" w:line="362" w:lineRule="auto"/>
        <w:ind w:left="28" w:firstLine="4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公司在向客户提供运维服务的过程中通过交付策划、交付实施、交付检查和</w:t>
      </w:r>
      <w:r>
        <w:rPr>
          <w:rFonts w:ascii="宋体" w:hAnsi="宋体" w:eastAsia="宋体" w:cs="宋体"/>
          <w:spacing w:val="-1"/>
          <w:sz w:val="24"/>
          <w:szCs w:val="24"/>
        </w:rPr>
        <w:t>交付改进等管理措施，确保交付质量得到有效</w:t>
      </w:r>
      <w:r>
        <w:rPr>
          <w:rFonts w:ascii="宋体" w:hAnsi="宋体" w:eastAsia="宋体" w:cs="宋体"/>
          <w:spacing w:val="-2"/>
          <w:sz w:val="24"/>
          <w:szCs w:val="24"/>
        </w:rPr>
        <w:t>控制，以达成服务级别协议要求。</w:t>
      </w:r>
    </w:p>
    <w:p w14:paraId="6EC1AD0E">
      <w:pPr>
        <w:pStyle w:val="32"/>
        <w:bidi w:val="0"/>
      </w:pPr>
      <w:bookmarkStart w:id="13" w:name="bookmark9"/>
      <w:bookmarkEnd w:id="13"/>
      <w:bookmarkStart w:id="14" w:name="_Toc8492"/>
      <w:r>
        <w:t>交付策划</w:t>
      </w:r>
      <w:bookmarkEnd w:id="14"/>
    </w:p>
    <w:p w14:paraId="33BA687B">
      <w:pPr>
        <w:pStyle w:val="30"/>
        <w:bidi w:val="0"/>
      </w:pPr>
      <w:r>
        <w:t>根据客户需求和公司自身能力，与客户协商签署服务级别协议。公司选择合适的人员组建运维团队，运维团队提前做好必要的交付准备，制定交付计划，确保服务正常提供。</w:t>
      </w:r>
    </w:p>
    <w:p w14:paraId="0EE635B8">
      <w:pPr>
        <w:pStyle w:val="30"/>
        <w:bidi w:val="0"/>
      </w:pPr>
      <w:r>
        <w:t>交付策划过程中应关注的要素包括：</w:t>
      </w:r>
    </w:p>
    <w:p w14:paraId="0B4472A8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依据服务目录与客户确认服务级别协议；</w:t>
      </w:r>
    </w:p>
    <w:p w14:paraId="67FB74E1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编制《服务交付计划》，包括交付实施计划、交付检查计划和交付改进计划；</w:t>
      </w:r>
    </w:p>
    <w:p w14:paraId="10057ED1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配备符合能力要求的管理人员和技术人员；</w:t>
      </w:r>
    </w:p>
    <w:p w14:paraId="142B25E6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明确职责分工、服务流程和关键技术要求；</w:t>
      </w:r>
    </w:p>
    <w:p w14:paraId="4CA8687F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准备必要的资源，如工具、服务台等；</w:t>
      </w:r>
    </w:p>
    <w:p w14:paraId="6074643E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明确服务交付过程中的安全要求，并采取保障措施，如签署保密协议等；</w:t>
      </w:r>
    </w:p>
    <w:p w14:paraId="3A8EB5AB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明确服务交付过程中可能存在的各种风险，制定《风险清单》、《风险规避计划》；</w:t>
      </w:r>
    </w:p>
    <w:p w14:paraId="0CB0D92B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与客户就必要信息达成共识，如工作计划、人员配备、投诉受理渠道及流程、考核等；</w:t>
      </w:r>
    </w:p>
    <w:p w14:paraId="07D091D8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与客户协商确定应急响应机制。</w:t>
      </w:r>
    </w:p>
    <w:p w14:paraId="6E6B5413">
      <w:pPr>
        <w:pStyle w:val="32"/>
        <w:bidi w:val="0"/>
      </w:pPr>
      <w:bookmarkStart w:id="15" w:name="bookmark10"/>
      <w:bookmarkEnd w:id="15"/>
      <w:bookmarkStart w:id="16" w:name="_Toc4011"/>
      <w:r>
        <w:t>交付实施</w:t>
      </w:r>
      <w:bookmarkEnd w:id="16"/>
    </w:p>
    <w:p w14:paraId="41D18CFD">
      <w:pPr>
        <w:pStyle w:val="30"/>
        <w:bidi w:val="0"/>
      </w:pPr>
      <w:r>
        <w:t>公司运维团队按照交付策划向客户提供运维服务，完成服务级别协议规定内容。</w:t>
      </w:r>
    </w:p>
    <w:p w14:paraId="3AED7EFD">
      <w:pPr>
        <w:pStyle w:val="30"/>
        <w:bidi w:val="0"/>
      </w:pPr>
      <w:r>
        <w:t>交付实施过程中应关注的要素包括：</w:t>
      </w:r>
    </w:p>
    <w:p w14:paraId="568DAA0D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按照交付策划的要求实施；</w:t>
      </w:r>
    </w:p>
    <w:p w14:paraId="07603E7A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实施过程中统计运维人员、资源、过程、技术及服务级别协议达成情况，对需要完善的方面及时改进。</w:t>
      </w:r>
    </w:p>
    <w:p w14:paraId="7666BD6C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保证关键信息及时传递到供需双方干系人，如</w:t>
      </w:r>
      <w:r>
        <w:rPr>
          <w:rFonts w:hint="eastAsia"/>
          <w:lang w:val="en-US" w:eastAsia="zh-CN"/>
        </w:rPr>
        <w:t>运维</w:t>
      </w:r>
      <w:r>
        <w:t>项目经理、上级主管、</w:t>
      </w:r>
      <w:r>
        <w:rPr>
          <w:rFonts w:hint="eastAsia"/>
          <w:lang w:val="en-US" w:eastAsia="zh-CN"/>
        </w:rPr>
        <w:t>研发部经理</w:t>
      </w:r>
      <w:r>
        <w:t>等；</w:t>
      </w:r>
    </w:p>
    <w:p w14:paraId="35D1FA71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按照管理要求和服务承诺提交服务报告（周报告、月报告、总结报告等）；</w:t>
      </w:r>
    </w:p>
    <w:p w14:paraId="52E6084C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在组织内建立并使用知识库，及时归档文件，分享经验；</w:t>
      </w:r>
    </w:p>
    <w:p w14:paraId="35DFC5E9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确保人员、操作、数据以及工具等符合交付策划中对安全的要求；</w:t>
      </w:r>
    </w:p>
    <w:p w14:paraId="392E8B72">
      <w:pPr>
        <w:pStyle w:val="32"/>
        <w:bidi w:val="0"/>
      </w:pPr>
      <w:bookmarkStart w:id="17" w:name="bookmark11"/>
      <w:bookmarkEnd w:id="17"/>
      <w:bookmarkStart w:id="18" w:name="_Toc7332"/>
      <w:r>
        <w:t>交付检查</w:t>
      </w:r>
      <w:bookmarkEnd w:id="18"/>
    </w:p>
    <w:p w14:paraId="24FD9E1C">
      <w:pPr>
        <w:pStyle w:val="30"/>
        <w:bidi w:val="0"/>
      </w:pPr>
      <w:r>
        <w:t>公司</w:t>
      </w:r>
      <w:r>
        <w:rPr>
          <w:rFonts w:hint="eastAsia"/>
          <w:lang w:val="en-US" w:eastAsia="zh-CN"/>
        </w:rPr>
        <w:t>质量部</w:t>
      </w:r>
      <w:r>
        <w:t>每季度一次通过交付策划与交付实施的对比检查，确认完成情况，填写《质量审核报告》，并对发现的问题提出改进建议。</w:t>
      </w:r>
    </w:p>
    <w:p w14:paraId="0AC723F9">
      <w:pPr>
        <w:pStyle w:val="30"/>
        <w:bidi w:val="0"/>
      </w:pPr>
      <w:r>
        <w:t>检查内容应关注的要素包括：</w:t>
      </w:r>
    </w:p>
    <w:p w14:paraId="1D9573CE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交付计划的实施情况；</w:t>
      </w:r>
    </w:p>
    <w:p w14:paraId="057E18A1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服务级别协议达成情况；</w:t>
      </w:r>
    </w:p>
    <w:p w14:paraId="6638B6B9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8"/>
          <w:sz w:val="24"/>
          <w:szCs w:val="24"/>
        </w:rPr>
        <w:t>资源使用情况；</w:t>
      </w:r>
    </w:p>
    <w:p w14:paraId="2A645C3F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人员工作情况；</w:t>
      </w:r>
    </w:p>
    <w:p w14:paraId="75EA4C35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交付过程的合规性；</w:t>
      </w:r>
    </w:p>
    <w:p w14:paraId="4F21C6B6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客户满意度；</w:t>
      </w:r>
    </w:p>
    <w:p w14:paraId="77C631B6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质量审核总结。</w:t>
      </w:r>
    </w:p>
    <w:p w14:paraId="26FE2906">
      <w:pPr>
        <w:pStyle w:val="32"/>
        <w:bidi w:val="0"/>
      </w:pPr>
      <w:bookmarkStart w:id="19" w:name="bookmark12"/>
      <w:bookmarkEnd w:id="19"/>
      <w:bookmarkStart w:id="20" w:name="_Toc32202"/>
      <w:r>
        <w:t>交付改进</w:t>
      </w:r>
      <w:bookmarkEnd w:id="20"/>
    </w:p>
    <w:p w14:paraId="6199CF54">
      <w:pPr>
        <w:pStyle w:val="30"/>
        <w:bidi w:val="0"/>
      </w:pPr>
      <w:r>
        <w:t>公司运维团队通过对交付各过程的总结分析，提出建议并改进，以提高效率，提升客户满意度。</w:t>
      </w:r>
    </w:p>
    <w:p w14:paraId="5108F705">
      <w:pPr>
        <w:pStyle w:val="30"/>
        <w:bidi w:val="0"/>
      </w:pPr>
      <w:r>
        <w:t>交付改进过程中应关注的要素包括：</w:t>
      </w:r>
    </w:p>
    <w:p w14:paraId="1412C5AE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分析服务交付过程，提出和实施改善建议；</w:t>
      </w:r>
    </w:p>
    <w:p w14:paraId="7125708C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分析和改善未达成服务级别协议情况；</w:t>
      </w:r>
    </w:p>
    <w:p w14:paraId="030FD7F4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分析和改善用户投诉情况；</w:t>
      </w:r>
    </w:p>
    <w:p w14:paraId="223A2A42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分析和改善用户回访的不满意情况；</w:t>
      </w:r>
    </w:p>
    <w:p w14:paraId="2797FB3D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分析服务过程，改善服务交付，挖掘服务价值；</w:t>
      </w:r>
    </w:p>
    <w:p w14:paraId="3874D1D0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建立内部主动服务改进机制，跟踪服务改善情况，完成《交付改进</w:t>
      </w:r>
      <w:r>
        <w:rPr>
          <w:rFonts w:ascii="宋体" w:hAnsi="宋体" w:eastAsia="宋体" w:cs="宋体"/>
          <w:spacing w:val="-4"/>
          <w:sz w:val="24"/>
          <w:szCs w:val="24"/>
        </w:rPr>
        <w:t>办法》；</w:t>
      </w:r>
    </w:p>
    <w:p w14:paraId="458C0CC3">
      <w:pPr>
        <w:pStyle w:val="30"/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hint="default" w:ascii="宋体" w:hAnsi="宋体" w:eastAsia="宋体" w:cs="宋体"/>
          <w:spacing w:val="-7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依据风险评估情况，更新《风险清单》和《风险规避计划》。</w:t>
      </w:r>
    </w:p>
    <w:p w14:paraId="5025C78B">
      <w:pPr>
        <w:pStyle w:val="31"/>
        <w:bidi w:val="0"/>
      </w:pPr>
      <w:bookmarkStart w:id="21" w:name="_Toc19931"/>
      <w:r>
        <w:t>交付内容</w:t>
      </w:r>
      <w:bookmarkEnd w:id="21"/>
    </w:p>
    <w:p w14:paraId="05633291">
      <w:pPr>
        <w:pStyle w:val="30"/>
        <w:bidi w:val="0"/>
      </w:pPr>
      <w:r>
        <w:t>公司运维团队提供的交付内容包括例行操作、响应支持、优化改善和调研评估等，以达成运维服务的服务级别协议要求。</w:t>
      </w:r>
    </w:p>
    <w:p w14:paraId="5185E06D">
      <w:pPr>
        <w:pStyle w:val="32"/>
        <w:bidi w:val="0"/>
      </w:pPr>
      <w:bookmarkStart w:id="22" w:name="_Toc8207"/>
      <w:r>
        <w:t>例行操作</w:t>
      </w:r>
      <w:bookmarkEnd w:id="22"/>
    </w:p>
    <w:p w14:paraId="6A1352B4">
      <w:pPr>
        <w:pStyle w:val="30"/>
        <w:bidi w:val="0"/>
      </w:pPr>
      <w:r>
        <w:t>例行操作过程中应关注的要素包括：</w:t>
      </w:r>
    </w:p>
    <w:p w14:paraId="2F592C2D">
      <w:pPr>
        <w:pStyle w:val="30"/>
        <w:numPr>
          <w:ilvl w:val="0"/>
          <w:numId w:val="11"/>
        </w:numPr>
        <w:bidi w:val="0"/>
        <w:ind w:left="425" w:leftChars="0" w:hanging="425" w:firstLineChars="0"/>
      </w:pPr>
      <w:r>
        <w:t>针对例行操作编写《例行操作工作计划》，如周计划、月计划等，至少包括：例行操作的交付目标、内容、范围、周期和人员安排；</w:t>
      </w:r>
    </w:p>
    <w:p w14:paraId="2BD3C89D">
      <w:pPr>
        <w:pStyle w:val="30"/>
        <w:numPr>
          <w:ilvl w:val="0"/>
          <w:numId w:val="11"/>
        </w:numPr>
        <w:bidi w:val="0"/>
        <w:ind w:left="425" w:leftChars="0" w:hanging="425" w:firstLineChars="0"/>
      </w:pPr>
      <w:r>
        <w:t>编制《例行操作指导手册》，如运维工具的操作手册、运维对象的操作手册等，并指定专人负责更新和完善。指导手册中应包括：</w:t>
      </w:r>
    </w:p>
    <w:p w14:paraId="6D008FA5">
      <w:pPr>
        <w:pStyle w:val="30"/>
        <w:numPr>
          <w:ilvl w:val="0"/>
          <w:numId w:val="12"/>
        </w:numPr>
        <w:bidi w:val="0"/>
        <w:ind w:left="845" w:leftChars="0" w:hanging="425" w:firstLineChars="0"/>
      </w:pPr>
      <w:r>
        <w:t>各项任务的操作步骤及说明；</w:t>
      </w:r>
    </w:p>
    <w:p w14:paraId="1DC6DD84">
      <w:pPr>
        <w:pStyle w:val="30"/>
        <w:numPr>
          <w:ilvl w:val="0"/>
          <w:numId w:val="12"/>
        </w:numPr>
        <w:bidi w:val="0"/>
        <w:ind w:left="845" w:leftChars="0" w:hanging="425" w:firstLineChars="0"/>
      </w:pPr>
      <w:r>
        <w:t>运行状态是否正常的判定标准；</w:t>
      </w:r>
    </w:p>
    <w:p w14:paraId="66ECB9C2">
      <w:pPr>
        <w:pStyle w:val="30"/>
        <w:numPr>
          <w:ilvl w:val="0"/>
          <w:numId w:val="12"/>
        </w:numPr>
        <w:bidi w:val="0"/>
        <w:ind w:left="845" w:leftChars="0" w:hanging="425" w:firstLineChars="0"/>
      </w:pPr>
      <w:r>
        <w:t>运行状态信息的记录要求；</w:t>
      </w:r>
    </w:p>
    <w:p w14:paraId="0698DC65">
      <w:pPr>
        <w:pStyle w:val="30"/>
        <w:numPr>
          <w:ilvl w:val="0"/>
          <w:numId w:val="12"/>
        </w:numPr>
        <w:bidi w:val="0"/>
        <w:ind w:left="845" w:leftChars="0" w:hanging="425" w:firstLineChars="0"/>
      </w:pPr>
      <w:r>
        <w:t>异常状况处置流程，包括角色定义、处置方法、流转过程和结束要求；</w:t>
      </w:r>
    </w:p>
    <w:p w14:paraId="55F5D886">
      <w:pPr>
        <w:pStyle w:val="30"/>
        <w:numPr>
          <w:ilvl w:val="0"/>
          <w:numId w:val="12"/>
        </w:numPr>
        <w:bidi w:val="0"/>
        <w:ind w:left="845" w:leftChars="0" w:hanging="425" w:firstLineChars="0"/>
      </w:pPr>
      <w:r>
        <w:t>例行操作报告模版。</w:t>
      </w:r>
    </w:p>
    <w:p w14:paraId="3DA14746">
      <w:pPr>
        <w:pStyle w:val="30"/>
        <w:numPr>
          <w:ilvl w:val="0"/>
          <w:numId w:val="11"/>
        </w:numPr>
        <w:bidi w:val="0"/>
        <w:ind w:left="425" w:leftChars="0" w:hanging="425" w:firstLineChars="0"/>
      </w:pPr>
      <w:r>
        <w:t>确保人员、操作、数据以及工具等符合安全的要求；</w:t>
      </w:r>
    </w:p>
    <w:p w14:paraId="64FC5F49">
      <w:pPr>
        <w:pStyle w:val="30"/>
        <w:numPr>
          <w:ilvl w:val="0"/>
          <w:numId w:val="11"/>
        </w:numPr>
        <w:bidi w:val="0"/>
        <w:ind w:left="425" w:leftChars="0" w:hanging="425" w:firstLineChars="0"/>
      </w:pPr>
      <w:r>
        <w:t>例行操作的数据及时归档，且便于查询。</w:t>
      </w:r>
    </w:p>
    <w:p w14:paraId="0C6A597D">
      <w:pPr>
        <w:pStyle w:val="32"/>
        <w:bidi w:val="0"/>
      </w:pPr>
      <w:bookmarkStart w:id="23" w:name="bookmark15"/>
      <w:bookmarkEnd w:id="23"/>
      <w:bookmarkStart w:id="24" w:name="_Toc19306"/>
      <w:r>
        <w:t>响应支持</w:t>
      </w:r>
      <w:bookmarkEnd w:id="24"/>
    </w:p>
    <w:p w14:paraId="660A4B7C">
      <w:pPr>
        <w:pStyle w:val="40"/>
        <w:bidi w:val="0"/>
      </w:pPr>
      <w:r>
        <w:t>响应支持过程中应关注的要素包括：</w:t>
      </w:r>
    </w:p>
    <w:p w14:paraId="4CEC0F38">
      <w:pPr>
        <w:pStyle w:val="40"/>
        <w:numPr>
          <w:ilvl w:val="0"/>
          <w:numId w:val="13"/>
        </w:numPr>
        <w:bidi w:val="0"/>
        <w:ind w:left="425" w:leftChars="0" w:hanging="425" w:firstLineChars="0"/>
      </w:pPr>
      <w:r>
        <w:t>公示受理的渠道，如电话、传真、邮件或网络方式等；</w:t>
      </w:r>
    </w:p>
    <w:p w14:paraId="3DA92475">
      <w:pPr>
        <w:pStyle w:val="40"/>
        <w:numPr>
          <w:ilvl w:val="0"/>
          <w:numId w:val="13"/>
        </w:numPr>
        <w:bidi w:val="0"/>
        <w:ind w:left="425" w:leftChars="0" w:hanging="425" w:firstLineChars="0"/>
      </w:pPr>
      <w:r>
        <w:t>严格按照服务承诺如工作时间、响应时间等进行响应和技术支持</w:t>
      </w:r>
    </w:p>
    <w:p w14:paraId="53B90AD0">
      <w:pPr>
        <w:pStyle w:val="40"/>
        <w:numPr>
          <w:ilvl w:val="0"/>
          <w:numId w:val="13"/>
        </w:numPr>
        <w:bidi w:val="0"/>
        <w:ind w:left="425" w:leftChars="0" w:hanging="425" w:firstLineChars="0"/>
      </w:pPr>
      <w:r>
        <w:t>与需方就响应级别、报警升级条件等内容达成共识；</w:t>
      </w:r>
    </w:p>
    <w:p w14:paraId="36E10ADD">
      <w:pPr>
        <w:pStyle w:val="40"/>
        <w:numPr>
          <w:ilvl w:val="0"/>
          <w:numId w:val="13"/>
        </w:numPr>
        <w:bidi w:val="0"/>
        <w:ind w:left="425" w:leftChars="0" w:hanging="425" w:firstLineChars="0"/>
      </w:pPr>
      <w:r>
        <w:t>在服务管理系统中记录响应支持的关键交付过程；</w:t>
      </w:r>
    </w:p>
    <w:p w14:paraId="085099D7">
      <w:pPr>
        <w:pStyle w:val="40"/>
        <w:numPr>
          <w:ilvl w:val="0"/>
          <w:numId w:val="13"/>
        </w:numPr>
        <w:bidi w:val="0"/>
        <w:ind w:left="425" w:leftChars="0" w:hanging="425" w:firstLineChars="0"/>
      </w:pPr>
      <w:r>
        <w:t>在需方同意的情况下结束支持；</w:t>
      </w:r>
    </w:p>
    <w:p w14:paraId="292A5649">
      <w:pPr>
        <w:pStyle w:val="40"/>
        <w:numPr>
          <w:ilvl w:val="0"/>
          <w:numId w:val="13"/>
        </w:numPr>
        <w:bidi w:val="0"/>
        <w:ind w:left="425" w:leftChars="0" w:hanging="425" w:firstLineChars="0"/>
      </w:pPr>
      <w:r>
        <w:t>制定多途径、高效的沟通机制。</w:t>
      </w:r>
    </w:p>
    <w:p w14:paraId="041899EB">
      <w:pPr>
        <w:pStyle w:val="32"/>
        <w:bidi w:val="0"/>
      </w:pPr>
      <w:bookmarkStart w:id="25" w:name="bookmark16"/>
      <w:bookmarkEnd w:id="25"/>
      <w:bookmarkStart w:id="26" w:name="_Toc26599"/>
      <w:r>
        <w:t>优化改善</w:t>
      </w:r>
      <w:bookmarkEnd w:id="26"/>
    </w:p>
    <w:p w14:paraId="4EA58A9C">
      <w:pPr>
        <w:pStyle w:val="40"/>
        <w:bidi w:val="0"/>
      </w:pPr>
      <w:r>
        <w:t>优化改善过程中应关注的要素包括：</w:t>
      </w:r>
    </w:p>
    <w:p w14:paraId="0D10D320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编写《优化改善建议方案》，方案中宜包含：</w:t>
      </w:r>
      <w:r>
        <w:rPr>
          <w:rFonts w:ascii="宋体" w:hAnsi="宋体" w:eastAsia="宋体" w:cs="宋体"/>
          <w:spacing w:val="-5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目标、内容、步骤、</w:t>
      </w:r>
      <w:r>
        <w:rPr>
          <w:rFonts w:ascii="宋体" w:hAnsi="宋体" w:eastAsia="宋体" w:cs="宋体"/>
          <w:spacing w:val="-1"/>
          <w:sz w:val="24"/>
          <w:szCs w:val="24"/>
        </w:rPr>
        <w:t>人员、预算、进度、考核指标、风险预案和回退方案；</w:t>
      </w:r>
    </w:p>
    <w:p w14:paraId="2428BA76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优化改善后应有观察期，观察期后并完成《优化改善总结报告》，</w:t>
      </w:r>
      <w:r>
        <w:rPr>
          <w:rFonts w:ascii="宋体" w:hAnsi="宋体" w:eastAsia="宋体" w:cs="宋体"/>
          <w:spacing w:val="-1"/>
          <w:sz w:val="24"/>
          <w:szCs w:val="24"/>
        </w:rPr>
        <w:t>通过建立基线和优化改善后的比较，量化指标确保服务的效果；</w:t>
      </w:r>
    </w:p>
    <w:p w14:paraId="7EECFECB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对遗留问题制定改进措施并跟进；</w:t>
      </w:r>
    </w:p>
    <w:p w14:paraId="05705055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确保人员、操作、数据以及工具等符合安全的要求。</w:t>
      </w:r>
    </w:p>
    <w:p w14:paraId="689B3419">
      <w:pPr>
        <w:pStyle w:val="32"/>
        <w:bidi w:val="0"/>
      </w:pPr>
      <w:bookmarkStart w:id="27" w:name="bookmark17"/>
      <w:bookmarkEnd w:id="27"/>
      <w:bookmarkStart w:id="28" w:name="_Toc27000"/>
      <w:r>
        <w:t>调研评估</w:t>
      </w:r>
      <w:bookmarkEnd w:id="28"/>
    </w:p>
    <w:p w14:paraId="7898D443">
      <w:pPr>
        <w:pStyle w:val="40"/>
        <w:bidi w:val="0"/>
      </w:pPr>
      <w:r>
        <w:t>调研评估过程中应关注的要素包括：</w:t>
      </w:r>
    </w:p>
    <w:p w14:paraId="4DF528FF">
      <w:pPr>
        <w:keepNext w:val="0"/>
        <w:keepLines w:val="0"/>
        <w:pageBreakBefore w:val="0"/>
        <w:widowControl/>
        <w:numPr>
          <w:ilvl w:val="0"/>
          <w:numId w:val="1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在调研评估开展前提供《调研评估计划》，包括目标、内容、步骤、</w:t>
      </w:r>
      <w:r>
        <w:rPr>
          <w:rFonts w:ascii="宋体" w:hAnsi="宋体" w:eastAsia="宋体" w:cs="宋体"/>
          <w:spacing w:val="-1"/>
          <w:sz w:val="24"/>
          <w:szCs w:val="24"/>
        </w:rPr>
        <w:t>人员、预算、进度、交付成果和沟通计划等；</w:t>
      </w:r>
    </w:p>
    <w:p w14:paraId="5EA33267">
      <w:pPr>
        <w:keepNext w:val="0"/>
        <w:keepLines w:val="0"/>
        <w:pageBreakBefore w:val="0"/>
        <w:widowControl/>
        <w:numPr>
          <w:ilvl w:val="0"/>
          <w:numId w:val="1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向客户提供符合要求的《调研评估报告》，评估报告中应包含现状、</w:t>
      </w:r>
      <w:r>
        <w:rPr>
          <w:rFonts w:ascii="宋体" w:hAnsi="宋体" w:eastAsia="宋体" w:cs="宋体"/>
          <w:spacing w:val="-2"/>
          <w:sz w:val="24"/>
          <w:szCs w:val="24"/>
        </w:rPr>
        <w:t>需求、过程和建议等内容；</w:t>
      </w:r>
    </w:p>
    <w:p w14:paraId="79D4C2D0">
      <w:pPr>
        <w:keepNext w:val="0"/>
        <w:keepLines w:val="0"/>
        <w:pageBreakBefore w:val="0"/>
        <w:widowControl/>
        <w:numPr>
          <w:ilvl w:val="0"/>
          <w:numId w:val="1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调研评估后应跟踪落地效果，并进行内部评审与需方评审，完成《调</w:t>
      </w:r>
      <w:r>
        <w:rPr>
          <w:rFonts w:ascii="宋体" w:hAnsi="宋体" w:eastAsia="宋体" w:cs="宋体"/>
          <w:spacing w:val="-1"/>
          <w:sz w:val="24"/>
          <w:szCs w:val="24"/>
        </w:rPr>
        <w:t>研评估报告评审表》；</w:t>
      </w:r>
    </w:p>
    <w:p w14:paraId="5C46A108">
      <w:pPr>
        <w:keepNext w:val="0"/>
        <w:keepLines w:val="0"/>
        <w:pageBreakBefore w:val="0"/>
        <w:widowControl/>
        <w:numPr>
          <w:ilvl w:val="0"/>
          <w:numId w:val="1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确保人员、操作、数据以及工具等符合安全的要求。</w:t>
      </w:r>
    </w:p>
    <w:p w14:paraId="0B387B95">
      <w:pPr>
        <w:pStyle w:val="31"/>
        <w:bidi w:val="0"/>
      </w:pPr>
      <w:bookmarkStart w:id="29" w:name="bookmark18"/>
      <w:bookmarkEnd w:id="29"/>
      <w:bookmarkStart w:id="30" w:name="_Toc1945"/>
      <w:r>
        <w:t>6. 交付方式</w:t>
      </w:r>
      <w:bookmarkEnd w:id="30"/>
    </w:p>
    <w:p w14:paraId="16965C03">
      <w:pPr>
        <w:pStyle w:val="40"/>
        <w:bidi w:val="0"/>
      </w:pPr>
      <w:r>
        <w:t>公司运维团队采用现场交付或远程交付的交付方式，确保运维服务的正常提</w:t>
      </w:r>
    </w:p>
    <w:p w14:paraId="0ACD0615">
      <w:pPr>
        <w:pStyle w:val="40"/>
        <w:bidi w:val="0"/>
      </w:pPr>
      <w:r>
        <w:t>供，以达成服务级别协议要求。交付过程中应关注的要素包括：</w:t>
      </w:r>
    </w:p>
    <w:p w14:paraId="09215FF2">
      <w:pPr>
        <w:keepNext w:val="0"/>
        <w:keepLines w:val="0"/>
        <w:pageBreakBefore w:val="0"/>
        <w:widowControl/>
        <w:numPr>
          <w:ilvl w:val="0"/>
          <w:numId w:val="1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交付各阶段所要完成的工作和要求应在规定的时间内告知运维工程</w:t>
      </w:r>
      <w:r>
        <w:rPr>
          <w:rFonts w:ascii="宋体" w:hAnsi="宋体" w:eastAsia="宋体" w:cs="宋体"/>
          <w:spacing w:val="2"/>
          <w:sz w:val="24"/>
          <w:szCs w:val="24"/>
        </w:rPr>
        <w:t>师和客户，并在必要时得到确认，包括任务清单、达成目标、时间</w:t>
      </w:r>
      <w:r>
        <w:rPr>
          <w:rFonts w:ascii="宋体" w:hAnsi="宋体" w:eastAsia="宋体" w:cs="宋体"/>
          <w:spacing w:val="-1"/>
          <w:sz w:val="24"/>
          <w:szCs w:val="24"/>
        </w:rPr>
        <w:t>周期、风险预估和管理要求；</w:t>
      </w:r>
    </w:p>
    <w:p w14:paraId="0FAE3C7D">
      <w:pPr>
        <w:keepNext w:val="0"/>
        <w:keepLines w:val="0"/>
        <w:pageBreakBefore w:val="0"/>
        <w:widowControl/>
        <w:numPr>
          <w:ilvl w:val="0"/>
          <w:numId w:val="1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应具备交付任务发布/接受、远程指导</w:t>
      </w:r>
      <w:r>
        <w:rPr>
          <w:rFonts w:ascii="宋体" w:hAnsi="宋体" w:eastAsia="宋体" w:cs="宋体"/>
          <w:spacing w:val="-6"/>
          <w:sz w:val="24"/>
          <w:szCs w:val="24"/>
        </w:rPr>
        <w:t>、交付成果上传、知识库查询、</w:t>
      </w:r>
      <w:r>
        <w:rPr>
          <w:rFonts w:ascii="宋体" w:hAnsi="宋体" w:eastAsia="宋体" w:cs="宋体"/>
          <w:spacing w:val="-1"/>
          <w:sz w:val="24"/>
          <w:szCs w:val="24"/>
        </w:rPr>
        <w:t>服务质量及时评价等提高交付效率的手段；</w:t>
      </w:r>
    </w:p>
    <w:p w14:paraId="110FD086">
      <w:pPr>
        <w:pStyle w:val="30"/>
        <w:keepNext w:val="0"/>
        <w:keepLines w:val="0"/>
        <w:pageBreakBefore w:val="0"/>
        <w:widowControl/>
        <w:numPr>
          <w:ilvl w:val="0"/>
          <w:numId w:val="1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rightChars="0" w:hanging="425" w:firstLineChars="0"/>
        <w:jc w:val="left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3"/>
          <w:sz w:val="24"/>
          <w:szCs w:val="24"/>
        </w:rPr>
        <w:t>对交付过程进行量化的数据统计分析，如服</w:t>
      </w:r>
      <w:r>
        <w:rPr>
          <w:rFonts w:ascii="宋体" w:hAnsi="宋体" w:eastAsia="宋体" w:cs="宋体"/>
          <w:spacing w:val="2"/>
          <w:sz w:val="24"/>
          <w:szCs w:val="24"/>
        </w:rPr>
        <w:t>务时间、服务级别协议</w:t>
      </w:r>
      <w:r>
        <w:rPr>
          <w:rFonts w:ascii="宋体" w:hAnsi="宋体" w:eastAsia="宋体" w:cs="宋体"/>
          <w:spacing w:val="-1"/>
          <w:sz w:val="24"/>
          <w:szCs w:val="24"/>
        </w:rPr>
        <w:t>达成情况、风险发生概率和影响、满意度等。</w:t>
      </w:r>
    </w:p>
    <w:p w14:paraId="69C50FEF">
      <w:pPr>
        <w:pStyle w:val="31"/>
        <w:bidi w:val="0"/>
      </w:pPr>
      <w:bookmarkStart w:id="31" w:name="_Toc3306"/>
      <w:r>
        <w:t>交付成果</w:t>
      </w:r>
      <w:bookmarkEnd w:id="31"/>
    </w:p>
    <w:p w14:paraId="431187C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公司运维团队在提供运维服务交付的过程中，需要向客户提供无形的（如状</w:t>
      </w:r>
      <w:r>
        <w:rPr>
          <w:rFonts w:ascii="宋体" w:hAnsi="宋体" w:eastAsia="宋体" w:cs="宋体"/>
          <w:spacing w:val="-3"/>
          <w:sz w:val="24"/>
          <w:szCs w:val="24"/>
        </w:rPr>
        <w:t>态恢复、性能提升等）或有形的（如过程记录、服务报告等）交付成果，以</w:t>
      </w:r>
      <w:r>
        <w:rPr>
          <w:rFonts w:ascii="宋体" w:hAnsi="宋体" w:eastAsia="宋体" w:cs="宋体"/>
          <w:spacing w:val="-4"/>
          <w:sz w:val="24"/>
          <w:szCs w:val="24"/>
        </w:rPr>
        <w:t>达成</w:t>
      </w:r>
      <w:r>
        <w:rPr>
          <w:rFonts w:ascii="宋体" w:hAnsi="宋体" w:eastAsia="宋体" w:cs="宋体"/>
          <w:spacing w:val="-2"/>
          <w:sz w:val="24"/>
          <w:szCs w:val="24"/>
        </w:rPr>
        <w:t>服务级别协议要求。</w:t>
      </w:r>
    </w:p>
    <w:p w14:paraId="71F269FD">
      <w:pPr>
        <w:pStyle w:val="32"/>
        <w:bidi w:val="0"/>
      </w:pPr>
      <w:bookmarkStart w:id="32" w:name="bookmark20"/>
      <w:bookmarkEnd w:id="32"/>
      <w:bookmarkStart w:id="33" w:name="_Toc17742"/>
      <w:r>
        <w:t>交付成果管理</w:t>
      </w:r>
      <w:bookmarkEnd w:id="33"/>
    </w:p>
    <w:p w14:paraId="1FE3A43F">
      <w:pPr>
        <w:pStyle w:val="40"/>
        <w:bidi w:val="0"/>
      </w:pPr>
      <w:r>
        <w:t>交付成果管理过程中应关注的要素包括：</w:t>
      </w:r>
    </w:p>
    <w:p w14:paraId="20C5C905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对成果的编制、审核、发布、归档等进行规范化全生命周期管理，</w:t>
      </w:r>
      <w:r>
        <w:rPr>
          <w:rFonts w:ascii="宋体" w:hAnsi="宋体" w:eastAsia="宋体" w:cs="宋体"/>
          <w:spacing w:val="-1"/>
          <w:sz w:val="24"/>
          <w:szCs w:val="24"/>
        </w:rPr>
        <w:t>对成果的访问编辑安全可控。</w:t>
      </w:r>
    </w:p>
    <w:p w14:paraId="15F7C731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"/>
          <w:sz w:val="24"/>
          <w:szCs w:val="24"/>
        </w:rPr>
        <w:t>运维项目的交付成果（包括过程记录、服务</w:t>
      </w:r>
      <w:r>
        <w:rPr>
          <w:rFonts w:ascii="宋体" w:hAnsi="宋体" w:eastAsia="宋体" w:cs="宋体"/>
          <w:spacing w:val="2"/>
          <w:sz w:val="24"/>
          <w:szCs w:val="24"/>
        </w:rPr>
        <w:t>报告等）由</w:t>
      </w:r>
      <w:r>
        <w:rPr>
          <w:rFonts w:hint="eastAsia" w:ascii="宋体" w:hAnsi="宋体" w:cs="宋体"/>
          <w:spacing w:val="2"/>
          <w:sz w:val="24"/>
          <w:szCs w:val="24"/>
          <w:lang w:val="en-US" w:eastAsia="zh-CN"/>
        </w:rPr>
        <w:t>运维</w:t>
      </w:r>
      <w:r>
        <w:rPr>
          <w:rFonts w:ascii="宋体" w:hAnsi="宋体" w:eastAsia="宋体" w:cs="宋体"/>
          <w:spacing w:val="2"/>
          <w:sz w:val="24"/>
          <w:szCs w:val="24"/>
        </w:rPr>
        <w:t>项目经理指定人员进行编写，经由</w:t>
      </w:r>
      <w:r>
        <w:rPr>
          <w:rFonts w:hint="eastAsia" w:ascii="宋体" w:hAnsi="宋体" w:cs="宋体"/>
          <w:spacing w:val="2"/>
          <w:sz w:val="24"/>
          <w:szCs w:val="24"/>
          <w:lang w:val="en-US" w:eastAsia="zh-CN"/>
        </w:rPr>
        <w:t>运维</w:t>
      </w:r>
      <w:r>
        <w:rPr>
          <w:rFonts w:ascii="宋体" w:hAnsi="宋体" w:eastAsia="宋体" w:cs="宋体"/>
          <w:spacing w:val="2"/>
          <w:sz w:val="24"/>
          <w:szCs w:val="24"/>
        </w:rPr>
        <w:t>项目经理审核通过后，由</w:t>
      </w:r>
      <w:r>
        <w:rPr>
          <w:rFonts w:hint="eastAsia" w:ascii="宋体" w:hAnsi="宋体" w:cs="宋体"/>
          <w:spacing w:val="2"/>
          <w:sz w:val="24"/>
          <w:szCs w:val="24"/>
          <w:lang w:val="en-US" w:eastAsia="zh-CN"/>
        </w:rPr>
        <w:t>运维</w:t>
      </w:r>
      <w:r>
        <w:rPr>
          <w:rFonts w:ascii="宋体" w:hAnsi="宋体" w:eastAsia="宋体" w:cs="宋体"/>
          <w:spacing w:val="2"/>
          <w:sz w:val="24"/>
          <w:szCs w:val="24"/>
        </w:rPr>
        <w:t>项目经理递交给客户负责人，通过客户评审确认后，由项目经理及公司运维业务部进</w:t>
      </w:r>
      <w:r>
        <w:rPr>
          <w:rFonts w:ascii="宋体" w:hAnsi="宋体" w:eastAsia="宋体" w:cs="宋体"/>
          <w:spacing w:val="-2"/>
          <w:sz w:val="24"/>
          <w:szCs w:val="24"/>
        </w:rPr>
        <w:t>行归档保存</w:t>
      </w:r>
      <w:r>
        <w:rPr>
          <w:rFonts w:hint="eastAsia" w:ascii="宋体" w:hAnsi="宋体" w:cs="宋体"/>
          <w:spacing w:val="-2"/>
          <w:sz w:val="24"/>
          <w:szCs w:val="24"/>
          <w:lang w:eastAsia="zh-CN"/>
        </w:rPr>
        <w:t>。</w:t>
      </w:r>
    </w:p>
    <w:p w14:paraId="4939BC9A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归档后的交付成果应由运维业务部存储在专用服务器中，其访问与</w:t>
      </w:r>
      <w:r>
        <w:rPr>
          <w:rFonts w:ascii="宋体" w:hAnsi="宋体" w:eastAsia="宋体" w:cs="宋体"/>
          <w:spacing w:val="-1"/>
          <w:sz w:val="24"/>
          <w:szCs w:val="24"/>
        </w:rPr>
        <w:t>更新需经由运维部经理审批通过并赋予权限后方可执行；</w:t>
      </w:r>
    </w:p>
    <w:p w14:paraId="022F2395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归档后交付成果的废弃应在运维部经理和公司主管领导审批通</w:t>
      </w:r>
      <w:r>
        <w:rPr>
          <w:rFonts w:ascii="宋体" w:hAnsi="宋体" w:eastAsia="宋体" w:cs="宋体"/>
          <w:spacing w:val="-2"/>
          <w:sz w:val="24"/>
          <w:szCs w:val="24"/>
        </w:rPr>
        <w:t>过后方可执行；</w:t>
      </w:r>
    </w:p>
    <w:p w14:paraId="2D02427D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运维团队需与客户明确交付成果的受众、内容、时间或频度要求；</w:t>
      </w:r>
    </w:p>
    <w:p w14:paraId="64C351DA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确保有形成果的规格或格式达到服务级别协议要求；</w:t>
      </w:r>
    </w:p>
    <w:p w14:paraId="58544B8D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确保无形成果产生的效用应满足客户要求。</w:t>
      </w:r>
    </w:p>
    <w:p w14:paraId="0EDFAD95">
      <w:pPr>
        <w:pStyle w:val="32"/>
        <w:bidi w:val="0"/>
      </w:pPr>
      <w:bookmarkStart w:id="34" w:name="bookmark21"/>
      <w:bookmarkEnd w:id="34"/>
      <w:bookmarkStart w:id="35" w:name="_Toc19662"/>
      <w:r>
        <w:t>例行操作成果</w:t>
      </w:r>
      <w:bookmarkEnd w:id="35"/>
    </w:p>
    <w:p w14:paraId="1C696B2C">
      <w:pPr>
        <w:pStyle w:val="40"/>
        <w:bidi w:val="0"/>
      </w:pPr>
      <w:r>
        <w:t>在提供例行操作服务交付的过程中，通过向客户提供无形的或有形的交付成果，以达成运维服务的服务级别协议要求。例行操作成果应关注的要素包括：</w:t>
      </w:r>
    </w:p>
    <w:p w14:paraId="6830436C">
      <w:pPr>
        <w:keepNext w:val="0"/>
        <w:keepLines w:val="0"/>
        <w:pageBreakBefore w:val="0"/>
        <w:widowControl/>
        <w:numPr>
          <w:ilvl w:val="0"/>
          <w:numId w:val="1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无形成果包括（但不限于</w:t>
      </w:r>
      <w:r>
        <w:rPr>
          <w:rFonts w:ascii="宋体" w:hAnsi="宋体" w:eastAsia="宋体" w:cs="宋体"/>
          <w:spacing w:val="3"/>
          <w:sz w:val="24"/>
          <w:szCs w:val="24"/>
        </w:rPr>
        <w:t>）：</w:t>
      </w:r>
    </w:p>
    <w:p w14:paraId="3C0137D2">
      <w:pPr>
        <w:keepNext w:val="0"/>
        <w:keepLines w:val="0"/>
        <w:pageBreakBefore w:val="0"/>
        <w:widowControl/>
        <w:numPr>
          <w:ilvl w:val="0"/>
          <w:numId w:val="1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运维对象当前运行状态（正常/异常/存在潜在风险等</w:t>
      </w:r>
      <w:r>
        <w:rPr>
          <w:rFonts w:ascii="宋体" w:hAnsi="宋体" w:eastAsia="宋体" w:cs="宋体"/>
          <w:spacing w:val="2"/>
          <w:sz w:val="24"/>
          <w:szCs w:val="24"/>
        </w:rPr>
        <w:t>）；</w:t>
      </w:r>
    </w:p>
    <w:p w14:paraId="13E12B0B">
      <w:pPr>
        <w:keepNext w:val="0"/>
        <w:keepLines w:val="0"/>
        <w:pageBreakBefore w:val="0"/>
        <w:widowControl/>
        <w:numPr>
          <w:ilvl w:val="0"/>
          <w:numId w:val="1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运行状态从异常到正常的状态恢复；</w:t>
      </w:r>
    </w:p>
    <w:p w14:paraId="34E6CEEA">
      <w:pPr>
        <w:keepNext w:val="0"/>
        <w:keepLines w:val="0"/>
        <w:pageBreakBefore w:val="0"/>
        <w:widowControl/>
        <w:numPr>
          <w:ilvl w:val="0"/>
          <w:numId w:val="1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对潜在风险的消除。</w:t>
      </w:r>
    </w:p>
    <w:p w14:paraId="5A7BA2A4">
      <w:pPr>
        <w:keepNext w:val="0"/>
        <w:keepLines w:val="0"/>
        <w:pageBreakBefore w:val="0"/>
        <w:widowControl/>
        <w:numPr>
          <w:ilvl w:val="0"/>
          <w:numId w:val="1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有形成果包括（但不限于</w:t>
      </w:r>
      <w:r>
        <w:rPr>
          <w:rFonts w:ascii="宋体" w:hAnsi="宋体" w:eastAsia="宋体" w:cs="宋体"/>
          <w:spacing w:val="3"/>
          <w:sz w:val="24"/>
          <w:szCs w:val="24"/>
        </w:rPr>
        <w:t>）：</w:t>
      </w:r>
    </w:p>
    <w:p w14:paraId="7CBF2651">
      <w:pPr>
        <w:keepNext w:val="0"/>
        <w:keepLines w:val="0"/>
        <w:pageBreakBefore w:val="0"/>
        <w:widowControl/>
        <w:numPr>
          <w:ilvl w:val="0"/>
          <w:numId w:val="2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运行状态信息记录；</w:t>
      </w:r>
    </w:p>
    <w:p w14:paraId="2E0232F3">
      <w:pPr>
        <w:keepNext w:val="0"/>
        <w:keepLines w:val="0"/>
        <w:pageBreakBefore w:val="0"/>
        <w:widowControl/>
        <w:numPr>
          <w:ilvl w:val="0"/>
          <w:numId w:val="2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运行状态异常处理记录；</w:t>
      </w:r>
    </w:p>
    <w:p w14:paraId="1A387E39">
      <w:pPr>
        <w:keepNext w:val="0"/>
        <w:keepLines w:val="0"/>
        <w:pageBreakBefore w:val="0"/>
        <w:widowControl/>
        <w:numPr>
          <w:ilvl w:val="0"/>
          <w:numId w:val="2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趋势分析及可能的风险消除建议；</w:t>
      </w:r>
    </w:p>
    <w:p w14:paraId="4BEF64BE">
      <w:pPr>
        <w:keepNext w:val="0"/>
        <w:keepLines w:val="0"/>
        <w:pageBreakBefore w:val="0"/>
        <w:widowControl/>
        <w:numPr>
          <w:ilvl w:val="0"/>
          <w:numId w:val="2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例行操作交付过程中的其他报告。</w:t>
      </w:r>
    </w:p>
    <w:p w14:paraId="6317F4E1">
      <w:pPr>
        <w:pStyle w:val="32"/>
        <w:bidi w:val="0"/>
      </w:pPr>
      <w:bookmarkStart w:id="36" w:name="bookmark22"/>
      <w:bookmarkEnd w:id="36"/>
      <w:bookmarkStart w:id="37" w:name="_Toc18233"/>
      <w:r>
        <w:t>响应支持成果</w:t>
      </w:r>
      <w:bookmarkEnd w:id="37"/>
    </w:p>
    <w:p w14:paraId="2497F54A">
      <w:pPr>
        <w:pStyle w:val="40"/>
        <w:bidi w:val="0"/>
      </w:pPr>
      <w:r>
        <w:t>在提供响应支持服务交付的过程中，通过向客户提供无形的或有形的交付成果，以达成运维服务的服务级别协议要求。响应支持成果应关注的要素包括：</w:t>
      </w:r>
    </w:p>
    <w:p w14:paraId="0F2A549D">
      <w:pPr>
        <w:pStyle w:val="40"/>
        <w:numPr>
          <w:ilvl w:val="0"/>
          <w:numId w:val="21"/>
        </w:numPr>
        <w:bidi w:val="0"/>
      </w:pPr>
      <w:r>
        <w:t>无形成果包括（但不限于）：</w:t>
      </w:r>
    </w:p>
    <w:p w14:paraId="6EFF5EB2">
      <w:pPr>
        <w:pStyle w:val="40"/>
        <w:numPr>
          <w:ilvl w:val="0"/>
          <w:numId w:val="22"/>
        </w:numPr>
        <w:bidi w:val="0"/>
      </w:pPr>
      <w:r>
        <w:t>运行状态从异常到正常的状态恢复；</w:t>
      </w:r>
    </w:p>
    <w:p w14:paraId="40976D59">
      <w:pPr>
        <w:pStyle w:val="40"/>
        <w:numPr>
          <w:ilvl w:val="0"/>
          <w:numId w:val="22"/>
        </w:numPr>
        <w:bidi w:val="0"/>
      </w:pPr>
      <w:r>
        <w:t>运维知识的传递。</w:t>
      </w:r>
    </w:p>
    <w:p w14:paraId="12C0B4C9">
      <w:pPr>
        <w:pStyle w:val="40"/>
        <w:numPr>
          <w:ilvl w:val="0"/>
          <w:numId w:val="21"/>
        </w:numPr>
        <w:bidi w:val="0"/>
      </w:pPr>
      <w:r>
        <w:t>有形成果包括（但不限于）：</w:t>
      </w:r>
    </w:p>
    <w:p w14:paraId="692B028A">
      <w:pPr>
        <w:pStyle w:val="40"/>
        <w:numPr>
          <w:ilvl w:val="0"/>
          <w:numId w:val="23"/>
        </w:numPr>
        <w:bidi w:val="0"/>
      </w:pPr>
      <w:r>
        <w:t>响应支持记录；</w:t>
      </w:r>
    </w:p>
    <w:p w14:paraId="5FC29A9C">
      <w:pPr>
        <w:pStyle w:val="40"/>
        <w:numPr>
          <w:ilvl w:val="0"/>
          <w:numId w:val="23"/>
        </w:numPr>
        <w:bidi w:val="0"/>
      </w:pPr>
      <w:r>
        <w:t>响应支持关键指标数据记录（响应事件量、问题数、故障时间/次数）；</w:t>
      </w:r>
    </w:p>
    <w:p w14:paraId="0AA1DF40">
      <w:pPr>
        <w:pStyle w:val="40"/>
        <w:numPr>
          <w:ilvl w:val="0"/>
          <w:numId w:val="23"/>
        </w:numPr>
        <w:bidi w:val="0"/>
      </w:pPr>
      <w:r>
        <w:t>重大事件（故障）的分析改进报告；</w:t>
      </w:r>
    </w:p>
    <w:p w14:paraId="10A0DC09">
      <w:pPr>
        <w:pStyle w:val="40"/>
        <w:numPr>
          <w:ilvl w:val="0"/>
          <w:numId w:val="23"/>
        </w:numPr>
        <w:bidi w:val="0"/>
      </w:pPr>
      <w:r>
        <w:t>满意度分析；</w:t>
      </w:r>
    </w:p>
    <w:p w14:paraId="4F5571AB">
      <w:pPr>
        <w:pStyle w:val="40"/>
        <w:numPr>
          <w:ilvl w:val="0"/>
          <w:numId w:val="23"/>
        </w:numPr>
        <w:bidi w:val="0"/>
      </w:pPr>
      <w:r>
        <w:t>响应支持交付过程中的其他报告。</w:t>
      </w:r>
    </w:p>
    <w:p w14:paraId="05E7FD09">
      <w:pPr>
        <w:pStyle w:val="32"/>
        <w:bidi w:val="0"/>
      </w:pPr>
      <w:bookmarkStart w:id="38" w:name="bookmark23"/>
      <w:bookmarkEnd w:id="38"/>
      <w:bookmarkStart w:id="39" w:name="_Toc31844"/>
      <w:r>
        <w:t>优化改善成果</w:t>
      </w:r>
      <w:bookmarkEnd w:id="39"/>
    </w:p>
    <w:p w14:paraId="42647E36">
      <w:pPr>
        <w:spacing w:before="202" w:line="360" w:lineRule="auto"/>
        <w:ind w:left="28" w:right="63" w:firstLine="474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在提供优化改善服务交付的过程中，通过向客户提供无形的或有形的交付成果，以达成运维服务的服务级别协议要求。优化改善成果应关注的要素包括：</w:t>
      </w:r>
    </w:p>
    <w:p w14:paraId="761A576D">
      <w:pPr>
        <w:pStyle w:val="40"/>
        <w:numPr>
          <w:ilvl w:val="0"/>
          <w:numId w:val="24"/>
        </w:numPr>
        <w:bidi w:val="0"/>
      </w:pPr>
      <w:r>
        <w:t>无形成果包括（但不限于）：</w:t>
      </w:r>
    </w:p>
    <w:p w14:paraId="3B5D69F9">
      <w:pPr>
        <w:pStyle w:val="40"/>
        <w:numPr>
          <w:ilvl w:val="0"/>
          <w:numId w:val="25"/>
        </w:numPr>
        <w:bidi w:val="0"/>
      </w:pPr>
      <w:r>
        <w:t>设备或系统等运行性能的提升；</w:t>
      </w:r>
    </w:p>
    <w:p w14:paraId="412F23F5">
      <w:pPr>
        <w:pStyle w:val="40"/>
        <w:numPr>
          <w:ilvl w:val="0"/>
          <w:numId w:val="25"/>
        </w:numPr>
        <w:bidi w:val="0"/>
      </w:pPr>
      <w:r>
        <w:t>组织或流程等管理水平的提升。</w:t>
      </w:r>
    </w:p>
    <w:p w14:paraId="1C44E6DA">
      <w:pPr>
        <w:pStyle w:val="40"/>
        <w:numPr>
          <w:ilvl w:val="0"/>
          <w:numId w:val="24"/>
        </w:numPr>
        <w:bidi w:val="0"/>
      </w:pPr>
      <w:r>
        <w:t>有形成果包括（但不限于）：</w:t>
      </w:r>
    </w:p>
    <w:p w14:paraId="3DE7CAAF">
      <w:pPr>
        <w:pStyle w:val="40"/>
        <w:numPr>
          <w:ilvl w:val="0"/>
          <w:numId w:val="26"/>
        </w:numPr>
        <w:bidi w:val="0"/>
      </w:pPr>
      <w:r>
        <w:t>优化方案及相关评审记录；</w:t>
      </w:r>
    </w:p>
    <w:p w14:paraId="360A2453">
      <w:pPr>
        <w:pStyle w:val="40"/>
        <w:numPr>
          <w:ilvl w:val="0"/>
          <w:numId w:val="26"/>
        </w:numPr>
        <w:bidi w:val="0"/>
      </w:pPr>
      <w:r>
        <w:t>变更和发布报告；优化改善交付过程中的其他报告</w:t>
      </w:r>
    </w:p>
    <w:p w14:paraId="51313E81">
      <w:pPr>
        <w:pStyle w:val="31"/>
        <w:bidi w:val="0"/>
      </w:pPr>
      <w:bookmarkStart w:id="40" w:name="_Toc6088"/>
      <w:bookmarkStart w:id="41" w:name="_Toc10768"/>
      <w:bookmarkStart w:id="42" w:name="_Toc17424"/>
      <w:r>
        <w:t>考核指标</w:t>
      </w:r>
      <w:bookmarkEnd w:id="40"/>
      <w:bookmarkEnd w:id="41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3753"/>
        <w:gridCol w:w="1228"/>
        <w:gridCol w:w="1581"/>
      </w:tblGrid>
      <w:tr w14:paraId="0D45F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 w14:paraId="058877C5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指标度量性</w:t>
            </w:r>
          </w:p>
        </w:tc>
        <w:tc>
          <w:tcPr>
            <w:tcW w:w="3753" w:type="dxa"/>
          </w:tcPr>
          <w:p w14:paraId="7D2DB383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计算方式</w:t>
            </w:r>
          </w:p>
        </w:tc>
        <w:tc>
          <w:tcPr>
            <w:tcW w:w="1228" w:type="dxa"/>
          </w:tcPr>
          <w:p w14:paraId="48226035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频次</w:t>
            </w:r>
          </w:p>
        </w:tc>
        <w:tc>
          <w:tcPr>
            <w:tcW w:w="1581" w:type="dxa"/>
          </w:tcPr>
          <w:p w14:paraId="6F791DA0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指标要求</w:t>
            </w:r>
          </w:p>
        </w:tc>
      </w:tr>
      <w:tr w14:paraId="06948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60" w:type="dxa"/>
            <w:shd w:val="clear" w:color="auto" w:fill="auto"/>
          </w:tcPr>
          <w:p w14:paraId="67464AFA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交付及时率</w:t>
            </w:r>
          </w:p>
        </w:tc>
        <w:tc>
          <w:tcPr>
            <w:tcW w:w="3753" w:type="dxa"/>
            <w:shd w:val="clear" w:color="auto" w:fill="auto"/>
          </w:tcPr>
          <w:p w14:paraId="72F0C976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及时交付数量/总交付数量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228" w:type="dxa"/>
            <w:shd w:val="clear" w:color="auto" w:fill="auto"/>
          </w:tcPr>
          <w:p w14:paraId="18FE4D92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581" w:type="dxa"/>
            <w:shd w:val="clear" w:color="auto" w:fill="auto"/>
          </w:tcPr>
          <w:p w14:paraId="332597DE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</w:tr>
      <w:tr w14:paraId="38E7D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0" w:type="auto"/>
            <w:shd w:val="clear" w:color="auto" w:fill="auto"/>
          </w:tcPr>
          <w:p w14:paraId="54726C60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远程交付的确认率</w:t>
            </w:r>
          </w:p>
        </w:tc>
        <w:tc>
          <w:tcPr>
            <w:tcW w:w="3753" w:type="dxa"/>
            <w:shd w:val="clear" w:color="auto" w:fill="auto"/>
          </w:tcPr>
          <w:p w14:paraId="09CBF503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远程交付确认数/远程交付数*100%</w:t>
            </w:r>
          </w:p>
        </w:tc>
        <w:tc>
          <w:tcPr>
            <w:tcW w:w="1228" w:type="dxa"/>
            <w:shd w:val="clear" w:color="auto" w:fill="auto"/>
          </w:tcPr>
          <w:p w14:paraId="5B6B7D00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0" w:type="auto"/>
            <w:shd w:val="clear" w:color="auto" w:fill="auto"/>
          </w:tcPr>
          <w:p w14:paraId="55F36AE5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≥97%</w:t>
            </w:r>
          </w:p>
        </w:tc>
      </w:tr>
      <w:tr w14:paraId="76BA1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0" w:type="auto"/>
            <w:shd w:val="clear" w:color="auto" w:fill="auto"/>
          </w:tcPr>
          <w:p w14:paraId="72F17580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例行操作记录完整率</w:t>
            </w:r>
          </w:p>
        </w:tc>
        <w:tc>
          <w:tcPr>
            <w:tcW w:w="3753" w:type="dxa"/>
            <w:shd w:val="clear" w:color="auto" w:fill="auto"/>
          </w:tcPr>
          <w:p w14:paraId="087AA433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完整例行操作记录数/例行操作记录数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228" w:type="dxa"/>
            <w:shd w:val="clear" w:color="auto" w:fill="auto"/>
          </w:tcPr>
          <w:p w14:paraId="162C1BBF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0" w:type="auto"/>
            <w:shd w:val="clear" w:color="auto" w:fill="auto"/>
          </w:tcPr>
          <w:p w14:paraId="470F4251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</w:tr>
    </w:tbl>
    <w:p w14:paraId="0F89F6F6">
      <w:pPr>
        <w:pStyle w:val="29"/>
        <w:bidi w:val="0"/>
        <w:rPr>
          <w:rStyle w:val="39"/>
          <w:rFonts w:hint="default" w:eastAsia="宋体"/>
          <w:lang w:val="en-US" w:eastAsia="zh-CN"/>
        </w:rPr>
      </w:pPr>
      <w:bookmarkStart w:id="43" w:name="_Toc18998"/>
      <w:r>
        <w:rPr>
          <w:rStyle w:val="39"/>
          <w:rFonts w:hint="eastAsia" w:eastAsia="宋体"/>
          <w:lang w:val="en-US" w:eastAsia="zh-CN"/>
        </w:rPr>
        <w:t>附则</w:t>
      </w:r>
      <w:bookmarkEnd w:id="42"/>
      <w:bookmarkEnd w:id="43"/>
    </w:p>
    <w:p w14:paraId="1B50CE96">
      <w:pPr>
        <w:keepNext w:val="0"/>
        <w:keepLines w:val="0"/>
        <w:pageBreakBefore w:val="0"/>
        <w:widowControl/>
        <w:numPr>
          <w:ilvl w:val="0"/>
          <w:numId w:val="2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3A90D739">
      <w:pPr>
        <w:keepNext w:val="0"/>
        <w:keepLines w:val="0"/>
        <w:pageBreakBefore w:val="0"/>
        <w:widowControl/>
        <w:numPr>
          <w:ilvl w:val="0"/>
          <w:numId w:val="2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576765D">
      <w:pPr>
        <w:pStyle w:val="31"/>
        <w:bidi w:val="0"/>
        <w:rPr>
          <w:rFonts w:hint="default"/>
          <w:lang w:val="en-US" w:eastAsia="zh-CN"/>
        </w:rPr>
      </w:pPr>
      <w:bookmarkStart w:id="44" w:name="_Toc31797"/>
      <w:r>
        <w:rPr>
          <w:rFonts w:hint="eastAsia"/>
          <w:lang w:val="en-US" w:eastAsia="zh-CN"/>
        </w:rPr>
        <w:t>规范性引用文件</w:t>
      </w:r>
      <w:bookmarkEnd w:id="44"/>
    </w:p>
    <w:p w14:paraId="758A8957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T/CESA 1299—2023《信息技术服务运行维护服务能力成熟度模型》</w:t>
      </w:r>
    </w:p>
    <w:p w14:paraId="12CC7927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GB/T</w:t>
      </w:r>
      <w:r>
        <w:rPr>
          <w:rFonts w:hint="eastAsia" w:ascii="宋体" w:hAnsi="宋体" w:cs="宋体"/>
          <w:spacing w:val="-2"/>
          <w:sz w:val="24"/>
          <w:szCs w:val="24"/>
          <w:lang w:val="en-US" w:eastAsia="zh-CN"/>
        </w:rPr>
        <w:t xml:space="preserve">  </w:t>
      </w:r>
      <w:bookmarkStart w:id="48" w:name="_GoBack"/>
      <w:bookmarkEnd w:id="48"/>
      <w:r>
        <w:rPr>
          <w:rFonts w:ascii="宋体" w:hAnsi="宋体" w:eastAsia="宋体" w:cs="宋体"/>
          <w:spacing w:val="-2"/>
          <w:sz w:val="24"/>
          <w:szCs w:val="24"/>
        </w:rPr>
        <w:t>28827.1-2022《信息技术服务 运行维护 第 1 部分：通用要求》</w:t>
      </w:r>
    </w:p>
    <w:p w14:paraId="41AF088A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GB/T  29264-2012《信息技术服务 分类与代码》</w:t>
      </w:r>
    </w:p>
    <w:p w14:paraId="2C70E608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GB/T 28827.2-2012《信息技术服务 运行维护 第 2 部分:交付规范》</w:t>
      </w:r>
    </w:p>
    <w:p w14:paraId="6D39CEC5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GB/T 28827.3-2012《信息技术服务 运行维护 第 3 部分:应急响应规范》</w:t>
      </w:r>
    </w:p>
    <w:p w14:paraId="29F71E87">
      <w:pPr>
        <w:pStyle w:val="29"/>
        <w:bidi w:val="0"/>
        <w:rPr>
          <w:rFonts w:hint="default"/>
          <w:lang w:val="en-US" w:eastAsia="zh-CN"/>
        </w:rPr>
      </w:pPr>
      <w:bookmarkStart w:id="45" w:name="bookmark14"/>
      <w:bookmarkEnd w:id="45"/>
      <w:bookmarkStart w:id="46" w:name="_Toc17687"/>
      <w:r>
        <w:rPr>
          <w:rFonts w:hint="eastAsia"/>
          <w:lang w:val="en-US" w:eastAsia="zh-CN"/>
        </w:rPr>
        <w:t>附件</w:t>
      </w:r>
      <w:bookmarkEnd w:id="46"/>
    </w:p>
    <w:p w14:paraId="7C611697">
      <w:pPr>
        <w:pStyle w:val="40"/>
        <w:bidi w:val="0"/>
      </w:pPr>
      <w:r>
        <w:t>《服务台管理制度》</w:t>
      </w:r>
    </w:p>
    <w:p w14:paraId="6A2B8725">
      <w:pPr>
        <w:pStyle w:val="40"/>
        <w:bidi w:val="0"/>
      </w:pPr>
      <w:r>
        <w:t>《软件开发管理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43B5AF2A">
      <w:pPr>
        <w:pStyle w:val="40"/>
        <w:bidi w:val="0"/>
      </w:pPr>
      <w:r>
        <w:t>《沟通管理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774DF977">
      <w:pPr>
        <w:pStyle w:val="29"/>
        <w:bidi w:val="0"/>
        <w:rPr>
          <w:rFonts w:hint="eastAsia"/>
          <w:lang w:val="en-US" w:eastAsia="zh-CN"/>
        </w:rPr>
      </w:pPr>
      <w:bookmarkStart w:id="47" w:name="_Toc19264"/>
      <w:r>
        <w:rPr>
          <w:rFonts w:hint="eastAsia"/>
          <w:lang w:val="en-US" w:eastAsia="zh-CN"/>
        </w:rPr>
        <w:t>记录</w:t>
      </w:r>
      <w:bookmarkEnd w:id="47"/>
    </w:p>
    <w:p w14:paraId="282872DE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0969C8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B2D309"/>
    <w:multiLevelType w:val="singleLevel"/>
    <w:tmpl w:val="88B2D309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8C70F12C"/>
    <w:multiLevelType w:val="singleLevel"/>
    <w:tmpl w:val="8C70F12C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974FFEBD"/>
    <w:multiLevelType w:val="singleLevel"/>
    <w:tmpl w:val="974FFE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7DC68B9"/>
    <w:multiLevelType w:val="singleLevel"/>
    <w:tmpl w:val="97DC68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9926778C"/>
    <w:multiLevelType w:val="singleLevel"/>
    <w:tmpl w:val="9926778C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>
    <w:nsid w:val="A85DBB5B"/>
    <w:multiLevelType w:val="singleLevel"/>
    <w:tmpl w:val="A85DBB5B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>
    <w:nsid w:val="B9097B9C"/>
    <w:multiLevelType w:val="singleLevel"/>
    <w:tmpl w:val="B9097B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BEB4A0E5"/>
    <w:multiLevelType w:val="singleLevel"/>
    <w:tmpl w:val="BEB4A0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C16403AF"/>
    <w:multiLevelType w:val="singleLevel"/>
    <w:tmpl w:val="C16403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D4C3B19B"/>
    <w:multiLevelType w:val="singleLevel"/>
    <w:tmpl w:val="D4C3B19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0555980A"/>
    <w:multiLevelType w:val="singleLevel"/>
    <w:tmpl w:val="055598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1320CEAB"/>
    <w:multiLevelType w:val="singleLevel"/>
    <w:tmpl w:val="1320CEAB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4">
    <w:nsid w:val="15E60C92"/>
    <w:multiLevelType w:val="singleLevel"/>
    <w:tmpl w:val="15E60C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2279087F"/>
    <w:multiLevelType w:val="singleLevel"/>
    <w:tmpl w:val="227908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2F74BDB7"/>
    <w:multiLevelType w:val="singleLevel"/>
    <w:tmpl w:val="2F74BD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340D3D69"/>
    <w:multiLevelType w:val="singleLevel"/>
    <w:tmpl w:val="340D3D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342F38DA"/>
    <w:multiLevelType w:val="singleLevel"/>
    <w:tmpl w:val="342F38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419469A5"/>
    <w:multiLevelType w:val="singleLevel"/>
    <w:tmpl w:val="419469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45ED8A50"/>
    <w:multiLevelType w:val="singleLevel"/>
    <w:tmpl w:val="45ED8A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605162D3"/>
    <w:multiLevelType w:val="singleLevel"/>
    <w:tmpl w:val="605162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618802BB"/>
    <w:multiLevelType w:val="singleLevel"/>
    <w:tmpl w:val="618802BB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3">
    <w:nsid w:val="6290189D"/>
    <w:multiLevelType w:val="singleLevel"/>
    <w:tmpl w:val="629018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>
    <w:nsid w:val="67907892"/>
    <w:multiLevelType w:val="singleLevel"/>
    <w:tmpl w:val="679078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7011BF92"/>
    <w:multiLevelType w:val="singleLevel"/>
    <w:tmpl w:val="7011BF92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6">
    <w:nsid w:val="766DA87D"/>
    <w:multiLevelType w:val="singleLevel"/>
    <w:tmpl w:val="766DA8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7BB4DEA1"/>
    <w:multiLevelType w:val="singleLevel"/>
    <w:tmpl w:val="7BB4DE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26"/>
  </w:num>
  <w:num w:numId="3">
    <w:abstractNumId w:val="12"/>
  </w:num>
  <w:num w:numId="4">
    <w:abstractNumId w:val="4"/>
  </w:num>
  <w:num w:numId="5">
    <w:abstractNumId w:val="8"/>
  </w:num>
  <w:num w:numId="6">
    <w:abstractNumId w:val="7"/>
  </w:num>
  <w:num w:numId="7">
    <w:abstractNumId w:val="16"/>
  </w:num>
  <w:num w:numId="8">
    <w:abstractNumId w:val="23"/>
  </w:num>
  <w:num w:numId="9">
    <w:abstractNumId w:val="24"/>
  </w:num>
  <w:num w:numId="10">
    <w:abstractNumId w:val="9"/>
  </w:num>
  <w:num w:numId="11">
    <w:abstractNumId w:val="14"/>
  </w:num>
  <w:num w:numId="12">
    <w:abstractNumId w:val="25"/>
  </w:num>
  <w:num w:numId="13">
    <w:abstractNumId w:val="18"/>
  </w:num>
  <w:num w:numId="14">
    <w:abstractNumId w:val="10"/>
  </w:num>
  <w:num w:numId="15">
    <w:abstractNumId w:val="19"/>
  </w:num>
  <w:num w:numId="16">
    <w:abstractNumId w:val="20"/>
  </w:num>
  <w:num w:numId="17">
    <w:abstractNumId w:val="21"/>
  </w:num>
  <w:num w:numId="18">
    <w:abstractNumId w:val="15"/>
  </w:num>
  <w:num w:numId="19">
    <w:abstractNumId w:val="5"/>
  </w:num>
  <w:num w:numId="20">
    <w:abstractNumId w:val="13"/>
  </w:num>
  <w:num w:numId="21">
    <w:abstractNumId w:val="27"/>
  </w:num>
  <w:num w:numId="22">
    <w:abstractNumId w:val="22"/>
  </w:num>
  <w:num w:numId="23">
    <w:abstractNumId w:val="6"/>
  </w:num>
  <w:num w:numId="24">
    <w:abstractNumId w:val="3"/>
  </w:num>
  <w:num w:numId="25">
    <w:abstractNumId w:val="0"/>
  </w:num>
  <w:num w:numId="26">
    <w:abstractNumId w:val="1"/>
  </w:num>
  <w:num w:numId="27">
    <w:abstractNumId w:val="1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26261"/>
    <w:rsid w:val="03F117A3"/>
    <w:rsid w:val="16783AEC"/>
    <w:rsid w:val="19CE05F3"/>
    <w:rsid w:val="218F0957"/>
    <w:rsid w:val="22254E0E"/>
    <w:rsid w:val="23BA7422"/>
    <w:rsid w:val="29FA4902"/>
    <w:rsid w:val="3358495D"/>
    <w:rsid w:val="3886276F"/>
    <w:rsid w:val="3BA23236"/>
    <w:rsid w:val="3F3B5533"/>
    <w:rsid w:val="3FF01B86"/>
    <w:rsid w:val="401F6211"/>
    <w:rsid w:val="42074141"/>
    <w:rsid w:val="47EB1EC8"/>
    <w:rsid w:val="4FF5172F"/>
    <w:rsid w:val="54482775"/>
    <w:rsid w:val="684E3922"/>
    <w:rsid w:val="7E1F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character" w:styleId="24">
    <w:name w:val="HTML Code"/>
    <w:basedOn w:val="22"/>
    <w:qFormat/>
    <w:uiPriority w:val="0"/>
    <w:rPr>
      <w:rFonts w:ascii="Courier New" w:hAnsi="Courier New"/>
      <w:sz w:val="20"/>
    </w:rPr>
  </w:style>
  <w:style w:type="paragraph" w:customStyle="1" w:styleId="25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2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paragraph" w:customStyle="1" w:styleId="40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329</Words>
  <Characters>502</Characters>
  <Lines>0</Lines>
  <Paragraphs>0</Paragraphs>
  <TotalTime>15</TotalTime>
  <ScaleCrop>false</ScaleCrop>
  <LinksUpToDate>false</LinksUpToDate>
  <CharactersWithSpaces>567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2025-09-18T05:59:22Z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