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31324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618D0E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9A44731">
      <w:pPr>
        <w:pStyle w:val="25"/>
        <w:bidi w:val="0"/>
      </w:pPr>
      <w:bookmarkStart w:id="0" w:name="_Toc2663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5F58F43">
      <w:pPr>
        <w:pStyle w:val="26"/>
        <w:bidi w:val="0"/>
        <w:rPr>
          <w:rFonts w:hint="default"/>
          <w:lang w:val="en-US"/>
        </w:rPr>
      </w:pPr>
      <w:bookmarkStart w:id="1" w:name="_Toc7138"/>
      <w:r>
        <w:rPr>
          <w:rFonts w:hint="eastAsia"/>
          <w:lang w:val="en-US" w:eastAsia="zh-CN"/>
        </w:rPr>
        <w:t>交付管理制度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9B45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3F38B71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429E5B3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BCB7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44E6F09C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32A8DF0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7400B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3D80D36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48984A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3E6A5C4">
      <w:r>
        <w:br w:type="page"/>
      </w:r>
    </w:p>
    <w:p w14:paraId="40A4ADC6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4474DC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A1B0F34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0BD6F13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C55413E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5594FB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26E1BEC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704BF3E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072AA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75CFD3F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30ABABB4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5C3BBAC1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88A6C31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78D52139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B601FDC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69A215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38E2A20">
            <w:pPr>
              <w:pStyle w:val="28"/>
            </w:pPr>
          </w:p>
        </w:tc>
        <w:tc>
          <w:tcPr>
            <w:tcW w:w="919" w:type="dxa"/>
          </w:tcPr>
          <w:p w14:paraId="59C4F75B">
            <w:pPr>
              <w:pStyle w:val="28"/>
            </w:pPr>
          </w:p>
        </w:tc>
        <w:tc>
          <w:tcPr>
            <w:tcW w:w="2289" w:type="dxa"/>
          </w:tcPr>
          <w:p w14:paraId="286596DD">
            <w:pPr>
              <w:pStyle w:val="28"/>
            </w:pPr>
          </w:p>
        </w:tc>
        <w:tc>
          <w:tcPr>
            <w:tcW w:w="1148" w:type="dxa"/>
          </w:tcPr>
          <w:p w14:paraId="7394EECE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305735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8003F6E">
            <w:pPr>
              <w:pStyle w:val="28"/>
            </w:pPr>
          </w:p>
        </w:tc>
      </w:tr>
      <w:tr w14:paraId="4B0F18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744E9EB">
            <w:pPr>
              <w:pStyle w:val="28"/>
            </w:pPr>
          </w:p>
        </w:tc>
        <w:tc>
          <w:tcPr>
            <w:tcW w:w="919" w:type="dxa"/>
          </w:tcPr>
          <w:p w14:paraId="30A881A1">
            <w:pPr>
              <w:pStyle w:val="28"/>
            </w:pPr>
          </w:p>
        </w:tc>
        <w:tc>
          <w:tcPr>
            <w:tcW w:w="2289" w:type="dxa"/>
          </w:tcPr>
          <w:p w14:paraId="62058A13">
            <w:pPr>
              <w:pStyle w:val="28"/>
            </w:pPr>
          </w:p>
        </w:tc>
        <w:tc>
          <w:tcPr>
            <w:tcW w:w="1148" w:type="dxa"/>
          </w:tcPr>
          <w:p w14:paraId="2E00DDB3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7EA135EF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DE86DE3">
            <w:pPr>
              <w:pStyle w:val="28"/>
            </w:pPr>
          </w:p>
        </w:tc>
      </w:tr>
      <w:tr w14:paraId="249ED7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7BCF7E7">
            <w:pPr>
              <w:pStyle w:val="28"/>
            </w:pPr>
          </w:p>
        </w:tc>
        <w:tc>
          <w:tcPr>
            <w:tcW w:w="919" w:type="dxa"/>
          </w:tcPr>
          <w:p w14:paraId="7EAA64ED">
            <w:pPr>
              <w:pStyle w:val="28"/>
            </w:pPr>
          </w:p>
        </w:tc>
        <w:tc>
          <w:tcPr>
            <w:tcW w:w="2289" w:type="dxa"/>
          </w:tcPr>
          <w:p w14:paraId="36694D7B">
            <w:pPr>
              <w:pStyle w:val="28"/>
            </w:pPr>
          </w:p>
        </w:tc>
        <w:tc>
          <w:tcPr>
            <w:tcW w:w="1148" w:type="dxa"/>
          </w:tcPr>
          <w:p w14:paraId="08D24609">
            <w:pPr>
              <w:pStyle w:val="28"/>
            </w:pPr>
          </w:p>
        </w:tc>
        <w:tc>
          <w:tcPr>
            <w:tcW w:w="1150" w:type="dxa"/>
          </w:tcPr>
          <w:p w14:paraId="33CCA89C">
            <w:pPr>
              <w:pStyle w:val="28"/>
            </w:pPr>
          </w:p>
        </w:tc>
        <w:tc>
          <w:tcPr>
            <w:tcW w:w="1240" w:type="dxa"/>
          </w:tcPr>
          <w:p w14:paraId="44CB9CD4">
            <w:pPr>
              <w:pStyle w:val="28"/>
            </w:pPr>
          </w:p>
        </w:tc>
      </w:tr>
      <w:tr w14:paraId="6CC64F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42A4D02">
            <w:pPr>
              <w:pStyle w:val="28"/>
            </w:pPr>
          </w:p>
        </w:tc>
        <w:tc>
          <w:tcPr>
            <w:tcW w:w="919" w:type="dxa"/>
          </w:tcPr>
          <w:p w14:paraId="0201A532">
            <w:pPr>
              <w:pStyle w:val="28"/>
            </w:pPr>
          </w:p>
        </w:tc>
        <w:tc>
          <w:tcPr>
            <w:tcW w:w="2289" w:type="dxa"/>
          </w:tcPr>
          <w:p w14:paraId="257FB4A4">
            <w:pPr>
              <w:pStyle w:val="28"/>
            </w:pPr>
          </w:p>
        </w:tc>
        <w:tc>
          <w:tcPr>
            <w:tcW w:w="1148" w:type="dxa"/>
          </w:tcPr>
          <w:p w14:paraId="39F4335A">
            <w:pPr>
              <w:pStyle w:val="28"/>
            </w:pPr>
          </w:p>
        </w:tc>
        <w:tc>
          <w:tcPr>
            <w:tcW w:w="1150" w:type="dxa"/>
          </w:tcPr>
          <w:p w14:paraId="6F723984">
            <w:pPr>
              <w:pStyle w:val="28"/>
            </w:pPr>
          </w:p>
        </w:tc>
        <w:tc>
          <w:tcPr>
            <w:tcW w:w="1240" w:type="dxa"/>
          </w:tcPr>
          <w:p w14:paraId="54C80B83">
            <w:pPr>
              <w:pStyle w:val="28"/>
            </w:pPr>
          </w:p>
        </w:tc>
      </w:tr>
      <w:tr w14:paraId="5CCAC7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F767906">
            <w:pPr>
              <w:pStyle w:val="28"/>
            </w:pPr>
          </w:p>
        </w:tc>
        <w:tc>
          <w:tcPr>
            <w:tcW w:w="919" w:type="dxa"/>
          </w:tcPr>
          <w:p w14:paraId="086C70A0">
            <w:pPr>
              <w:pStyle w:val="28"/>
            </w:pPr>
          </w:p>
        </w:tc>
        <w:tc>
          <w:tcPr>
            <w:tcW w:w="2289" w:type="dxa"/>
          </w:tcPr>
          <w:p w14:paraId="2E517F43">
            <w:pPr>
              <w:pStyle w:val="28"/>
            </w:pPr>
          </w:p>
        </w:tc>
        <w:tc>
          <w:tcPr>
            <w:tcW w:w="1148" w:type="dxa"/>
          </w:tcPr>
          <w:p w14:paraId="4A6D8AEA">
            <w:pPr>
              <w:pStyle w:val="28"/>
            </w:pPr>
          </w:p>
        </w:tc>
        <w:tc>
          <w:tcPr>
            <w:tcW w:w="1150" w:type="dxa"/>
          </w:tcPr>
          <w:p w14:paraId="3AEBA4A9">
            <w:pPr>
              <w:pStyle w:val="28"/>
            </w:pPr>
          </w:p>
        </w:tc>
        <w:tc>
          <w:tcPr>
            <w:tcW w:w="1240" w:type="dxa"/>
          </w:tcPr>
          <w:p w14:paraId="4CCB29ED">
            <w:pPr>
              <w:pStyle w:val="28"/>
            </w:pPr>
          </w:p>
        </w:tc>
      </w:tr>
    </w:tbl>
    <w:p w14:paraId="30CB4EC0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AB197C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79B21E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_Toc26631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2CEB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_Toc7138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交付管理制度</w:t>
          </w:r>
          <w:r>
            <w:tab/>
          </w:r>
          <w:r>
            <w:fldChar w:fldCharType="begin"/>
          </w:r>
          <w:r>
            <w:instrText xml:space="preserve"> PAGEREF _Toc7138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69651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_Toc17401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6823D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_Toc6381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A0FE3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_Toc10715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_Toc10715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846EF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_Toc8545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467D5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_Toc28367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_Toc28367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22CED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运维部经理</w:t>
          </w:r>
          <w:r>
            <w:tab/>
          </w:r>
          <w:r>
            <w:fldChar w:fldCharType="begin"/>
          </w:r>
          <w:r>
            <w:instrText xml:space="preserve"> PAGEREF _Toc4533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603FF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_Toc20963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31FD0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_Toc30567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质量部经理</w:t>
          </w:r>
          <w:r>
            <w:tab/>
          </w:r>
          <w:r>
            <w:fldChar w:fldCharType="begin"/>
          </w:r>
          <w:r>
            <w:instrText xml:space="preserve"> PAGEREF _Toc30567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E0652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_Toc29344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3546D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_Toc9178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交付构成与管理</w:t>
          </w:r>
          <w:r>
            <w:tab/>
          </w:r>
          <w:r>
            <w:fldChar w:fldCharType="begin"/>
          </w:r>
          <w:r>
            <w:instrText xml:space="preserve"> PAGEREF _Toc9178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6B219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交付管理</w:t>
          </w:r>
          <w:r>
            <w:tab/>
          </w:r>
          <w:r>
            <w:fldChar w:fldCharType="begin"/>
          </w:r>
          <w:r>
            <w:instrText xml:space="preserve"> PAGEREF _Toc13550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B3904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_Toc11035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交付策划</w:t>
          </w:r>
          <w:r>
            <w:tab/>
          </w:r>
          <w:r>
            <w:fldChar w:fldCharType="begin"/>
          </w:r>
          <w:r>
            <w:instrText xml:space="preserve"> PAGEREF _Toc11035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1A13E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_Toc17734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交付实施</w:t>
          </w:r>
          <w:r>
            <w:tab/>
          </w:r>
          <w:r>
            <w:fldChar w:fldCharType="begin"/>
          </w:r>
          <w:r>
            <w:instrText xml:space="preserve"> PAGEREF _Toc17734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A8410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交付检查</w:t>
          </w:r>
          <w:r>
            <w:tab/>
          </w:r>
          <w:r>
            <w:fldChar w:fldCharType="begin"/>
          </w:r>
          <w:r>
            <w:instrText xml:space="preserve"> PAGEREF _Toc21979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05C35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_Toc18251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交付改进</w:t>
          </w:r>
          <w:r>
            <w:tab/>
          </w:r>
          <w:r>
            <w:fldChar w:fldCharType="begin"/>
          </w:r>
          <w:r>
            <w:instrText xml:space="preserve"> PAGEREF _Toc18251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DF3D8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交付内容</w:t>
          </w:r>
          <w:r>
            <w:tab/>
          </w:r>
          <w:r>
            <w:fldChar w:fldCharType="begin"/>
          </w:r>
          <w:r>
            <w:instrText xml:space="preserve"> PAGEREF _Toc2076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DC8C6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_Toc19002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例行操作</w:t>
          </w:r>
          <w:r>
            <w:tab/>
          </w:r>
          <w:r>
            <w:fldChar w:fldCharType="begin"/>
          </w:r>
          <w:r>
            <w:instrText xml:space="preserve"> PAGEREF _Toc19002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4AF66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_Toc27234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响应支持</w:t>
          </w:r>
          <w:r>
            <w:tab/>
          </w:r>
          <w:r>
            <w:fldChar w:fldCharType="begin"/>
          </w:r>
          <w:r>
            <w:instrText xml:space="preserve"> PAGEREF _Toc27234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2B4F8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_Toc14804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优化改善</w:t>
          </w:r>
          <w:r>
            <w:tab/>
          </w:r>
          <w:r>
            <w:fldChar w:fldCharType="begin"/>
          </w:r>
          <w:r>
            <w:instrText xml:space="preserve"> PAGEREF _Toc14804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52A0A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_Toc20848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5.2.4. </w:t>
          </w:r>
          <w:r>
            <w:t>调研评估</w:t>
          </w:r>
          <w:r>
            <w:tab/>
          </w:r>
          <w:r>
            <w:fldChar w:fldCharType="begin"/>
          </w:r>
          <w:r>
            <w:instrText xml:space="preserve"> PAGEREF _Toc20848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38013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6. 交付方式</w:t>
          </w:r>
          <w:r>
            <w:tab/>
          </w:r>
          <w:r>
            <w:fldChar w:fldCharType="begin"/>
          </w:r>
          <w:r>
            <w:instrText xml:space="preserve"> PAGEREF _Toc30644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33B84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交付成果</w:t>
          </w:r>
          <w:r>
            <w:tab/>
          </w:r>
          <w:r>
            <w:fldChar w:fldCharType="begin"/>
          </w:r>
          <w:r>
            <w:instrText xml:space="preserve"> PAGEREF _Toc209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4368C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t>交付成果管理</w:t>
          </w:r>
          <w:r>
            <w:tab/>
          </w:r>
          <w:r>
            <w:fldChar w:fldCharType="begin"/>
          </w:r>
          <w:r>
            <w:instrText xml:space="preserve"> PAGEREF _Toc26668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D6309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t>例行操作成果</w:t>
          </w:r>
          <w:r>
            <w:tab/>
          </w:r>
          <w:r>
            <w:fldChar w:fldCharType="begin"/>
          </w:r>
          <w:r>
            <w:instrText xml:space="preserve"> PAGEREF _Toc1725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56ABE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_Toc22292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5.4.3. </w:t>
          </w:r>
          <w:r>
            <w:t>响应支持成果</w:t>
          </w:r>
          <w:r>
            <w:tab/>
          </w:r>
          <w:r>
            <w:fldChar w:fldCharType="begin"/>
          </w:r>
          <w:r>
            <w:instrText xml:space="preserve"> PAGEREF _Toc22292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DFA5A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5.4.4. </w:t>
          </w:r>
          <w:r>
            <w:t>优化改善成果</w:t>
          </w:r>
          <w:r>
            <w:tab/>
          </w:r>
          <w:r>
            <w:fldChar w:fldCharType="begin"/>
          </w:r>
          <w:r>
            <w:instrText xml:space="preserve"> PAGEREF _Toc9245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5534E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_Toc31812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_Toc31812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2975F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_Toc2491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8FE3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_Toc25729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_Toc25729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B4F85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_Toc15327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5C212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_Toc27428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421C49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4D55297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B194E6A">
      <w:pPr>
        <w:pStyle w:val="29"/>
        <w:bidi w:val="0"/>
      </w:pPr>
      <w:bookmarkStart w:id="2" w:name="_Toc17401"/>
      <w:r>
        <w:t>目的</w:t>
      </w:r>
      <w:bookmarkEnd w:id="2"/>
    </w:p>
    <w:p w14:paraId="35E2BE03">
      <w:pPr>
        <w:pStyle w:val="30"/>
        <w:bidi w:val="0"/>
      </w:pPr>
      <w:r>
        <w:t>为了规范公司运维服务交付管理过程，通过交付策划、交付实施、交付检查和交付改进等管理活动，确保交付质量得到有效控制，以满足服务级别协议要求。</w:t>
      </w:r>
    </w:p>
    <w:p w14:paraId="405F7BE0">
      <w:pPr>
        <w:pStyle w:val="31"/>
        <w:bidi w:val="0"/>
      </w:pPr>
      <w:bookmarkStart w:id="3" w:name="_Toc6381"/>
      <w:r>
        <w:rPr>
          <w:rFonts w:hint="eastAsia"/>
          <w:lang w:val="en-US" w:eastAsia="zh-CN"/>
        </w:rPr>
        <w:t>术语和定义</w:t>
      </w:r>
      <w:bookmarkEnd w:id="3"/>
    </w:p>
    <w:p w14:paraId="6C058D01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本标准制度中所涉及的与交付管理相关的主要术语的定义如表1-1所示</w:t>
      </w:r>
    </w:p>
    <w:p w14:paraId="5D6E2A0A">
      <w:pPr>
        <w:pStyle w:val="30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主要术语定义</w:t>
      </w:r>
    </w:p>
    <w:tbl>
      <w:tblPr>
        <w:tblStyle w:val="27"/>
        <w:tblW w:w="90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990"/>
        <w:gridCol w:w="5457"/>
      </w:tblGrid>
      <w:tr w14:paraId="2D149CE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557" w:type="dxa"/>
          </w:tcPr>
          <w:p w14:paraId="529EBDA9">
            <w:pPr>
              <w:spacing w:before="178" w:line="219" w:lineRule="auto"/>
              <w:ind w:left="10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术语</w:t>
            </w:r>
          </w:p>
        </w:tc>
        <w:tc>
          <w:tcPr>
            <w:tcW w:w="990" w:type="dxa"/>
          </w:tcPr>
          <w:p w14:paraId="329FEB97">
            <w:pPr>
              <w:spacing w:before="177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缩略词</w:t>
            </w:r>
          </w:p>
        </w:tc>
        <w:tc>
          <w:tcPr>
            <w:tcW w:w="5457" w:type="dxa"/>
          </w:tcPr>
          <w:p w14:paraId="04F569EA">
            <w:pPr>
              <w:spacing w:before="177" w:line="220" w:lineRule="auto"/>
              <w:ind w:left="24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定义</w:t>
            </w:r>
          </w:p>
        </w:tc>
      </w:tr>
      <w:tr w14:paraId="1F27D8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2557" w:type="dxa"/>
          </w:tcPr>
          <w:p w14:paraId="21226F1E">
            <w:pPr>
              <w:pStyle w:val="28"/>
              <w:spacing w:line="271" w:lineRule="auto"/>
            </w:pPr>
          </w:p>
          <w:p w14:paraId="1EA0E589">
            <w:pPr>
              <w:spacing w:before="79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运行维护服务交付</w:t>
            </w:r>
          </w:p>
        </w:tc>
        <w:tc>
          <w:tcPr>
            <w:tcW w:w="990" w:type="dxa"/>
          </w:tcPr>
          <w:p w14:paraId="3FAE09A2">
            <w:pPr>
              <w:pStyle w:val="28"/>
              <w:spacing w:line="271" w:lineRule="auto"/>
            </w:pPr>
          </w:p>
          <w:p w14:paraId="135BFC74">
            <w:pPr>
              <w:spacing w:before="79" w:line="219" w:lineRule="auto"/>
              <w:ind w:left="2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交付</w:t>
            </w:r>
          </w:p>
        </w:tc>
        <w:tc>
          <w:tcPr>
            <w:tcW w:w="5457" w:type="dxa"/>
          </w:tcPr>
          <w:p w14:paraId="2682792F">
            <w:pPr>
              <w:spacing w:before="195" w:line="242" w:lineRule="auto"/>
              <w:ind w:left="116" w:right="102" w:hanging="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供方在服务级别协议有效期内向需方提供服务级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别协 议中承诺的运行维护服务。</w:t>
            </w:r>
          </w:p>
        </w:tc>
      </w:tr>
      <w:tr w14:paraId="46F59A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2557" w:type="dxa"/>
          </w:tcPr>
          <w:p w14:paraId="7F330DC2">
            <w:pPr>
              <w:spacing w:before="196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运行维护服务供方</w:t>
            </w:r>
          </w:p>
        </w:tc>
        <w:tc>
          <w:tcPr>
            <w:tcW w:w="990" w:type="dxa"/>
          </w:tcPr>
          <w:p w14:paraId="5B6E10B1">
            <w:pPr>
              <w:spacing w:before="196" w:line="219" w:lineRule="auto"/>
              <w:ind w:left="2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供方</w:t>
            </w:r>
          </w:p>
        </w:tc>
        <w:tc>
          <w:tcPr>
            <w:tcW w:w="5457" w:type="dxa"/>
          </w:tcPr>
          <w:p w14:paraId="64F3594E">
            <w:pPr>
              <w:spacing w:before="196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提供运行维护服务的内、外部组织或机构。</w:t>
            </w:r>
          </w:p>
        </w:tc>
      </w:tr>
      <w:tr w14:paraId="3352AE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557" w:type="dxa"/>
          </w:tcPr>
          <w:p w14:paraId="448F83E2">
            <w:pPr>
              <w:spacing w:before="220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运行维护服务需方</w:t>
            </w:r>
          </w:p>
        </w:tc>
        <w:tc>
          <w:tcPr>
            <w:tcW w:w="990" w:type="dxa"/>
          </w:tcPr>
          <w:p w14:paraId="28282C7B">
            <w:pPr>
              <w:spacing w:before="220" w:line="220" w:lineRule="auto"/>
              <w:ind w:left="2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需方</w:t>
            </w:r>
          </w:p>
        </w:tc>
        <w:tc>
          <w:tcPr>
            <w:tcW w:w="5457" w:type="dxa"/>
          </w:tcPr>
          <w:p w14:paraId="55715F2F">
            <w:pPr>
              <w:spacing w:before="219" w:line="219" w:lineRule="auto"/>
              <w:ind w:left="1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需要运行维护服务的组织或机构。</w:t>
            </w:r>
          </w:p>
        </w:tc>
      </w:tr>
      <w:tr w14:paraId="5E2D97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557" w:type="dxa"/>
            <w:shd w:val="clear" w:color="auto" w:fill="auto"/>
          </w:tcPr>
          <w:p w14:paraId="08F7C08A">
            <w:pPr>
              <w:spacing w:before="206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例行操作</w:t>
            </w:r>
          </w:p>
        </w:tc>
        <w:tc>
          <w:tcPr>
            <w:tcW w:w="990" w:type="dxa"/>
            <w:shd w:val="clear" w:color="auto" w:fill="auto"/>
          </w:tcPr>
          <w:p w14:paraId="3CB23296">
            <w:pPr>
              <w:spacing w:before="206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5457" w:type="dxa"/>
            <w:shd w:val="clear" w:color="auto" w:fill="auto"/>
          </w:tcPr>
          <w:p w14:paraId="6CBE8B65">
            <w:pPr>
              <w:spacing w:before="49" w:line="226" w:lineRule="auto"/>
              <w:ind w:left="114" w:leftChars="0" w:right="107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供方日常提供的预定服务，如巡检、监控、备份和测试等。</w:t>
            </w:r>
          </w:p>
        </w:tc>
      </w:tr>
      <w:tr w14:paraId="3CD350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0397FF45">
            <w:pPr>
              <w:spacing w:before="195" w:line="219" w:lineRule="auto"/>
              <w:ind w:left="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响应支持</w:t>
            </w:r>
          </w:p>
        </w:tc>
        <w:tc>
          <w:tcPr>
            <w:tcW w:w="0" w:type="auto"/>
            <w:shd w:val="clear" w:color="auto" w:fill="auto"/>
          </w:tcPr>
          <w:p w14:paraId="0A8B99A2">
            <w:pPr>
              <w:spacing w:before="194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75E97966">
            <w:pPr>
              <w:spacing w:before="40" w:line="225" w:lineRule="auto"/>
              <w:ind w:left="117" w:leftChars="0" w:right="107" w:rightChars="0" w:hanging="3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供方对服务请求或故障申报提供的即时服务，如突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发事件处理等。</w:t>
            </w:r>
          </w:p>
        </w:tc>
      </w:tr>
      <w:tr w14:paraId="32DAAC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37681A41">
            <w:pPr>
              <w:spacing w:before="196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优化改善</w:t>
            </w:r>
          </w:p>
        </w:tc>
        <w:tc>
          <w:tcPr>
            <w:tcW w:w="0" w:type="auto"/>
            <w:shd w:val="clear" w:color="auto" w:fill="auto"/>
          </w:tcPr>
          <w:p w14:paraId="37F27147">
            <w:pPr>
              <w:spacing w:before="195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34BDF04E">
            <w:pPr>
              <w:spacing w:before="40" w:line="225" w:lineRule="auto"/>
              <w:ind w:left="114" w:leftChars="0" w:right="102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供方对运行维护服务对象提供功能和性能的调优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服务，如数据库优化、网络优化等。</w:t>
            </w:r>
          </w:p>
        </w:tc>
      </w:tr>
      <w:tr w14:paraId="291C6F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0248A149">
            <w:pPr>
              <w:pStyle w:val="28"/>
              <w:spacing w:line="430" w:lineRule="auto"/>
            </w:pPr>
          </w:p>
          <w:p w14:paraId="634B5C2D">
            <w:pPr>
              <w:spacing w:before="78" w:line="218" w:lineRule="auto"/>
              <w:ind w:left="8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调研评估</w:t>
            </w:r>
          </w:p>
        </w:tc>
        <w:tc>
          <w:tcPr>
            <w:tcW w:w="0" w:type="auto"/>
            <w:shd w:val="clear" w:color="auto" w:fill="auto"/>
          </w:tcPr>
          <w:p w14:paraId="202ED8EB">
            <w:pPr>
              <w:pStyle w:val="28"/>
              <w:spacing w:line="430" w:lineRule="auto"/>
            </w:pPr>
          </w:p>
          <w:p w14:paraId="15DA1C5B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3221316B">
            <w:pPr>
              <w:spacing w:before="198" w:line="241" w:lineRule="auto"/>
              <w:ind w:left="113" w:leftChars="0" w:right="102" w:right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供方通过对运行维护服务对象的调查研究或分析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评价，给出报告或建议。如系统调研、IT</w:t>
            </w:r>
            <w:r>
              <w:rPr>
                <w:rFonts w:ascii="宋体" w:hAnsi="宋体" w:eastAsia="宋体" w:cs="宋体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连续性评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估等。</w:t>
            </w:r>
          </w:p>
        </w:tc>
      </w:tr>
      <w:tr w14:paraId="5C2103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338CDF84">
            <w:pPr>
              <w:spacing w:before="197" w:line="219" w:lineRule="auto"/>
              <w:ind w:left="32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SLA 服务级别协议</w:t>
            </w:r>
          </w:p>
        </w:tc>
        <w:tc>
          <w:tcPr>
            <w:tcW w:w="0" w:type="auto"/>
            <w:shd w:val="clear" w:color="auto" w:fill="auto"/>
          </w:tcPr>
          <w:p w14:paraId="133A4F65">
            <w:pPr>
              <w:spacing w:before="232" w:line="185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SLA</w:t>
            </w:r>
          </w:p>
        </w:tc>
        <w:tc>
          <w:tcPr>
            <w:tcW w:w="0" w:type="auto"/>
            <w:shd w:val="clear" w:color="auto" w:fill="auto"/>
          </w:tcPr>
          <w:p w14:paraId="177CB60E">
            <w:pPr>
              <w:spacing w:before="40" w:line="224" w:lineRule="auto"/>
              <w:ind w:left="119" w:leftChars="0" w:right="102" w:rightChars="0" w:hanging="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运行维护服务供方与需方之间签署的描述符合和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约定服务级别的协议。</w:t>
            </w:r>
          </w:p>
        </w:tc>
      </w:tr>
      <w:tr w14:paraId="0432B0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25CEE21A">
            <w:pPr>
              <w:pStyle w:val="28"/>
              <w:spacing w:line="276" w:lineRule="auto"/>
            </w:pPr>
          </w:p>
          <w:p w14:paraId="3333275B">
            <w:pPr>
              <w:spacing w:before="78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应急事件</w:t>
            </w:r>
          </w:p>
        </w:tc>
        <w:tc>
          <w:tcPr>
            <w:tcW w:w="0" w:type="auto"/>
            <w:shd w:val="clear" w:color="auto" w:fill="auto"/>
          </w:tcPr>
          <w:p w14:paraId="1FED2BF6">
            <w:pPr>
              <w:pStyle w:val="28"/>
              <w:spacing w:line="276" w:lineRule="auto"/>
            </w:pPr>
          </w:p>
          <w:p w14:paraId="7B03F5D9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3AB3F555">
            <w:pPr>
              <w:spacing w:before="200" w:line="242" w:lineRule="auto"/>
              <w:ind w:left="115" w:leftChars="0" w:right="107" w:rightChars="0" w:firstLine="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导致或即将导致运行维护服务对象运行中断、运行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质 量降低，以及需要实施重点时段保障的事件。</w:t>
            </w:r>
          </w:p>
        </w:tc>
      </w:tr>
      <w:tr w14:paraId="636ED5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</w:tcPr>
          <w:p w14:paraId="45049859">
            <w:pPr>
              <w:pStyle w:val="28"/>
              <w:spacing w:line="277" w:lineRule="auto"/>
            </w:pPr>
          </w:p>
          <w:p w14:paraId="67D6D8B7">
            <w:pPr>
              <w:spacing w:before="78" w:line="220" w:lineRule="auto"/>
              <w:ind w:left="68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利益相关方</w:t>
            </w:r>
          </w:p>
        </w:tc>
        <w:tc>
          <w:tcPr>
            <w:tcW w:w="0" w:type="auto"/>
            <w:shd w:val="clear" w:color="auto" w:fill="auto"/>
          </w:tcPr>
          <w:p w14:paraId="66DF2072">
            <w:pPr>
              <w:pStyle w:val="28"/>
              <w:spacing w:line="277" w:lineRule="auto"/>
            </w:pPr>
          </w:p>
          <w:p w14:paraId="35304257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</w:tcPr>
          <w:p w14:paraId="3A623EDD">
            <w:pPr>
              <w:spacing w:before="200" w:line="242" w:lineRule="auto"/>
              <w:ind w:left="115" w:leftChars="0" w:right="107" w:rightChars="0" w:hanging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在组织的决策或活动中有重要利益的组织，包括服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务需方、服务供方、供应商等。</w:t>
            </w:r>
          </w:p>
        </w:tc>
      </w:tr>
    </w:tbl>
    <w:p w14:paraId="66B43F90">
      <w:pPr>
        <w:pStyle w:val="30"/>
        <w:bidi w:val="0"/>
        <w:rPr>
          <w:rFonts w:hint="default"/>
          <w:lang w:val="en-US" w:eastAsia="zh-CN"/>
        </w:rPr>
      </w:pPr>
    </w:p>
    <w:p w14:paraId="30DA8460">
      <w:pPr>
        <w:pStyle w:val="29"/>
        <w:bidi w:val="0"/>
        <w:rPr>
          <w:rFonts w:hint="eastAsia"/>
          <w:lang w:val="en-US" w:eastAsia="zh-CN"/>
        </w:rPr>
      </w:pPr>
      <w:bookmarkStart w:id="4" w:name="_Toc10715"/>
      <w:r>
        <w:rPr>
          <w:rFonts w:hint="eastAsia"/>
          <w:lang w:val="en-US" w:eastAsia="zh-CN"/>
        </w:rPr>
        <w:t>原则</w:t>
      </w:r>
      <w:bookmarkEnd w:id="4"/>
    </w:p>
    <w:p w14:paraId="723A302F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为确保交付管理工作的科学性、规范性和有效性，保障服务质量并持续提升客户满意度，特制定以下核心原则：</w:t>
      </w:r>
    </w:p>
    <w:p w14:paraId="071E0C57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客户导向原则</w:t>
      </w:r>
    </w:p>
    <w:p w14:paraId="710E966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交付管理的最终目标是满足客户需求并创造价值。所有交付活动应以客户服务级别协议（SLA）为核心依据，主动管理客户期望，确保交付成果与客户业务目标保持一致。</w:t>
      </w:r>
    </w:p>
    <w:p w14:paraId="7EB45C9A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过程规范原则</w:t>
      </w:r>
    </w:p>
    <w:p w14:paraId="4A819AB2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所有服务交付活动必须遵循既定的管理流程和操作规范。推行标准化、流程化的交付模式，确保交付过程的可控、可预测和可追溯，减少对个体经验的依赖。</w:t>
      </w:r>
    </w:p>
    <w:p w14:paraId="577259E4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质量可控原则</w:t>
      </w:r>
    </w:p>
    <w:p w14:paraId="0BFFFCB6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交付质量是管理的生命线。应建立全面的质量评价体系，对交付过程中的关键活动、交付物及最终结果进行度量、监控和评审，确保交付质量符合既定标准。</w:t>
      </w:r>
    </w:p>
    <w:p w14:paraId="58F45F54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持续改进原则</w:t>
      </w:r>
    </w:p>
    <w:p w14:paraId="57652D2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交付管理是一个持续优化的过程。应定期收集交付过程中的数据、分析绩效指标、汲取经验教训，并将其应用于流程优化和服务改进，形成闭环管理，不断提升交付效率和效果。</w:t>
      </w:r>
    </w:p>
    <w:p w14:paraId="66CE4EE1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风险预控原则</w:t>
      </w:r>
    </w:p>
    <w:p w14:paraId="3951A29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坚持预防为主。对交付过程中可能出现的风险（如人员、资源、技术、安全等风险）进行前瞻性识别、评估和应对，制定应急预案，最大限度降低风险对交付目标的负面影响。</w:t>
      </w:r>
    </w:p>
    <w:p w14:paraId="7BEB156C">
      <w:pPr>
        <w:pStyle w:val="29"/>
        <w:bidi w:val="0"/>
      </w:pPr>
      <w:bookmarkStart w:id="5" w:name="_Toc8545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1354C80C">
      <w:pPr>
        <w:pStyle w:val="30"/>
        <w:bidi w:val="0"/>
      </w:pPr>
      <w:r>
        <w:t>本制度适用于公司在运维服务项目的交付管理，包括交付策划、交付实施、交付检查和交付改进等。适用于运维服务相关部门，主要包括：运维部、质量部、</w:t>
      </w:r>
      <w:r>
        <w:rPr>
          <w:rFonts w:hint="eastAsia"/>
          <w:lang w:val="en-US" w:eastAsia="zh-CN"/>
        </w:rPr>
        <w:t>人力部</w:t>
      </w:r>
      <w:r>
        <w:t>、</w:t>
      </w:r>
      <w:r>
        <w:rPr>
          <w:rFonts w:hint="eastAsia"/>
          <w:lang w:val="en-US" w:eastAsia="zh-CN"/>
        </w:rPr>
        <w:t>研发部和采购部</w:t>
      </w:r>
      <w:r>
        <w:t>等。</w:t>
      </w:r>
    </w:p>
    <w:p w14:paraId="561F6036">
      <w:pPr>
        <w:pStyle w:val="29"/>
        <w:bidi w:val="0"/>
        <w:rPr>
          <w:rFonts w:hint="eastAsia"/>
          <w:lang w:val="en-US" w:eastAsia="zh-CN"/>
        </w:rPr>
      </w:pPr>
      <w:bookmarkStart w:id="6" w:name="_Toc28367"/>
      <w:r>
        <w:rPr>
          <w:rFonts w:hint="eastAsia"/>
          <w:lang w:val="en-US" w:eastAsia="zh-CN"/>
        </w:rPr>
        <w:t>岗位职责</w:t>
      </w:r>
      <w:bookmarkEnd w:id="6"/>
    </w:p>
    <w:p w14:paraId="0FCD34A0">
      <w:pPr>
        <w:pStyle w:val="31"/>
        <w:bidi w:val="0"/>
        <w:rPr>
          <w:rFonts w:hint="eastAsia"/>
          <w:lang w:val="en-US" w:eastAsia="zh-CN"/>
        </w:rPr>
      </w:pPr>
      <w:bookmarkStart w:id="7" w:name="_Toc4533"/>
      <w:r>
        <w:rPr>
          <w:rFonts w:hint="eastAsia"/>
          <w:lang w:val="en-US" w:eastAsia="zh-CN"/>
        </w:rPr>
        <w:t>运维部经理</w:t>
      </w:r>
      <w:bookmarkEnd w:id="7"/>
    </w:p>
    <w:p w14:paraId="31AF261B">
      <w:pPr>
        <w:pStyle w:val="30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负责交付过程的管理，包括交付过程的策划、资源调配、监督和改进。</w:t>
      </w:r>
    </w:p>
    <w:p w14:paraId="72CEE357">
      <w:pPr>
        <w:pStyle w:val="31"/>
        <w:bidi w:val="0"/>
        <w:rPr>
          <w:rFonts w:hint="eastAsia"/>
          <w:lang w:val="en-US" w:eastAsia="zh-CN"/>
        </w:rPr>
      </w:pPr>
      <w:bookmarkStart w:id="8" w:name="_Toc20963"/>
      <w:r>
        <w:rPr>
          <w:rFonts w:hint="eastAsia"/>
          <w:lang w:val="en-US" w:eastAsia="zh-CN"/>
        </w:rPr>
        <w:t>运维项目经理</w:t>
      </w:r>
      <w:bookmarkEnd w:id="8"/>
    </w:p>
    <w:p w14:paraId="601B6B5F">
      <w:pPr>
        <w:pStyle w:val="30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负责项目管理，包括了项目组组建、项目组织、计划、沟通、监督控制、项目总结等的管理</w:t>
      </w:r>
    </w:p>
    <w:p w14:paraId="3EBCB1D2">
      <w:pPr>
        <w:pStyle w:val="31"/>
        <w:bidi w:val="0"/>
        <w:rPr>
          <w:rFonts w:hint="eastAsia"/>
          <w:lang w:val="en-US" w:eastAsia="zh-CN"/>
        </w:rPr>
      </w:pPr>
      <w:bookmarkStart w:id="9" w:name="_Toc30567"/>
      <w:r>
        <w:rPr>
          <w:rFonts w:hint="eastAsia"/>
          <w:lang w:val="en-US" w:eastAsia="zh-CN"/>
        </w:rPr>
        <w:t>质量部经理</w:t>
      </w:r>
      <w:bookmarkEnd w:id="9"/>
    </w:p>
    <w:p w14:paraId="5394E83B">
      <w:pPr>
        <w:pStyle w:val="30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负责项目质量的保证措施的执行，包括了客户满意度、客户投诉和项目质量监控等</w:t>
      </w:r>
    </w:p>
    <w:p w14:paraId="01B216F7">
      <w:pPr>
        <w:pStyle w:val="31"/>
        <w:bidi w:val="0"/>
        <w:rPr>
          <w:rFonts w:hint="default"/>
          <w:lang w:val="en-US" w:eastAsia="zh-CN"/>
        </w:rPr>
      </w:pPr>
      <w:bookmarkStart w:id="10" w:name="_Toc29344"/>
      <w:r>
        <w:rPr>
          <w:rFonts w:hint="eastAsia"/>
          <w:lang w:val="en-US" w:eastAsia="zh-CN"/>
        </w:rPr>
        <w:t>运维实施工程师</w:t>
      </w:r>
      <w:bookmarkEnd w:id="10"/>
    </w:p>
    <w:p w14:paraId="7B700052">
      <w:pPr>
        <w:pStyle w:val="30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负责项目现场的执行，主要包括了项目任务的执行</w:t>
      </w:r>
    </w:p>
    <w:p w14:paraId="78170824">
      <w:pPr>
        <w:pStyle w:val="29"/>
        <w:bidi w:val="0"/>
        <w:rPr>
          <w:rFonts w:hint="default"/>
          <w:lang w:val="en-US" w:eastAsia="zh-CN"/>
        </w:rPr>
      </w:pPr>
      <w:bookmarkStart w:id="11" w:name="_Toc9178"/>
      <w:r>
        <w:rPr>
          <w:rFonts w:hint="eastAsia"/>
          <w:lang w:val="en-US" w:eastAsia="zh-CN"/>
        </w:rPr>
        <w:t>交付构成与管理</w:t>
      </w:r>
      <w:bookmarkEnd w:id="11"/>
    </w:p>
    <w:p w14:paraId="6CE8A809">
      <w:pPr>
        <w:pStyle w:val="31"/>
        <w:bidi w:val="0"/>
        <w:rPr>
          <w:rFonts w:hint="default"/>
          <w:lang w:val="en-US" w:eastAsia="zh-CN"/>
        </w:rPr>
      </w:pPr>
      <w:bookmarkStart w:id="12" w:name="_Toc13550"/>
      <w:r>
        <w:rPr>
          <w:rFonts w:hint="eastAsia"/>
          <w:lang w:val="en-US" w:eastAsia="zh-CN"/>
        </w:rPr>
        <w:t>交付管理</w:t>
      </w:r>
      <w:bookmarkEnd w:id="12"/>
    </w:p>
    <w:p w14:paraId="36FCE1AB">
      <w:pPr>
        <w:spacing w:before="296" w:line="362" w:lineRule="auto"/>
        <w:ind w:left="28" w:firstLine="4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公司在向客户提供运维服务的过程中通过交付策划、交付实施、交付检查和</w:t>
      </w:r>
      <w:r>
        <w:rPr>
          <w:rFonts w:ascii="宋体" w:hAnsi="宋体" w:eastAsia="宋体" w:cs="宋体"/>
          <w:spacing w:val="-1"/>
          <w:sz w:val="24"/>
          <w:szCs w:val="24"/>
        </w:rPr>
        <w:t>交付改进等管理措施，确保交付质量得到有效</w:t>
      </w:r>
      <w:r>
        <w:rPr>
          <w:rFonts w:ascii="宋体" w:hAnsi="宋体" w:eastAsia="宋体" w:cs="宋体"/>
          <w:spacing w:val="-2"/>
          <w:sz w:val="24"/>
          <w:szCs w:val="24"/>
        </w:rPr>
        <w:t>控制，以达成服务级别协议要求。</w:t>
      </w:r>
    </w:p>
    <w:p w14:paraId="6EC1AD0E">
      <w:pPr>
        <w:pStyle w:val="32"/>
        <w:bidi w:val="0"/>
      </w:pPr>
      <w:bookmarkStart w:id="13" w:name="bookmark9"/>
      <w:bookmarkEnd w:id="13"/>
      <w:bookmarkStart w:id="14" w:name="_Toc11035"/>
      <w:r>
        <w:t>交付策划</w:t>
      </w:r>
      <w:bookmarkEnd w:id="14"/>
    </w:p>
    <w:p w14:paraId="33BA687B">
      <w:pPr>
        <w:pStyle w:val="30"/>
        <w:bidi w:val="0"/>
      </w:pPr>
      <w:r>
        <w:t>根据客户需求和公司自身能力，与客户协商签署服务级别协议。公司选择合适的人员组建运维团队，运维团队提前做好必要的交付准备，制定交付计划，确保服务正常提供。</w:t>
      </w:r>
    </w:p>
    <w:p w14:paraId="0EE635B8">
      <w:pPr>
        <w:pStyle w:val="30"/>
        <w:bidi w:val="0"/>
      </w:pPr>
      <w:r>
        <w:t>交付策划过程中应关注的要素包括：</w:t>
      </w:r>
    </w:p>
    <w:p w14:paraId="0B4472A8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依据服务目录与客户确认服务级别协议；</w:t>
      </w:r>
    </w:p>
    <w:p w14:paraId="67FB74E1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编制《服务交付计划》，包括交付实施计划、交付检查计划和交付改进计划；</w:t>
      </w:r>
    </w:p>
    <w:p w14:paraId="10057ED1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配备符合能力要求的管理人员和技术人员；</w:t>
      </w:r>
    </w:p>
    <w:p w14:paraId="142B25E6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明确职责分工、服务流程和关键技术要求；</w:t>
      </w:r>
    </w:p>
    <w:p w14:paraId="4CA8687F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准备必要的资源，如工具、服务台等；</w:t>
      </w:r>
    </w:p>
    <w:p w14:paraId="6074643E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明确服务交付过程中的安全要求，并采取保障措施，如签署保密协议等；</w:t>
      </w:r>
    </w:p>
    <w:p w14:paraId="3A8EB5AB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明确服务交付过程中可能存在的各种风险，制定《风险清单》、《风险规避计划》；</w:t>
      </w:r>
    </w:p>
    <w:p w14:paraId="0CB0D92B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与客户就必要信息达成共识，如工作计划、人员配备、投诉受理渠道及流程、考核等；</w:t>
      </w:r>
    </w:p>
    <w:p w14:paraId="07D091D8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与客户协商确定应急响应机制。</w:t>
      </w:r>
    </w:p>
    <w:p w14:paraId="6E6B5413">
      <w:pPr>
        <w:pStyle w:val="32"/>
        <w:bidi w:val="0"/>
      </w:pPr>
      <w:bookmarkStart w:id="15" w:name="bookmark10"/>
      <w:bookmarkEnd w:id="15"/>
      <w:bookmarkStart w:id="16" w:name="_Toc17734"/>
      <w:r>
        <w:t>交付实施</w:t>
      </w:r>
      <w:bookmarkEnd w:id="16"/>
    </w:p>
    <w:p w14:paraId="41D18CFD">
      <w:pPr>
        <w:pStyle w:val="30"/>
        <w:bidi w:val="0"/>
      </w:pPr>
      <w:r>
        <w:t>公司运维团队按照交付策划向客户提供运维服务，完成服务级别协议规定内容。</w:t>
      </w:r>
    </w:p>
    <w:p w14:paraId="3AED7EFD">
      <w:pPr>
        <w:pStyle w:val="30"/>
        <w:bidi w:val="0"/>
      </w:pPr>
      <w:r>
        <w:t>交付实施过程中应关注的要素包括：</w:t>
      </w:r>
    </w:p>
    <w:p w14:paraId="568DAA0D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按照交付策划的要求实施；</w:t>
      </w:r>
    </w:p>
    <w:p w14:paraId="07603E7A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实施过程中统计运维人员、资源、过程、技术及服务级别协议达成情况，对需要完善的方面及时改进。</w:t>
      </w:r>
    </w:p>
    <w:p w14:paraId="7666BD6C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保证关键信息及时传递到供需双方干系人，如</w:t>
      </w:r>
      <w:r>
        <w:rPr>
          <w:rFonts w:hint="eastAsia"/>
          <w:lang w:val="en-US" w:eastAsia="zh-CN"/>
        </w:rPr>
        <w:t>运维</w:t>
      </w:r>
      <w:r>
        <w:t>项目经理、上级主管、</w:t>
      </w:r>
      <w:r>
        <w:rPr>
          <w:rFonts w:hint="eastAsia"/>
          <w:lang w:val="en-US" w:eastAsia="zh-CN"/>
        </w:rPr>
        <w:t>研发部经理</w:t>
      </w:r>
      <w:r>
        <w:t>等；</w:t>
      </w:r>
    </w:p>
    <w:p w14:paraId="35D1FA71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按照管理要求和服务承诺提交服务报告（周报告、月报告、总结报告等）；</w:t>
      </w:r>
    </w:p>
    <w:p w14:paraId="52E6084C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在组织内建立并使用知识库，及时归档文件，分享经验；</w:t>
      </w:r>
    </w:p>
    <w:p w14:paraId="35DFC5E9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确保人员、操作、数据以及工具等符合交付策划中对安全的要求；</w:t>
      </w:r>
    </w:p>
    <w:p w14:paraId="392E8B72">
      <w:pPr>
        <w:pStyle w:val="32"/>
        <w:bidi w:val="0"/>
      </w:pPr>
      <w:bookmarkStart w:id="17" w:name="bookmark11"/>
      <w:bookmarkEnd w:id="17"/>
      <w:bookmarkStart w:id="18" w:name="_Toc21979"/>
      <w:r>
        <w:t>交付检查</w:t>
      </w:r>
      <w:bookmarkEnd w:id="18"/>
    </w:p>
    <w:p w14:paraId="24FD9E1C">
      <w:pPr>
        <w:pStyle w:val="30"/>
        <w:bidi w:val="0"/>
      </w:pPr>
      <w:r>
        <w:t>公司</w:t>
      </w:r>
      <w:r>
        <w:rPr>
          <w:rFonts w:hint="eastAsia"/>
          <w:lang w:val="en-US" w:eastAsia="zh-CN"/>
        </w:rPr>
        <w:t>质量部</w:t>
      </w:r>
      <w:r>
        <w:t>每季度一次通过交付策划与交付实施的对比检查，确认完成情况，填写《质量审核报告》，并对发现的问题提出改进建议。</w:t>
      </w:r>
    </w:p>
    <w:p w14:paraId="0AC723F9">
      <w:pPr>
        <w:pStyle w:val="30"/>
        <w:bidi w:val="0"/>
      </w:pPr>
      <w:r>
        <w:t>检查内容应关注的要素包括：</w:t>
      </w:r>
    </w:p>
    <w:p w14:paraId="1D9573CE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交付计划的实施情况；</w:t>
      </w:r>
    </w:p>
    <w:p w14:paraId="057E18A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服务级别协议达成情况；</w:t>
      </w:r>
    </w:p>
    <w:p w14:paraId="6638B6B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资源使用情况；</w:t>
      </w:r>
    </w:p>
    <w:p w14:paraId="2A645C3F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人员工作情况；</w:t>
      </w:r>
    </w:p>
    <w:p w14:paraId="75EA4C3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交付过程的合规性；</w:t>
      </w:r>
    </w:p>
    <w:p w14:paraId="4F21C6B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客户满意度；</w:t>
      </w:r>
    </w:p>
    <w:p w14:paraId="77C631B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质量审核总结。</w:t>
      </w:r>
    </w:p>
    <w:p w14:paraId="26FE2906">
      <w:pPr>
        <w:pStyle w:val="32"/>
        <w:bidi w:val="0"/>
      </w:pPr>
      <w:bookmarkStart w:id="19" w:name="bookmark12"/>
      <w:bookmarkEnd w:id="19"/>
      <w:bookmarkStart w:id="20" w:name="_Toc18251"/>
      <w:r>
        <w:t>交付改进</w:t>
      </w:r>
      <w:bookmarkEnd w:id="20"/>
    </w:p>
    <w:p w14:paraId="6199CF54">
      <w:pPr>
        <w:pStyle w:val="30"/>
        <w:bidi w:val="0"/>
      </w:pPr>
      <w:r>
        <w:t>公司运维团队通过对交付各过程的总结分析，提出建议并改进，以提高效率，提升客户满意度。</w:t>
      </w:r>
    </w:p>
    <w:p w14:paraId="5108F705">
      <w:pPr>
        <w:pStyle w:val="30"/>
        <w:bidi w:val="0"/>
      </w:pPr>
      <w:r>
        <w:t>交付改进过程中应关注的要素包括：</w:t>
      </w:r>
    </w:p>
    <w:p w14:paraId="1412C5AE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分析服务交付过程，提出和实施改善建议；</w:t>
      </w:r>
    </w:p>
    <w:p w14:paraId="7125708C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分析和改善未达成服务级别协议情况；</w:t>
      </w:r>
    </w:p>
    <w:p w14:paraId="030FD7F4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分析和改善用户投诉情况；</w:t>
      </w:r>
    </w:p>
    <w:p w14:paraId="223A2A42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分析和改善用户回访的不满意情况；</w:t>
      </w:r>
    </w:p>
    <w:p w14:paraId="2797FB3D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分析服务过程，改善服务交付，挖掘服务价值；</w:t>
      </w:r>
    </w:p>
    <w:p w14:paraId="3874D1D0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建立内部主动服务改进机制，跟踪服务改善情况，完成《交付改进</w:t>
      </w:r>
      <w:r>
        <w:rPr>
          <w:rFonts w:ascii="宋体" w:hAnsi="宋体" w:eastAsia="宋体" w:cs="宋体"/>
          <w:spacing w:val="-4"/>
          <w:sz w:val="24"/>
          <w:szCs w:val="24"/>
        </w:rPr>
        <w:t>办法》；</w:t>
      </w:r>
    </w:p>
    <w:p w14:paraId="458C0CC3">
      <w:pPr>
        <w:pStyle w:val="30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依据风险评估情况，更新《风险清单》和《风险规避计划》。</w:t>
      </w:r>
    </w:p>
    <w:p w14:paraId="5025C78B">
      <w:pPr>
        <w:pStyle w:val="31"/>
        <w:bidi w:val="0"/>
      </w:pPr>
      <w:bookmarkStart w:id="21" w:name="_Toc2076"/>
      <w:r>
        <w:t>交付内容</w:t>
      </w:r>
      <w:bookmarkEnd w:id="21"/>
    </w:p>
    <w:p w14:paraId="05633291">
      <w:pPr>
        <w:pStyle w:val="30"/>
        <w:bidi w:val="0"/>
      </w:pPr>
      <w:r>
        <w:t>公司运维团队提供的交付内容包括例行操作、响应支持、优化改善和调研评估等，以达成运维服务的服务级别协议要求。</w:t>
      </w:r>
    </w:p>
    <w:p w14:paraId="5185E06D">
      <w:pPr>
        <w:pStyle w:val="32"/>
        <w:bidi w:val="0"/>
      </w:pPr>
      <w:bookmarkStart w:id="22" w:name="_Toc19002"/>
      <w:r>
        <w:t>例行操作</w:t>
      </w:r>
      <w:bookmarkEnd w:id="22"/>
    </w:p>
    <w:p w14:paraId="6A1352B4">
      <w:pPr>
        <w:pStyle w:val="30"/>
        <w:bidi w:val="0"/>
      </w:pPr>
      <w:r>
        <w:t>例行操作过程中应关注的要素包括：</w:t>
      </w:r>
    </w:p>
    <w:p w14:paraId="2F592C2D">
      <w:pPr>
        <w:pStyle w:val="30"/>
        <w:numPr>
          <w:ilvl w:val="0"/>
          <w:numId w:val="11"/>
        </w:numPr>
        <w:bidi w:val="0"/>
        <w:ind w:left="425" w:leftChars="0" w:hanging="425" w:firstLineChars="0"/>
      </w:pPr>
      <w:r>
        <w:t>针对例行操作编写《例行操作工作计划》，如周计划、月计划等，至少包括：例行操作的交付目标、内容、范围、周期和人员安排；</w:t>
      </w:r>
    </w:p>
    <w:p w14:paraId="2BD3C89D">
      <w:pPr>
        <w:pStyle w:val="30"/>
        <w:numPr>
          <w:ilvl w:val="0"/>
          <w:numId w:val="11"/>
        </w:numPr>
        <w:bidi w:val="0"/>
        <w:ind w:left="425" w:leftChars="0" w:hanging="425" w:firstLineChars="0"/>
      </w:pPr>
      <w:r>
        <w:t>编制《例行操作指导手册》，如运维工具的操作手册、运维对象的操作手册等，并指定专人负责更新和完善。指导手册中应包括：</w:t>
      </w:r>
    </w:p>
    <w:p w14:paraId="6D008FA5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各项任务的操作步骤及说明；</w:t>
      </w:r>
    </w:p>
    <w:p w14:paraId="1DC6DD84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运行状态是否正常的判定标准；</w:t>
      </w:r>
    </w:p>
    <w:p w14:paraId="66ECB9C2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运行状态信息的记录要求；</w:t>
      </w:r>
    </w:p>
    <w:p w14:paraId="0698DC65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异常状况处置流程，包括角色定义、处置方法、流转过程和结束要求；</w:t>
      </w:r>
    </w:p>
    <w:p w14:paraId="55F5D886">
      <w:pPr>
        <w:pStyle w:val="30"/>
        <w:numPr>
          <w:ilvl w:val="0"/>
          <w:numId w:val="12"/>
        </w:numPr>
        <w:bidi w:val="0"/>
        <w:ind w:left="845" w:leftChars="0" w:hanging="425" w:firstLineChars="0"/>
      </w:pPr>
      <w:r>
        <w:t>例行操作报告模版。</w:t>
      </w:r>
    </w:p>
    <w:p w14:paraId="3DA14746">
      <w:pPr>
        <w:pStyle w:val="30"/>
        <w:numPr>
          <w:ilvl w:val="0"/>
          <w:numId w:val="11"/>
        </w:numPr>
        <w:bidi w:val="0"/>
        <w:ind w:left="425" w:leftChars="0" w:hanging="425" w:firstLineChars="0"/>
      </w:pPr>
      <w:r>
        <w:t>确保人员、操作、数据以及工具等符合安全的要求；</w:t>
      </w:r>
    </w:p>
    <w:p w14:paraId="64FC5F49">
      <w:pPr>
        <w:pStyle w:val="30"/>
        <w:numPr>
          <w:ilvl w:val="0"/>
          <w:numId w:val="11"/>
        </w:numPr>
        <w:bidi w:val="0"/>
        <w:ind w:left="425" w:leftChars="0" w:hanging="425" w:firstLineChars="0"/>
      </w:pPr>
      <w:r>
        <w:t>例行操作的数据及时归档，且便于查询。</w:t>
      </w:r>
    </w:p>
    <w:p w14:paraId="0C6A597D">
      <w:pPr>
        <w:pStyle w:val="32"/>
        <w:bidi w:val="0"/>
      </w:pPr>
      <w:bookmarkStart w:id="23" w:name="bookmark15"/>
      <w:bookmarkEnd w:id="23"/>
      <w:bookmarkStart w:id="24" w:name="_Toc27234"/>
      <w:r>
        <w:t>响应支持</w:t>
      </w:r>
      <w:bookmarkEnd w:id="24"/>
    </w:p>
    <w:p w14:paraId="660A4B7C">
      <w:pPr>
        <w:pStyle w:val="40"/>
        <w:bidi w:val="0"/>
      </w:pPr>
      <w:r>
        <w:t>响应支持过程中应关注的要素包括：</w:t>
      </w:r>
    </w:p>
    <w:p w14:paraId="4CEC0F38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公示受理的渠道，如电话、传真、邮件或网络方式等；</w:t>
      </w:r>
    </w:p>
    <w:p w14:paraId="3DA92475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严格按照服务承诺如工作时间、响应时间等进行响应和技术支持</w:t>
      </w:r>
    </w:p>
    <w:p w14:paraId="53B90AD0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与需方就响应级别、报警升级条件等内容达成共识；</w:t>
      </w:r>
    </w:p>
    <w:p w14:paraId="36E10ADD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在服务管理系统中记录响应支持的关键交付过程；</w:t>
      </w:r>
    </w:p>
    <w:p w14:paraId="085099D7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在需方同意的情况下结束支持；</w:t>
      </w:r>
    </w:p>
    <w:p w14:paraId="292A5649">
      <w:pPr>
        <w:pStyle w:val="40"/>
        <w:numPr>
          <w:ilvl w:val="0"/>
          <w:numId w:val="13"/>
        </w:numPr>
        <w:bidi w:val="0"/>
        <w:ind w:left="425" w:leftChars="0" w:hanging="425" w:firstLineChars="0"/>
      </w:pPr>
      <w:r>
        <w:t>制定多途径、高效的沟通机制。</w:t>
      </w:r>
    </w:p>
    <w:p w14:paraId="041899EB">
      <w:pPr>
        <w:pStyle w:val="32"/>
        <w:bidi w:val="0"/>
      </w:pPr>
      <w:bookmarkStart w:id="25" w:name="bookmark16"/>
      <w:bookmarkEnd w:id="25"/>
      <w:bookmarkStart w:id="26" w:name="_Toc14804"/>
      <w:r>
        <w:t>优化改善</w:t>
      </w:r>
      <w:bookmarkEnd w:id="26"/>
    </w:p>
    <w:p w14:paraId="4EA58A9C">
      <w:pPr>
        <w:pStyle w:val="30"/>
        <w:bidi w:val="0"/>
      </w:pPr>
      <w:r>
        <w:t>优化改善过程中应关注的要素包括：</w:t>
      </w:r>
    </w:p>
    <w:p w14:paraId="0D10D320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编写《优化改善建议方案》，方案中宜包含：</w:t>
      </w:r>
      <w:r>
        <w:rPr>
          <w:rFonts w:ascii="宋体" w:hAnsi="宋体" w:eastAsia="宋体" w:cs="宋体"/>
          <w:spacing w:val="-5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目标、内容、步骤、</w:t>
      </w:r>
      <w:r>
        <w:rPr>
          <w:rFonts w:ascii="宋体" w:hAnsi="宋体" w:eastAsia="宋体" w:cs="宋体"/>
          <w:spacing w:val="-1"/>
          <w:sz w:val="24"/>
          <w:szCs w:val="24"/>
        </w:rPr>
        <w:t>人员、预算、进度、考核指标、风险预案和回退方案；</w:t>
      </w:r>
    </w:p>
    <w:p w14:paraId="2428BA76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优化改善后应有观察期，观察期后并完成《优化改善总结报告》，</w:t>
      </w:r>
      <w:r>
        <w:rPr>
          <w:rFonts w:ascii="宋体" w:hAnsi="宋体" w:eastAsia="宋体" w:cs="宋体"/>
          <w:spacing w:val="-1"/>
          <w:sz w:val="24"/>
          <w:szCs w:val="24"/>
        </w:rPr>
        <w:t>通过建立基线和优化改善后的比较，量化指标确保服务的效果；</w:t>
      </w:r>
    </w:p>
    <w:p w14:paraId="7EECFECB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对遗留问题制定改进措施并跟进；</w:t>
      </w:r>
    </w:p>
    <w:p w14:paraId="05705055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确保人员、操作、数据以及工具等符合安全的要求。</w:t>
      </w:r>
    </w:p>
    <w:p w14:paraId="689B3419">
      <w:pPr>
        <w:pStyle w:val="32"/>
        <w:bidi w:val="0"/>
      </w:pPr>
      <w:bookmarkStart w:id="27" w:name="bookmark17"/>
      <w:bookmarkEnd w:id="27"/>
      <w:bookmarkStart w:id="28" w:name="_Toc20848"/>
      <w:r>
        <w:t>调研评估</w:t>
      </w:r>
      <w:bookmarkEnd w:id="28"/>
    </w:p>
    <w:p w14:paraId="7898D443">
      <w:pPr>
        <w:pStyle w:val="30"/>
        <w:bidi w:val="0"/>
      </w:pPr>
      <w:r>
        <w:t>调研评估过程中应关注的要素包括：</w:t>
      </w:r>
    </w:p>
    <w:p w14:paraId="4DF528FF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在调研评估开展前提供《调研评估计划》，包括目标、内容、步骤、</w:t>
      </w:r>
      <w:r>
        <w:rPr>
          <w:rFonts w:ascii="宋体" w:hAnsi="宋体" w:eastAsia="宋体" w:cs="宋体"/>
          <w:spacing w:val="-1"/>
          <w:sz w:val="24"/>
          <w:szCs w:val="24"/>
        </w:rPr>
        <w:t>人员、预算、进度、交付成果和沟通计划等；</w:t>
      </w:r>
    </w:p>
    <w:p w14:paraId="5EA33267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向客户提供符合要求的《调研评估报告》，评估报告中应包含现状、</w:t>
      </w:r>
      <w:r>
        <w:rPr>
          <w:rFonts w:ascii="宋体" w:hAnsi="宋体" w:eastAsia="宋体" w:cs="宋体"/>
          <w:spacing w:val="-2"/>
          <w:sz w:val="24"/>
          <w:szCs w:val="24"/>
        </w:rPr>
        <w:t>需求、过程和建议等内容；</w:t>
      </w:r>
    </w:p>
    <w:p w14:paraId="79D4C2D0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调研评估后应跟踪落地效果，并进行内部评审与需方评审，完成《调</w:t>
      </w:r>
      <w:r>
        <w:rPr>
          <w:rFonts w:ascii="宋体" w:hAnsi="宋体" w:eastAsia="宋体" w:cs="宋体"/>
          <w:spacing w:val="-1"/>
          <w:sz w:val="24"/>
          <w:szCs w:val="24"/>
        </w:rPr>
        <w:t>研评估报告评审表》；</w:t>
      </w:r>
    </w:p>
    <w:p w14:paraId="5C46A108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确保人员、操作、数据以及工具等符合安全的要求。</w:t>
      </w:r>
    </w:p>
    <w:p w14:paraId="0B387B95">
      <w:pPr>
        <w:pStyle w:val="31"/>
        <w:bidi w:val="0"/>
      </w:pPr>
      <w:bookmarkStart w:id="29" w:name="bookmark18"/>
      <w:bookmarkEnd w:id="29"/>
      <w:bookmarkStart w:id="30" w:name="_Toc30644"/>
      <w:r>
        <w:t>6. 交付方式</w:t>
      </w:r>
      <w:bookmarkEnd w:id="30"/>
    </w:p>
    <w:p w14:paraId="16965C03">
      <w:pPr>
        <w:pStyle w:val="30"/>
        <w:bidi w:val="0"/>
      </w:pPr>
      <w:r>
        <w:t>公司运维团队采用现场交付或远程交付的交付方式，确保运维服务的正常提</w:t>
      </w:r>
    </w:p>
    <w:p w14:paraId="0ACD0615">
      <w:pPr>
        <w:pStyle w:val="30"/>
        <w:bidi w:val="0"/>
      </w:pPr>
      <w:r>
        <w:t>供，以达成服务级别协议要求。交付过程中应关注的要素包括：</w:t>
      </w:r>
    </w:p>
    <w:p w14:paraId="09215FF2">
      <w:pPr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交付各阶段所要完成的工作和要求应在规定的时间内告知运维工程</w:t>
      </w:r>
      <w:r>
        <w:rPr>
          <w:rFonts w:ascii="宋体" w:hAnsi="宋体" w:eastAsia="宋体" w:cs="宋体"/>
          <w:spacing w:val="2"/>
          <w:sz w:val="24"/>
          <w:szCs w:val="24"/>
        </w:rPr>
        <w:t>师和客户，并在必要时得到确认，包括任务清单、达成目标、时间</w:t>
      </w:r>
      <w:r>
        <w:rPr>
          <w:rFonts w:ascii="宋体" w:hAnsi="宋体" w:eastAsia="宋体" w:cs="宋体"/>
          <w:spacing w:val="-1"/>
          <w:sz w:val="24"/>
          <w:szCs w:val="24"/>
        </w:rPr>
        <w:t>周期、风险预估和管理要求；</w:t>
      </w:r>
    </w:p>
    <w:p w14:paraId="0FAE3C7D">
      <w:pPr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应具备交付任务发布/接受、远程指导</w:t>
      </w:r>
      <w:r>
        <w:rPr>
          <w:rFonts w:ascii="宋体" w:hAnsi="宋体" w:eastAsia="宋体" w:cs="宋体"/>
          <w:spacing w:val="-6"/>
          <w:sz w:val="24"/>
          <w:szCs w:val="24"/>
        </w:rPr>
        <w:t>、交付成果上传、知识库查询、</w:t>
      </w:r>
      <w:r>
        <w:rPr>
          <w:rFonts w:ascii="宋体" w:hAnsi="宋体" w:eastAsia="宋体" w:cs="宋体"/>
          <w:spacing w:val="-1"/>
          <w:sz w:val="24"/>
          <w:szCs w:val="24"/>
        </w:rPr>
        <w:t>服务质量及时评价等提高交付效率的手段；</w:t>
      </w:r>
    </w:p>
    <w:p w14:paraId="110FD086">
      <w:pPr>
        <w:pStyle w:val="30"/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rightChars="0" w:hanging="425" w:firstLineChars="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对交付过程进行量化的数据统计分析，如服</w:t>
      </w:r>
      <w:r>
        <w:rPr>
          <w:rFonts w:ascii="宋体" w:hAnsi="宋体" w:eastAsia="宋体" w:cs="宋体"/>
          <w:spacing w:val="2"/>
          <w:sz w:val="24"/>
          <w:szCs w:val="24"/>
        </w:rPr>
        <w:t>务时间、服务级别协议</w:t>
      </w:r>
      <w:r>
        <w:rPr>
          <w:rFonts w:ascii="宋体" w:hAnsi="宋体" w:eastAsia="宋体" w:cs="宋体"/>
          <w:spacing w:val="-1"/>
          <w:sz w:val="24"/>
          <w:szCs w:val="24"/>
        </w:rPr>
        <w:t>达成情况、风险发生概率和影响、满意度等。</w:t>
      </w:r>
    </w:p>
    <w:p w14:paraId="69C50FEF">
      <w:pPr>
        <w:pStyle w:val="31"/>
        <w:bidi w:val="0"/>
      </w:pPr>
      <w:bookmarkStart w:id="31" w:name="_Toc209"/>
      <w:r>
        <w:t>交付成果</w:t>
      </w:r>
      <w:bookmarkEnd w:id="31"/>
    </w:p>
    <w:p w14:paraId="431187C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公司运维团队在提供运维服务交付的过程中，需要向客户提供无形的（如状</w:t>
      </w:r>
      <w:r>
        <w:rPr>
          <w:rFonts w:ascii="宋体" w:hAnsi="宋体" w:eastAsia="宋体" w:cs="宋体"/>
          <w:spacing w:val="-3"/>
          <w:sz w:val="24"/>
          <w:szCs w:val="24"/>
        </w:rPr>
        <w:t>态恢复、性能提升等）或有形的（如过程记录、服务报告等）交付成果，以</w:t>
      </w:r>
      <w:r>
        <w:rPr>
          <w:rFonts w:ascii="宋体" w:hAnsi="宋体" w:eastAsia="宋体" w:cs="宋体"/>
          <w:spacing w:val="-4"/>
          <w:sz w:val="24"/>
          <w:szCs w:val="24"/>
        </w:rPr>
        <w:t>达成</w:t>
      </w:r>
      <w:r>
        <w:rPr>
          <w:rFonts w:ascii="宋体" w:hAnsi="宋体" w:eastAsia="宋体" w:cs="宋体"/>
          <w:spacing w:val="-2"/>
          <w:sz w:val="24"/>
          <w:szCs w:val="24"/>
        </w:rPr>
        <w:t>服务级别协议要求。</w:t>
      </w:r>
    </w:p>
    <w:p w14:paraId="71F269FD">
      <w:pPr>
        <w:pStyle w:val="32"/>
        <w:bidi w:val="0"/>
      </w:pPr>
      <w:bookmarkStart w:id="32" w:name="bookmark20"/>
      <w:bookmarkEnd w:id="32"/>
      <w:bookmarkStart w:id="33" w:name="_Toc26668"/>
      <w:r>
        <w:t>交付成果管理</w:t>
      </w:r>
      <w:bookmarkEnd w:id="33"/>
    </w:p>
    <w:p w14:paraId="1FE3A43F">
      <w:pPr>
        <w:pStyle w:val="30"/>
        <w:bidi w:val="0"/>
      </w:pPr>
      <w:r>
        <w:t>交付成果管理过程中应关注的要素包括：</w:t>
      </w:r>
    </w:p>
    <w:p w14:paraId="20C5C905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对成果的编制、审核、发布、归档等进行规范化全生命周期管理，</w:t>
      </w:r>
      <w:r>
        <w:rPr>
          <w:rFonts w:ascii="宋体" w:hAnsi="宋体" w:eastAsia="宋体" w:cs="宋体"/>
          <w:spacing w:val="-1"/>
          <w:sz w:val="24"/>
          <w:szCs w:val="24"/>
        </w:rPr>
        <w:t>对成果的访问编辑安全可控。</w:t>
      </w:r>
    </w:p>
    <w:p w14:paraId="15F7C731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运维项目的交付成果（包括过程记录、服务</w:t>
      </w:r>
      <w:r>
        <w:rPr>
          <w:rFonts w:ascii="宋体" w:hAnsi="宋体" w:eastAsia="宋体" w:cs="宋体"/>
          <w:spacing w:val="2"/>
          <w:sz w:val="24"/>
          <w:szCs w:val="24"/>
        </w:rPr>
        <w:t>报告等）由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项目经理指定人员进行编写，经由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项目经理审核通过后，由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项目经理递交给客户负责人，通过客户评审确认后，由项目经理及公司运维业务部进</w:t>
      </w:r>
      <w:r>
        <w:rPr>
          <w:rFonts w:ascii="宋体" w:hAnsi="宋体" w:eastAsia="宋体" w:cs="宋体"/>
          <w:spacing w:val="-2"/>
          <w:sz w:val="24"/>
          <w:szCs w:val="24"/>
        </w:rPr>
        <w:t>行归档保存</w:t>
      </w:r>
      <w:r>
        <w:rPr>
          <w:rFonts w:hint="eastAsia" w:ascii="宋体" w:hAnsi="宋体" w:cs="宋体"/>
          <w:spacing w:val="-2"/>
          <w:sz w:val="24"/>
          <w:szCs w:val="24"/>
          <w:lang w:eastAsia="zh-CN"/>
        </w:rPr>
        <w:t>。</w:t>
      </w:r>
    </w:p>
    <w:p w14:paraId="4939BC9A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归档后的交付成果应由运维业务部存储在专用服务器中，其访问与</w:t>
      </w:r>
      <w:r>
        <w:rPr>
          <w:rFonts w:ascii="宋体" w:hAnsi="宋体" w:eastAsia="宋体" w:cs="宋体"/>
          <w:spacing w:val="-1"/>
          <w:sz w:val="24"/>
          <w:szCs w:val="24"/>
        </w:rPr>
        <w:t>更新需经由运维部经理审批通过并赋予权限后方可执行；</w:t>
      </w:r>
    </w:p>
    <w:p w14:paraId="022F2395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归档后交付成果的废弃应在运维部经理和公司主管领导审批通</w:t>
      </w:r>
      <w:r>
        <w:rPr>
          <w:rFonts w:ascii="宋体" w:hAnsi="宋体" w:eastAsia="宋体" w:cs="宋体"/>
          <w:spacing w:val="-2"/>
          <w:sz w:val="24"/>
          <w:szCs w:val="24"/>
        </w:rPr>
        <w:t>过后方可执行；</w:t>
      </w:r>
    </w:p>
    <w:p w14:paraId="2D02427D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运维团队需与客户明确交付成果的受众、内容、时间或频度要求；</w:t>
      </w:r>
    </w:p>
    <w:p w14:paraId="64C351DA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确保有形成果的规格或格式达到服务级别协议要求；</w:t>
      </w:r>
    </w:p>
    <w:p w14:paraId="58544B8D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确保无形成果产生的效用应满足客户要求。</w:t>
      </w:r>
    </w:p>
    <w:p w14:paraId="0EDFAD95">
      <w:pPr>
        <w:pStyle w:val="32"/>
        <w:bidi w:val="0"/>
      </w:pPr>
      <w:bookmarkStart w:id="34" w:name="bookmark21"/>
      <w:bookmarkEnd w:id="34"/>
      <w:bookmarkStart w:id="35" w:name="_Toc1725"/>
      <w:r>
        <w:t>例行操作成果</w:t>
      </w:r>
      <w:bookmarkEnd w:id="35"/>
    </w:p>
    <w:p w14:paraId="1C696B2C">
      <w:pPr>
        <w:spacing w:before="199" w:line="362" w:lineRule="auto"/>
        <w:ind w:left="28" w:right="63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在提供例行操作服务交付的过程中，通过向客户提供无形的</w:t>
      </w:r>
      <w:r>
        <w:rPr>
          <w:rFonts w:ascii="宋体" w:hAnsi="宋体" w:eastAsia="宋体" w:cs="宋体"/>
          <w:spacing w:val="-4"/>
          <w:sz w:val="24"/>
          <w:szCs w:val="24"/>
        </w:rPr>
        <w:t>或有形的交付成</w:t>
      </w:r>
      <w:r>
        <w:rPr>
          <w:rFonts w:ascii="宋体" w:hAnsi="宋体" w:eastAsia="宋体" w:cs="宋体"/>
          <w:spacing w:val="-1"/>
          <w:sz w:val="24"/>
          <w:szCs w:val="24"/>
        </w:rPr>
        <w:t>果，以达成运维服务的服务级别协议要求。例行操作成果应关注的要素包括：</w:t>
      </w:r>
    </w:p>
    <w:p w14:paraId="6830436C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无形成果包括（但不限于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3C0137D2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运维对象当前运行状态（正常/异常/存在潜在风险等</w:t>
      </w:r>
      <w:r>
        <w:rPr>
          <w:rFonts w:ascii="宋体" w:hAnsi="宋体" w:eastAsia="宋体" w:cs="宋体"/>
          <w:spacing w:val="2"/>
          <w:sz w:val="24"/>
          <w:szCs w:val="24"/>
        </w:rPr>
        <w:t>）；</w:t>
      </w:r>
    </w:p>
    <w:p w14:paraId="13E12B0B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运行状态从异常到正常的状态恢复；</w:t>
      </w:r>
    </w:p>
    <w:p w14:paraId="34E6CEEA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对潜在风险的消除。</w:t>
      </w:r>
    </w:p>
    <w:p w14:paraId="5A7BA2A4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有形成果包括（但不限于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7CBF2651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运行状态信息记录；</w:t>
      </w:r>
    </w:p>
    <w:p w14:paraId="2E0232F3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运行状态异常处理记录；</w:t>
      </w:r>
    </w:p>
    <w:p w14:paraId="1A387E39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趋势分析及可能的风险消除建议；</w:t>
      </w:r>
    </w:p>
    <w:p w14:paraId="4BEF64BE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例行操作交付过程中的其他报告。</w:t>
      </w:r>
    </w:p>
    <w:p w14:paraId="6317F4E1">
      <w:pPr>
        <w:pStyle w:val="32"/>
        <w:bidi w:val="0"/>
      </w:pPr>
      <w:bookmarkStart w:id="36" w:name="bookmark22"/>
      <w:bookmarkEnd w:id="36"/>
      <w:bookmarkStart w:id="37" w:name="_Toc22292"/>
      <w:r>
        <w:t>响应支持成果</w:t>
      </w:r>
      <w:bookmarkEnd w:id="37"/>
    </w:p>
    <w:p w14:paraId="2497F54A">
      <w:pPr>
        <w:spacing w:before="202" w:line="360" w:lineRule="auto"/>
        <w:ind w:left="28" w:right="63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在提供响应支持服务交付的过程中，通过向客户提供无形的</w:t>
      </w:r>
      <w:r>
        <w:rPr>
          <w:rFonts w:ascii="宋体" w:hAnsi="宋体" w:eastAsia="宋体" w:cs="宋体"/>
          <w:spacing w:val="-4"/>
          <w:sz w:val="24"/>
          <w:szCs w:val="24"/>
        </w:rPr>
        <w:t>或有形的交付成</w:t>
      </w:r>
      <w:r>
        <w:rPr>
          <w:rFonts w:ascii="宋体" w:hAnsi="宋体" w:eastAsia="宋体" w:cs="宋体"/>
          <w:spacing w:val="-1"/>
          <w:sz w:val="24"/>
          <w:szCs w:val="24"/>
        </w:rPr>
        <w:t>果，以达成运维服务的服务级别协议要求。响应支持成果应关注的要素包括：</w:t>
      </w:r>
    </w:p>
    <w:p w14:paraId="0F2A549D">
      <w:pPr>
        <w:pStyle w:val="40"/>
        <w:numPr>
          <w:ilvl w:val="0"/>
          <w:numId w:val="21"/>
        </w:numPr>
        <w:bidi w:val="0"/>
      </w:pPr>
      <w:r>
        <w:t>无形成果包括（但不限于）：</w:t>
      </w:r>
    </w:p>
    <w:p w14:paraId="6EFF5EB2">
      <w:pPr>
        <w:pStyle w:val="40"/>
        <w:numPr>
          <w:ilvl w:val="0"/>
          <w:numId w:val="22"/>
        </w:numPr>
        <w:bidi w:val="0"/>
      </w:pPr>
      <w:r>
        <w:t>运行状态从异常到正常的状态恢复；</w:t>
      </w:r>
    </w:p>
    <w:p w14:paraId="40976D59">
      <w:pPr>
        <w:pStyle w:val="40"/>
        <w:numPr>
          <w:ilvl w:val="0"/>
          <w:numId w:val="22"/>
        </w:numPr>
        <w:bidi w:val="0"/>
      </w:pPr>
      <w:r>
        <w:t>运维知识的传递。</w:t>
      </w:r>
    </w:p>
    <w:p w14:paraId="12C0B4C9">
      <w:pPr>
        <w:pStyle w:val="40"/>
        <w:numPr>
          <w:ilvl w:val="0"/>
          <w:numId w:val="21"/>
        </w:numPr>
        <w:bidi w:val="0"/>
      </w:pPr>
      <w:r>
        <w:t>有形成果包括（但不限于）：</w:t>
      </w:r>
    </w:p>
    <w:p w14:paraId="692B028A">
      <w:pPr>
        <w:pStyle w:val="40"/>
        <w:numPr>
          <w:ilvl w:val="0"/>
          <w:numId w:val="23"/>
        </w:numPr>
        <w:bidi w:val="0"/>
      </w:pPr>
      <w:r>
        <w:t>响应支持记录；</w:t>
      </w:r>
    </w:p>
    <w:p w14:paraId="5FC29A9C">
      <w:pPr>
        <w:pStyle w:val="40"/>
        <w:numPr>
          <w:ilvl w:val="0"/>
          <w:numId w:val="23"/>
        </w:numPr>
        <w:bidi w:val="0"/>
      </w:pPr>
      <w:r>
        <w:t>响应支持关键指标数据记录（响应事件量、问题数、故障时间/次数）；</w:t>
      </w:r>
    </w:p>
    <w:p w14:paraId="0AA1DF40">
      <w:pPr>
        <w:pStyle w:val="40"/>
        <w:numPr>
          <w:ilvl w:val="0"/>
          <w:numId w:val="23"/>
        </w:numPr>
        <w:bidi w:val="0"/>
      </w:pPr>
      <w:r>
        <w:t>重大事件（故障）的分析改进报告；</w:t>
      </w:r>
    </w:p>
    <w:p w14:paraId="10A0DC09">
      <w:pPr>
        <w:pStyle w:val="40"/>
        <w:numPr>
          <w:ilvl w:val="0"/>
          <w:numId w:val="23"/>
        </w:numPr>
        <w:bidi w:val="0"/>
      </w:pPr>
      <w:r>
        <w:t>满意度分析；</w:t>
      </w:r>
    </w:p>
    <w:p w14:paraId="4F5571AB">
      <w:pPr>
        <w:pStyle w:val="40"/>
        <w:numPr>
          <w:ilvl w:val="0"/>
          <w:numId w:val="23"/>
        </w:numPr>
        <w:bidi w:val="0"/>
      </w:pPr>
      <w:r>
        <w:t>响应支持交付过程中的其他报告。</w:t>
      </w:r>
    </w:p>
    <w:p w14:paraId="05E7FD09">
      <w:pPr>
        <w:pStyle w:val="32"/>
        <w:bidi w:val="0"/>
      </w:pPr>
      <w:bookmarkStart w:id="38" w:name="bookmark23"/>
      <w:bookmarkEnd w:id="38"/>
      <w:bookmarkStart w:id="39" w:name="_Toc9245"/>
      <w:r>
        <w:t>优化改善成果</w:t>
      </w:r>
      <w:bookmarkEnd w:id="39"/>
    </w:p>
    <w:p w14:paraId="42647E36">
      <w:pPr>
        <w:spacing w:before="202" w:line="360" w:lineRule="auto"/>
        <w:ind w:left="28" w:right="63" w:firstLine="474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在提供优化改善服务交付的过程中，通过向客户提供无形的或有形的交付成果，以达成运维服务的服务级别协议要求。优化改善成果应关注的要素包括：</w:t>
      </w:r>
    </w:p>
    <w:p w14:paraId="761A576D">
      <w:pPr>
        <w:pStyle w:val="40"/>
        <w:numPr>
          <w:ilvl w:val="0"/>
          <w:numId w:val="24"/>
        </w:numPr>
        <w:bidi w:val="0"/>
      </w:pPr>
      <w:r>
        <w:t>无形成果包括（但不限于）：</w:t>
      </w:r>
    </w:p>
    <w:p w14:paraId="3B5D69F9">
      <w:pPr>
        <w:pStyle w:val="40"/>
        <w:numPr>
          <w:ilvl w:val="0"/>
          <w:numId w:val="25"/>
        </w:numPr>
        <w:bidi w:val="0"/>
      </w:pPr>
      <w:r>
        <w:t>设备或系统等运行性能的提升；</w:t>
      </w:r>
    </w:p>
    <w:p w14:paraId="412F23F5">
      <w:pPr>
        <w:pStyle w:val="40"/>
        <w:numPr>
          <w:ilvl w:val="0"/>
          <w:numId w:val="25"/>
        </w:numPr>
        <w:bidi w:val="0"/>
      </w:pPr>
      <w:r>
        <w:t>组织或流程等管理水平的提升。</w:t>
      </w:r>
    </w:p>
    <w:p w14:paraId="1C44E6DA">
      <w:pPr>
        <w:pStyle w:val="40"/>
        <w:numPr>
          <w:ilvl w:val="0"/>
          <w:numId w:val="24"/>
        </w:numPr>
        <w:bidi w:val="0"/>
      </w:pPr>
      <w:r>
        <w:t>有形成果包括（但不限于）：</w:t>
      </w:r>
    </w:p>
    <w:p w14:paraId="3DE7CAAF">
      <w:pPr>
        <w:pStyle w:val="40"/>
        <w:numPr>
          <w:ilvl w:val="0"/>
          <w:numId w:val="26"/>
        </w:numPr>
        <w:bidi w:val="0"/>
      </w:pPr>
      <w:r>
        <w:t>优化方案及相关评审记录；</w:t>
      </w:r>
    </w:p>
    <w:p w14:paraId="360A2453">
      <w:pPr>
        <w:pStyle w:val="40"/>
        <w:numPr>
          <w:ilvl w:val="0"/>
          <w:numId w:val="26"/>
        </w:numPr>
        <w:bidi w:val="0"/>
      </w:pPr>
      <w:r>
        <w:t>变更和发布报告；优化改善交付过程中的其他报告</w:t>
      </w:r>
    </w:p>
    <w:p w14:paraId="51313E81">
      <w:pPr>
        <w:pStyle w:val="31"/>
        <w:bidi w:val="0"/>
      </w:pPr>
      <w:bookmarkStart w:id="40" w:name="_Toc6088"/>
      <w:bookmarkStart w:id="41" w:name="_Toc31812"/>
      <w:bookmarkStart w:id="42" w:name="_Toc17424"/>
      <w:r>
        <w:t>考核指标</w:t>
      </w:r>
      <w:bookmarkEnd w:id="40"/>
      <w:bookmarkEnd w:id="4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3753"/>
        <w:gridCol w:w="1228"/>
        <w:gridCol w:w="1581"/>
      </w:tblGrid>
      <w:tr w14:paraId="0D45F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 w14:paraId="058877C5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3753" w:type="dxa"/>
          </w:tcPr>
          <w:p w14:paraId="7D2DB383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228" w:type="dxa"/>
          </w:tcPr>
          <w:p w14:paraId="48226035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1" w:type="dxa"/>
          </w:tcPr>
          <w:p w14:paraId="6F791DA0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06948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60" w:type="dxa"/>
            <w:shd w:val="clear" w:color="auto" w:fill="auto"/>
          </w:tcPr>
          <w:p w14:paraId="67464AFA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3753" w:type="dxa"/>
            <w:shd w:val="clear" w:color="auto" w:fill="auto"/>
          </w:tcPr>
          <w:p w14:paraId="72F0C976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及时交付数量/总交付数量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228" w:type="dxa"/>
            <w:shd w:val="clear" w:color="auto" w:fill="auto"/>
          </w:tcPr>
          <w:p w14:paraId="18FE4D92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1" w:type="dxa"/>
            <w:shd w:val="clear" w:color="auto" w:fill="auto"/>
          </w:tcPr>
          <w:p w14:paraId="332597DE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  <w:tr w14:paraId="38E7D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0" w:type="auto"/>
            <w:shd w:val="clear" w:color="auto" w:fill="auto"/>
          </w:tcPr>
          <w:p w14:paraId="54726C6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3753" w:type="dxa"/>
            <w:shd w:val="clear" w:color="auto" w:fill="auto"/>
          </w:tcPr>
          <w:p w14:paraId="09CBF503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远程交付确认数/远程交付数*100%</w:t>
            </w:r>
          </w:p>
        </w:tc>
        <w:tc>
          <w:tcPr>
            <w:tcW w:w="1228" w:type="dxa"/>
            <w:shd w:val="clear" w:color="auto" w:fill="auto"/>
          </w:tcPr>
          <w:p w14:paraId="5B6B7D0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55F36AE5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</w:tr>
      <w:tr w14:paraId="76BA1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  <w:shd w:val="clear" w:color="auto" w:fill="auto"/>
          </w:tcPr>
          <w:p w14:paraId="72F1758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3753" w:type="dxa"/>
            <w:shd w:val="clear" w:color="auto" w:fill="auto"/>
          </w:tcPr>
          <w:p w14:paraId="087AA433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完整例行操作记录数/例行操作记录数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228" w:type="dxa"/>
            <w:shd w:val="clear" w:color="auto" w:fill="auto"/>
          </w:tcPr>
          <w:p w14:paraId="162C1BBF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470F4251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</w:tbl>
    <w:p w14:paraId="0F89F6F6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43" w:name="_Toc2491"/>
      <w:r>
        <w:rPr>
          <w:rStyle w:val="39"/>
          <w:rFonts w:hint="eastAsia" w:eastAsia="宋体"/>
          <w:lang w:val="en-US" w:eastAsia="zh-CN"/>
        </w:rPr>
        <w:t>附则</w:t>
      </w:r>
      <w:bookmarkEnd w:id="42"/>
      <w:bookmarkEnd w:id="43"/>
    </w:p>
    <w:p w14:paraId="1B50CE96">
      <w:pPr>
        <w:keepNext w:val="0"/>
        <w:keepLines w:val="0"/>
        <w:pageBreakBefore w:val="0"/>
        <w:widowControl/>
        <w:numPr>
          <w:ilvl w:val="0"/>
          <w:numId w:val="2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A90D739">
      <w:pPr>
        <w:keepNext w:val="0"/>
        <w:keepLines w:val="0"/>
        <w:pageBreakBefore w:val="0"/>
        <w:widowControl/>
        <w:numPr>
          <w:ilvl w:val="0"/>
          <w:numId w:val="2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576765D">
      <w:pPr>
        <w:pStyle w:val="31"/>
        <w:bidi w:val="0"/>
        <w:rPr>
          <w:rFonts w:hint="default"/>
          <w:lang w:val="en-US" w:eastAsia="zh-CN"/>
        </w:rPr>
      </w:pPr>
      <w:bookmarkStart w:id="44" w:name="_Toc25729"/>
      <w:r>
        <w:rPr>
          <w:rFonts w:hint="eastAsia"/>
          <w:lang w:val="en-US" w:eastAsia="zh-CN"/>
        </w:rPr>
        <w:t>规范性引用文件</w:t>
      </w:r>
      <w:bookmarkEnd w:id="44"/>
    </w:p>
    <w:p w14:paraId="758A8957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T/CESA 1299—2023《信息技术服务运行维护服务能力成熟度模型》</w:t>
      </w:r>
    </w:p>
    <w:p w14:paraId="12CC7927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GB/T28827.1-2022《信息技术服务 运行维护 第 1 部分：通用要求》</w:t>
      </w:r>
    </w:p>
    <w:p w14:paraId="41AF088A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 29264-2012《信息技术服务 分类与代码》</w:t>
      </w:r>
    </w:p>
    <w:p w14:paraId="2C70E608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28827.2-2012《信息技术服务 运行维护 第 2 部分:交付规范》</w:t>
      </w:r>
    </w:p>
    <w:p w14:paraId="6D39CEC5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28827.3-2012《信息技术服务 运行维护 第 3 部分:应急响应规范》</w:t>
      </w:r>
    </w:p>
    <w:p w14:paraId="29F71E87">
      <w:pPr>
        <w:pStyle w:val="29"/>
        <w:bidi w:val="0"/>
        <w:rPr>
          <w:rFonts w:hint="default"/>
          <w:lang w:val="en-US" w:eastAsia="zh-CN"/>
        </w:rPr>
      </w:pPr>
      <w:bookmarkStart w:id="45" w:name="bookmark14"/>
      <w:bookmarkEnd w:id="45"/>
      <w:bookmarkStart w:id="46" w:name="_Toc15327"/>
      <w:r>
        <w:rPr>
          <w:rFonts w:hint="eastAsia"/>
          <w:lang w:val="en-US" w:eastAsia="zh-CN"/>
        </w:rPr>
        <w:t>附件</w:t>
      </w:r>
      <w:bookmarkEnd w:id="46"/>
    </w:p>
    <w:p w14:paraId="7C611697">
      <w:pPr>
        <w:pStyle w:val="40"/>
        <w:bidi w:val="0"/>
      </w:pPr>
      <w:r>
        <w:t>《服务台管理制度》</w:t>
      </w:r>
    </w:p>
    <w:p w14:paraId="6A2B8725">
      <w:pPr>
        <w:pStyle w:val="40"/>
        <w:bidi w:val="0"/>
      </w:pPr>
      <w:r>
        <w:t>《软件开发管理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43B5AF2A">
      <w:pPr>
        <w:pStyle w:val="40"/>
        <w:bidi w:val="0"/>
      </w:pPr>
      <w:r>
        <w:t>《沟通管理</w:t>
      </w:r>
      <w:r>
        <w:rPr>
          <w:rFonts w:hint="eastAsia"/>
          <w:lang w:val="en-US" w:eastAsia="zh-CN"/>
        </w:rPr>
        <w:t>制度</w:t>
      </w:r>
      <w:bookmarkStart w:id="48" w:name="_GoBack"/>
      <w:bookmarkEnd w:id="48"/>
      <w:r>
        <w:t>》</w:t>
      </w:r>
    </w:p>
    <w:p w14:paraId="774DF977">
      <w:pPr>
        <w:pStyle w:val="29"/>
        <w:bidi w:val="0"/>
        <w:rPr>
          <w:rFonts w:hint="eastAsia"/>
          <w:lang w:val="en-US" w:eastAsia="zh-CN"/>
        </w:rPr>
      </w:pPr>
      <w:bookmarkStart w:id="47" w:name="_Toc27428"/>
      <w:r>
        <w:rPr>
          <w:rFonts w:hint="eastAsia"/>
          <w:lang w:val="en-US" w:eastAsia="zh-CN"/>
        </w:rPr>
        <w:t>记录</w:t>
      </w:r>
      <w:bookmarkEnd w:id="47"/>
    </w:p>
    <w:p w14:paraId="282872DE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0969C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2D309"/>
    <w:multiLevelType w:val="singleLevel"/>
    <w:tmpl w:val="88B2D309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8C70F12C"/>
    <w:multiLevelType w:val="singleLevel"/>
    <w:tmpl w:val="8C70F12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974FFEBD"/>
    <w:multiLevelType w:val="singleLevel"/>
    <w:tmpl w:val="974FFE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7DC68B9"/>
    <w:multiLevelType w:val="singleLevel"/>
    <w:tmpl w:val="97DC68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926778C"/>
    <w:multiLevelType w:val="singleLevel"/>
    <w:tmpl w:val="9926778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A85DBB5B"/>
    <w:multiLevelType w:val="singleLevel"/>
    <w:tmpl w:val="A85DBB5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B9097B9C"/>
    <w:multiLevelType w:val="singleLevel"/>
    <w:tmpl w:val="B9097B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BEB4A0E5"/>
    <w:multiLevelType w:val="singleLevel"/>
    <w:tmpl w:val="BEB4A0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16403AF"/>
    <w:multiLevelType w:val="singleLevel"/>
    <w:tmpl w:val="C16403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D4C3B19B"/>
    <w:multiLevelType w:val="singleLevel"/>
    <w:tmpl w:val="D4C3B1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0555980A"/>
    <w:multiLevelType w:val="singleLevel"/>
    <w:tmpl w:val="055598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320CEAB"/>
    <w:multiLevelType w:val="singleLevel"/>
    <w:tmpl w:val="1320CEA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4">
    <w:nsid w:val="15E60C92"/>
    <w:multiLevelType w:val="singleLevel"/>
    <w:tmpl w:val="15E60C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2279087F"/>
    <w:multiLevelType w:val="singleLevel"/>
    <w:tmpl w:val="227908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2F74BDB7"/>
    <w:multiLevelType w:val="singleLevel"/>
    <w:tmpl w:val="2F74BD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340D3D69"/>
    <w:multiLevelType w:val="singleLevel"/>
    <w:tmpl w:val="340D3D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342F38DA"/>
    <w:multiLevelType w:val="singleLevel"/>
    <w:tmpl w:val="342F38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419469A5"/>
    <w:multiLevelType w:val="singleLevel"/>
    <w:tmpl w:val="419469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45ED8A50"/>
    <w:multiLevelType w:val="singleLevel"/>
    <w:tmpl w:val="45ED8A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605162D3"/>
    <w:multiLevelType w:val="singleLevel"/>
    <w:tmpl w:val="605162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618802BB"/>
    <w:multiLevelType w:val="singleLevel"/>
    <w:tmpl w:val="618802B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3">
    <w:nsid w:val="6290189D"/>
    <w:multiLevelType w:val="singleLevel"/>
    <w:tmpl w:val="629018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67907892"/>
    <w:multiLevelType w:val="singleLevel"/>
    <w:tmpl w:val="67907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7011BF92"/>
    <w:multiLevelType w:val="singleLevel"/>
    <w:tmpl w:val="7011BF9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6">
    <w:nsid w:val="766DA87D"/>
    <w:multiLevelType w:val="singleLevel"/>
    <w:tmpl w:val="766DA8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7BB4DEA1"/>
    <w:multiLevelType w:val="singleLevel"/>
    <w:tmpl w:val="7BB4DE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26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16"/>
  </w:num>
  <w:num w:numId="8">
    <w:abstractNumId w:val="23"/>
  </w:num>
  <w:num w:numId="9">
    <w:abstractNumId w:val="24"/>
  </w:num>
  <w:num w:numId="10">
    <w:abstractNumId w:val="9"/>
  </w:num>
  <w:num w:numId="11">
    <w:abstractNumId w:val="14"/>
  </w:num>
  <w:num w:numId="12">
    <w:abstractNumId w:val="25"/>
  </w:num>
  <w:num w:numId="13">
    <w:abstractNumId w:val="18"/>
  </w:num>
  <w:num w:numId="14">
    <w:abstractNumId w:val="10"/>
  </w:num>
  <w:num w:numId="15">
    <w:abstractNumId w:val="19"/>
  </w:num>
  <w:num w:numId="16">
    <w:abstractNumId w:val="20"/>
  </w:num>
  <w:num w:numId="17">
    <w:abstractNumId w:val="21"/>
  </w:num>
  <w:num w:numId="18">
    <w:abstractNumId w:val="15"/>
  </w:num>
  <w:num w:numId="19">
    <w:abstractNumId w:val="5"/>
  </w:num>
  <w:num w:numId="20">
    <w:abstractNumId w:val="13"/>
  </w:num>
  <w:num w:numId="21">
    <w:abstractNumId w:val="27"/>
  </w:num>
  <w:num w:numId="22">
    <w:abstractNumId w:val="22"/>
  </w:num>
  <w:num w:numId="23">
    <w:abstractNumId w:val="6"/>
  </w:num>
  <w:num w:numId="24">
    <w:abstractNumId w:val="3"/>
  </w:num>
  <w:num w:numId="25">
    <w:abstractNumId w:val="0"/>
  </w:num>
  <w:num w:numId="26">
    <w:abstractNumId w:val="1"/>
  </w:num>
  <w:num w:numId="27">
    <w:abstractNumId w:val="1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26261"/>
    <w:rsid w:val="03F117A3"/>
    <w:rsid w:val="16783AEC"/>
    <w:rsid w:val="19CE05F3"/>
    <w:rsid w:val="218F0957"/>
    <w:rsid w:val="22254E0E"/>
    <w:rsid w:val="23BA7422"/>
    <w:rsid w:val="29FA4902"/>
    <w:rsid w:val="3358495D"/>
    <w:rsid w:val="3886276F"/>
    <w:rsid w:val="3BA23236"/>
    <w:rsid w:val="3F3B5533"/>
    <w:rsid w:val="3FF01B86"/>
    <w:rsid w:val="401F6211"/>
    <w:rsid w:val="42074141"/>
    <w:rsid w:val="4FF5172F"/>
    <w:rsid w:val="54482775"/>
    <w:rsid w:val="684E3922"/>
    <w:rsid w:val="7E1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TML Code"/>
    <w:basedOn w:val="22"/>
    <w:qFormat/>
    <w:uiPriority w:val="0"/>
    <w:rPr>
      <w:rFonts w:ascii="Courier New" w:hAnsi="Courier New"/>
      <w:sz w:val="20"/>
    </w:rPr>
  </w:style>
  <w:style w:type="paragraph" w:customStyle="1" w:styleId="25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4784</Words>
  <Characters>5053</Characters>
  <Lines>0</Lines>
  <Paragraphs>0</Paragraphs>
  <TotalTime>3</TotalTime>
  <ScaleCrop>false</ScaleCrop>
  <LinksUpToDate>false</LinksUpToDate>
  <CharactersWithSpaces>5209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2025-09-15T06:15:21Z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