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3115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4017"/>
      <w:r>
        <w:rPr>
          <w:rFonts w:hint="eastAsia"/>
          <w:lang w:val="en-US" w:eastAsia="zh-CN"/>
        </w:rPr>
        <w:t>交付管理制度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3AF072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_Toc31159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_Toc31159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ACECF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交付管理制度</w:t>
          </w:r>
          <w:r>
            <w:tab/>
          </w:r>
          <w:r>
            <w:fldChar w:fldCharType="begin"/>
          </w:r>
          <w:r>
            <w:instrText xml:space="preserve"> PAGEREF _Toc4017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4760F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_Toc4692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_Toc4692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92486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_Toc17253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_Toc17253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E58E4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_Toc12596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_Toc12596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699C0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_Toc8436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_Toc8436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F0141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_Toc12704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EEC77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运维部经理</w:t>
          </w:r>
          <w:r>
            <w:tab/>
          </w:r>
          <w:r>
            <w:fldChar w:fldCharType="begin"/>
          </w:r>
          <w:r>
            <w:instrText xml:space="preserve"> PAGEREF _Toc32136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BBDD8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_Toc1784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4A3D8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质量部经理</w:t>
          </w:r>
          <w:r>
            <w:tab/>
          </w:r>
          <w:r>
            <w:fldChar w:fldCharType="begin"/>
          </w:r>
          <w:r>
            <w:instrText xml:space="preserve"> PAGEREF _Toc11868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B89D6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_Toc2946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8AFAC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交付构成与管理</w:t>
          </w:r>
          <w:r>
            <w:tab/>
          </w:r>
          <w:r>
            <w:fldChar w:fldCharType="begin"/>
          </w:r>
          <w:r>
            <w:instrText xml:space="preserve"> PAGEREF _Toc24269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4D208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_Toc13993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交付管理</w:t>
          </w:r>
          <w:r>
            <w:tab/>
          </w:r>
          <w:r>
            <w:fldChar w:fldCharType="begin"/>
          </w:r>
          <w:r>
            <w:instrText xml:space="preserve"> PAGEREF _Toc13993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E7BEE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交付策划</w:t>
          </w:r>
          <w:r>
            <w:tab/>
          </w:r>
          <w:r>
            <w:fldChar w:fldCharType="begin"/>
          </w:r>
          <w:r>
            <w:instrText xml:space="preserve"> PAGEREF _Toc17422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61820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交付实施</w:t>
          </w:r>
          <w:r>
            <w:tab/>
          </w:r>
          <w:r>
            <w:fldChar w:fldCharType="begin"/>
          </w:r>
          <w:r>
            <w:instrText xml:space="preserve"> PAGEREF _Toc32355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2AC27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交付检查</w:t>
          </w:r>
          <w:r>
            <w:tab/>
          </w:r>
          <w:r>
            <w:fldChar w:fldCharType="begin"/>
          </w:r>
          <w:r>
            <w:instrText xml:space="preserve"> PAGEREF _Toc905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17627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交付改进</w:t>
          </w:r>
          <w:r>
            <w:tab/>
          </w:r>
          <w:r>
            <w:fldChar w:fldCharType="begin"/>
          </w:r>
          <w:r>
            <w:instrText xml:space="preserve"> PAGEREF _Toc1172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16984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交付内容</w:t>
          </w:r>
          <w:r>
            <w:tab/>
          </w:r>
          <w:r>
            <w:fldChar w:fldCharType="begin"/>
          </w:r>
          <w:r>
            <w:instrText xml:space="preserve"> PAGEREF _Toc2350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993AF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_Toc30879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例行操作</w:t>
          </w:r>
          <w:r>
            <w:tab/>
          </w:r>
          <w:r>
            <w:fldChar w:fldCharType="begin"/>
          </w:r>
          <w:r>
            <w:instrText xml:space="preserve"> PAGEREF _Toc30879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93E4C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_Toc13626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响应支持</w:t>
          </w:r>
          <w:r>
            <w:tab/>
          </w:r>
          <w:r>
            <w:fldChar w:fldCharType="begin"/>
          </w:r>
          <w:r>
            <w:instrText xml:space="preserve"> PAGEREF _Toc13626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0C433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优化改善</w:t>
          </w:r>
          <w:r>
            <w:tab/>
          </w:r>
          <w:r>
            <w:fldChar w:fldCharType="begin"/>
          </w:r>
          <w:r>
            <w:instrText xml:space="preserve"> PAGEREF _Toc5779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AFF54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调研评估</w:t>
          </w:r>
          <w:r>
            <w:tab/>
          </w:r>
          <w:r>
            <w:fldChar w:fldCharType="begin"/>
          </w:r>
          <w:r>
            <w:instrText xml:space="preserve"> PAGEREF _Toc17725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D07DA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6. 交付方式</w:t>
          </w:r>
          <w:r>
            <w:tab/>
          </w:r>
          <w:r>
            <w:fldChar w:fldCharType="begin"/>
          </w:r>
          <w:r>
            <w:instrText xml:space="preserve"> PAGEREF _Toc14474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CCB3C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交付成果</w:t>
          </w:r>
          <w:r>
            <w:tab/>
          </w:r>
          <w:r>
            <w:fldChar w:fldCharType="begin"/>
          </w:r>
          <w:r>
            <w:instrText xml:space="preserve"> PAGEREF _Toc14965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543D6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_Toc21556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交付成果管理</w:t>
          </w:r>
          <w:r>
            <w:tab/>
          </w:r>
          <w:r>
            <w:fldChar w:fldCharType="begin"/>
          </w:r>
          <w:r>
            <w:instrText xml:space="preserve"> PAGEREF _Toc21556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8501A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例行操作成果</w:t>
          </w:r>
          <w:r>
            <w:tab/>
          </w:r>
          <w:r>
            <w:fldChar w:fldCharType="begin"/>
          </w:r>
          <w:r>
            <w:instrText xml:space="preserve"> PAGEREF _Toc20390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16D8E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5.4.3. </w:t>
          </w:r>
          <w:r>
            <w:t>响应支持成果</w:t>
          </w:r>
          <w:r>
            <w:tab/>
          </w:r>
          <w:r>
            <w:fldChar w:fldCharType="begin"/>
          </w:r>
          <w:r>
            <w:instrText xml:space="preserve"> PAGEREF _Toc19889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EC256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5.4.4. </w:t>
          </w:r>
          <w:r>
            <w:t>优化改善成果</w:t>
          </w:r>
          <w:r>
            <w:tab/>
          </w:r>
          <w:r>
            <w:fldChar w:fldCharType="begin"/>
          </w:r>
          <w:r>
            <w:instrText xml:space="preserve"> PAGEREF _Toc25375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F7CA1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_Toc4631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_Toc4631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C98A5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_Toc7571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A378B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_Toc16226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7D3FE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_Toc9440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_Toc9440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F9FD8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_Toc3224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9"/>
        <w:bidi w:val="0"/>
      </w:pPr>
      <w:bookmarkStart w:id="2" w:name="_Toc4692"/>
      <w:r>
        <w:t>目的</w:t>
      </w:r>
      <w:bookmarkEnd w:id="2"/>
    </w:p>
    <w:p w14:paraId="1DD98FDC">
      <w:pPr>
        <w:pStyle w:val="30"/>
        <w:bidi w:val="0"/>
      </w:pPr>
      <w:r>
        <w:t>为了规范公司运维服务交付管理过程，通过交付策划、交付实施、交付检查和交付改进等管理活动，确保交付质量得到有效控制，以满足服务级别协议要求。</w:t>
      </w:r>
    </w:p>
    <w:p w14:paraId="09B05B98">
      <w:pPr>
        <w:pStyle w:val="31"/>
        <w:bidi w:val="0"/>
      </w:pPr>
      <w:bookmarkStart w:id="3" w:name="_Toc17253"/>
      <w:r>
        <w:rPr>
          <w:rFonts w:hint="eastAsia"/>
          <w:lang w:val="en-US" w:eastAsia="zh-CN"/>
        </w:rPr>
        <w:t>术语和定义</w:t>
      </w:r>
      <w:bookmarkEnd w:id="3"/>
    </w:p>
    <w:p w14:paraId="51CCB5F7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本标准制</w:t>
      </w:r>
      <w:bookmarkStart w:id="48" w:name="_GoBack"/>
      <w:bookmarkEnd w:id="48"/>
      <w:r>
        <w:rPr>
          <w:rFonts w:hint="eastAsia"/>
          <w:lang w:val="en-US" w:eastAsia="zh-CN"/>
        </w:rPr>
        <w:t>度中所涉及的与交付管理相关的主要术语的定义如表1-1所示</w:t>
      </w:r>
    </w:p>
    <w:p w14:paraId="4F34A411">
      <w:pPr>
        <w:pStyle w:val="30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主要术语定义</w:t>
      </w:r>
    </w:p>
    <w:tbl>
      <w:tblPr>
        <w:tblStyle w:val="27"/>
        <w:tblW w:w="90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990"/>
        <w:gridCol w:w="5457"/>
      </w:tblGrid>
      <w:tr w14:paraId="7CF001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557" w:type="dxa"/>
            <w:vAlign w:val="top"/>
          </w:tcPr>
          <w:p w14:paraId="7D61A28C">
            <w:pPr>
              <w:spacing w:before="178" w:line="219" w:lineRule="auto"/>
              <w:ind w:left="10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术语</w:t>
            </w:r>
          </w:p>
        </w:tc>
        <w:tc>
          <w:tcPr>
            <w:tcW w:w="990" w:type="dxa"/>
            <w:vAlign w:val="top"/>
          </w:tcPr>
          <w:p w14:paraId="1DF1FE07">
            <w:pPr>
              <w:spacing w:before="177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缩略词</w:t>
            </w:r>
          </w:p>
        </w:tc>
        <w:tc>
          <w:tcPr>
            <w:tcW w:w="5457" w:type="dxa"/>
            <w:vAlign w:val="top"/>
          </w:tcPr>
          <w:p w14:paraId="130988E0">
            <w:pPr>
              <w:spacing w:before="177" w:line="220" w:lineRule="auto"/>
              <w:ind w:left="24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定义</w:t>
            </w:r>
          </w:p>
        </w:tc>
      </w:tr>
      <w:tr w14:paraId="31A23F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2557" w:type="dxa"/>
            <w:vAlign w:val="top"/>
          </w:tcPr>
          <w:p w14:paraId="46A50D8A">
            <w:pPr>
              <w:pStyle w:val="28"/>
              <w:spacing w:line="271" w:lineRule="auto"/>
            </w:pPr>
          </w:p>
          <w:p w14:paraId="773997BF">
            <w:pPr>
              <w:spacing w:before="79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运行维护服务交付</w:t>
            </w:r>
          </w:p>
        </w:tc>
        <w:tc>
          <w:tcPr>
            <w:tcW w:w="990" w:type="dxa"/>
            <w:vAlign w:val="top"/>
          </w:tcPr>
          <w:p w14:paraId="44A27A21">
            <w:pPr>
              <w:pStyle w:val="28"/>
              <w:spacing w:line="271" w:lineRule="auto"/>
            </w:pPr>
          </w:p>
          <w:p w14:paraId="68F2AF73">
            <w:pPr>
              <w:spacing w:before="79" w:line="219" w:lineRule="auto"/>
              <w:ind w:left="2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交付</w:t>
            </w:r>
          </w:p>
        </w:tc>
        <w:tc>
          <w:tcPr>
            <w:tcW w:w="5457" w:type="dxa"/>
            <w:vAlign w:val="top"/>
          </w:tcPr>
          <w:p w14:paraId="050A60BB">
            <w:pPr>
              <w:spacing w:before="195" w:line="242" w:lineRule="auto"/>
              <w:ind w:left="116" w:right="102" w:hanging="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供方在服务级别协议有效期内向需方提供服务级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别协 议中承诺的运行维护服务。</w:t>
            </w:r>
          </w:p>
        </w:tc>
      </w:tr>
      <w:tr w14:paraId="4C4C96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2557" w:type="dxa"/>
            <w:vAlign w:val="top"/>
          </w:tcPr>
          <w:p w14:paraId="37F10775">
            <w:pPr>
              <w:spacing w:before="196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运行维护服务供方</w:t>
            </w:r>
          </w:p>
        </w:tc>
        <w:tc>
          <w:tcPr>
            <w:tcW w:w="990" w:type="dxa"/>
            <w:vAlign w:val="top"/>
          </w:tcPr>
          <w:p w14:paraId="7B8A9C07">
            <w:pPr>
              <w:spacing w:before="196" w:line="219" w:lineRule="auto"/>
              <w:ind w:left="2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供方</w:t>
            </w:r>
          </w:p>
        </w:tc>
        <w:tc>
          <w:tcPr>
            <w:tcW w:w="5457" w:type="dxa"/>
            <w:vAlign w:val="top"/>
          </w:tcPr>
          <w:p w14:paraId="01A2DD5D">
            <w:pPr>
              <w:spacing w:before="196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提供运行维护服务的内、外部组织或机构。</w:t>
            </w:r>
          </w:p>
        </w:tc>
      </w:tr>
      <w:tr w14:paraId="11B9F2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  <w:vAlign w:val="top"/>
          </w:tcPr>
          <w:p w14:paraId="326671BA">
            <w:pPr>
              <w:spacing w:before="220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运行维护服务需方</w:t>
            </w:r>
          </w:p>
        </w:tc>
        <w:tc>
          <w:tcPr>
            <w:tcW w:w="990" w:type="dxa"/>
            <w:vAlign w:val="top"/>
          </w:tcPr>
          <w:p w14:paraId="69039240">
            <w:pPr>
              <w:spacing w:before="220" w:line="220" w:lineRule="auto"/>
              <w:ind w:left="2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需方</w:t>
            </w:r>
          </w:p>
        </w:tc>
        <w:tc>
          <w:tcPr>
            <w:tcW w:w="5457" w:type="dxa"/>
            <w:vAlign w:val="top"/>
          </w:tcPr>
          <w:p w14:paraId="2275E105">
            <w:pPr>
              <w:spacing w:before="219" w:line="219" w:lineRule="auto"/>
              <w:ind w:left="1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需要运行维护服务的组织或机构。</w:t>
            </w:r>
          </w:p>
        </w:tc>
      </w:tr>
      <w:tr w14:paraId="3387CE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  <w:shd w:val="clear" w:color="auto" w:fill="auto"/>
            <w:vAlign w:val="top"/>
          </w:tcPr>
          <w:p w14:paraId="6856750C">
            <w:pPr>
              <w:spacing w:before="20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例行操作</w:t>
            </w:r>
          </w:p>
        </w:tc>
        <w:tc>
          <w:tcPr>
            <w:tcW w:w="990" w:type="dxa"/>
            <w:shd w:val="clear" w:color="auto" w:fill="auto"/>
            <w:vAlign w:val="top"/>
          </w:tcPr>
          <w:p w14:paraId="77C31E46">
            <w:pPr>
              <w:spacing w:before="206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5457" w:type="dxa"/>
            <w:shd w:val="clear" w:color="auto" w:fill="auto"/>
            <w:vAlign w:val="top"/>
          </w:tcPr>
          <w:p w14:paraId="7F943283">
            <w:pPr>
              <w:spacing w:before="49" w:line="226" w:lineRule="auto"/>
              <w:ind w:left="114" w:leftChars="0" w:right="107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供方日常提供的预定服务，如巡检、监控、备份和测试等。</w:t>
            </w:r>
          </w:p>
        </w:tc>
      </w:tr>
      <w:tr w14:paraId="193204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7D1DEAAF">
            <w:pPr>
              <w:spacing w:before="195" w:line="219" w:lineRule="auto"/>
              <w:ind w:left="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响应支持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8B8BA">
            <w:pPr>
              <w:spacing w:before="194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C46A8">
            <w:pPr>
              <w:spacing w:before="40" w:line="225" w:lineRule="auto"/>
              <w:ind w:left="117" w:leftChars="0" w:right="107" w:rightChars="0" w:hanging="3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供方对服务请求或故障申报提供的即时服务，如突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发事件处理等。</w:t>
            </w:r>
          </w:p>
        </w:tc>
      </w:tr>
      <w:tr w14:paraId="133181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4712A69B">
            <w:pPr>
              <w:spacing w:before="19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优化改善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85B8A4">
            <w:pPr>
              <w:spacing w:before="195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68E35E">
            <w:pPr>
              <w:spacing w:before="40" w:line="225" w:lineRule="auto"/>
              <w:ind w:left="114" w:leftChars="0" w:right="102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供方对运行维护服务对象提供功能和性能的调优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服务，如数据库优化、网络优化等。</w:t>
            </w:r>
          </w:p>
        </w:tc>
      </w:tr>
      <w:tr w14:paraId="3A86BF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7F6F20CE">
            <w:pPr>
              <w:pStyle w:val="28"/>
              <w:spacing w:line="430" w:lineRule="auto"/>
            </w:pPr>
          </w:p>
          <w:p w14:paraId="26D138A5">
            <w:pPr>
              <w:spacing w:before="78" w:line="218" w:lineRule="auto"/>
              <w:ind w:left="8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调研评估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B5285">
            <w:pPr>
              <w:pStyle w:val="28"/>
              <w:spacing w:line="430" w:lineRule="auto"/>
            </w:pPr>
          </w:p>
          <w:p w14:paraId="36E63C35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10409">
            <w:pPr>
              <w:spacing w:before="198" w:line="241" w:lineRule="auto"/>
              <w:ind w:left="113" w:leftChars="0" w:right="102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供方通过对运行维护服务对象的调查研究或分析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评价，给出报告或建议。如系统调研、IT</w:t>
            </w:r>
            <w:r>
              <w:rPr>
                <w:rFonts w:ascii="宋体" w:hAnsi="宋体" w:eastAsia="宋体" w:cs="宋体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连续性评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估等。</w:t>
            </w:r>
          </w:p>
        </w:tc>
      </w:tr>
      <w:tr w14:paraId="18D122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6E2A754A">
            <w:pPr>
              <w:spacing w:before="197" w:line="219" w:lineRule="auto"/>
              <w:ind w:left="32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SLA 服务级别协议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79D91F">
            <w:pPr>
              <w:spacing w:before="232" w:line="185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SLA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21AFD">
            <w:pPr>
              <w:spacing w:before="40" w:line="224" w:lineRule="auto"/>
              <w:ind w:left="119" w:leftChars="0" w:right="102" w:rightChars="0" w:hanging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运行维护服务供方与需方之间签署的描述符合和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约定服务级别的协议。</w:t>
            </w:r>
          </w:p>
        </w:tc>
      </w:tr>
      <w:tr w14:paraId="0F6823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0C0FAB22">
            <w:pPr>
              <w:pStyle w:val="28"/>
              <w:spacing w:line="276" w:lineRule="auto"/>
            </w:pPr>
          </w:p>
          <w:p w14:paraId="7F99826D">
            <w:pPr>
              <w:spacing w:before="78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应急事件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5E1E11">
            <w:pPr>
              <w:pStyle w:val="28"/>
              <w:spacing w:line="276" w:lineRule="auto"/>
            </w:pPr>
          </w:p>
          <w:p w14:paraId="5EE0BAA0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01373">
            <w:pPr>
              <w:spacing w:before="200" w:line="242" w:lineRule="auto"/>
              <w:ind w:left="115" w:leftChars="0" w:right="107" w:rightChars="0" w:firstLine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导致或即将导致运行维护服务对象运行中断、运行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质 量降低，以及需要实施重点时段保障的事件。</w:t>
            </w:r>
          </w:p>
        </w:tc>
      </w:tr>
      <w:tr w14:paraId="5CE4DC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2FFE29CF">
            <w:pPr>
              <w:pStyle w:val="28"/>
              <w:spacing w:line="277" w:lineRule="auto"/>
            </w:pPr>
          </w:p>
          <w:p w14:paraId="795F7DB1">
            <w:pPr>
              <w:spacing w:before="78" w:line="220" w:lineRule="auto"/>
              <w:ind w:left="68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利益相关方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AEA396">
            <w:pPr>
              <w:pStyle w:val="28"/>
              <w:spacing w:line="277" w:lineRule="auto"/>
            </w:pPr>
          </w:p>
          <w:p w14:paraId="1E809466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7E38C">
            <w:pPr>
              <w:spacing w:before="200" w:line="242" w:lineRule="auto"/>
              <w:ind w:left="115" w:leftChars="0" w:right="107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在组织的决策或活动中有重要利益的组织，包括服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务需方、服务供方、供应商等。</w:t>
            </w:r>
          </w:p>
        </w:tc>
      </w:tr>
    </w:tbl>
    <w:p w14:paraId="1D30C5B1">
      <w:pPr>
        <w:pStyle w:val="30"/>
        <w:bidi w:val="0"/>
        <w:rPr>
          <w:rFonts w:hint="default"/>
          <w:lang w:val="en-US" w:eastAsia="zh-CN"/>
        </w:rPr>
      </w:pPr>
    </w:p>
    <w:p w14:paraId="2D240536">
      <w:pPr>
        <w:pStyle w:val="29"/>
        <w:bidi w:val="0"/>
        <w:rPr>
          <w:rFonts w:hint="eastAsia"/>
          <w:lang w:val="en-US" w:eastAsia="zh-CN"/>
        </w:rPr>
      </w:pPr>
      <w:bookmarkStart w:id="4" w:name="_Toc12596"/>
      <w:r>
        <w:rPr>
          <w:rFonts w:hint="eastAsia"/>
          <w:lang w:val="en-US" w:eastAsia="zh-CN"/>
        </w:rPr>
        <w:t>原则</w:t>
      </w:r>
      <w:bookmarkEnd w:id="4"/>
    </w:p>
    <w:p w14:paraId="158A1EF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为确保交付管理工作的科学性、规范性和有效性，保障服务质量并持续提升客户满意度，特制定以下核心原则：</w:t>
      </w:r>
    </w:p>
    <w:p w14:paraId="34340E1E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客户导向原则</w:t>
      </w:r>
    </w:p>
    <w:p w14:paraId="6E5A09F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交付管理的最终目标是满足客户需求并创造价值。所有交付活动应以客户服务级别协议（SLA）为核心依据，主动管理客户期望，确保交付成果与客户业务目标保持一致。</w:t>
      </w:r>
    </w:p>
    <w:p w14:paraId="13ED612D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过程规范原则</w:t>
      </w:r>
    </w:p>
    <w:p w14:paraId="12FA6C9E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所有服务交付活动必须遵循既定的管理流程和操作规范。推行标准化、流程化的交付模式，确保交付过程的可控、可预测和可追溯，减少对个体经验的依赖。</w:t>
      </w:r>
    </w:p>
    <w:p w14:paraId="3F43CE60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质量可控原则</w:t>
      </w:r>
    </w:p>
    <w:p w14:paraId="16FA52E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交付质量是管理的生命线。应建立全面的质量评价体系，对交付过程中的关键活动、交付物及最终结果进行度量、监控和评审，确保交付质量符合既定标准。</w:t>
      </w:r>
    </w:p>
    <w:p w14:paraId="10157FB7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375518C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交付管理是一个持续优化的过程。应定期收集交付过程中的数据、分析绩效指标、汲取经验教训，并将其应用于流程优化和服务改进，形成闭环管理，不断提升交付效率和效果。</w:t>
      </w:r>
    </w:p>
    <w:p w14:paraId="6AD27992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风险预控原则</w:t>
      </w:r>
    </w:p>
    <w:p w14:paraId="53882522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坚持预防为主。对交付过程中可能出现的风险（如人员、资源、技术、安全等风险）进行前瞻性识别、评估和应对，制定应急预案，最大限度降低风险对交付目标的负面影响。</w:t>
      </w:r>
    </w:p>
    <w:p w14:paraId="6BD52D84">
      <w:pPr>
        <w:pStyle w:val="29"/>
        <w:bidi w:val="0"/>
      </w:pPr>
      <w:bookmarkStart w:id="5" w:name="_Toc8436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6CE8DA86">
      <w:pPr>
        <w:pStyle w:val="30"/>
        <w:bidi w:val="0"/>
      </w:pPr>
      <w:r>
        <w:t>本制度适用于公司在运维服务项目的交付管理，包括交付策划、交付实施、交付检查和交付改进等。适用于运维服务相关部门，主要包括：运维部、项目部、</w:t>
      </w:r>
      <w:r>
        <w:rPr>
          <w:rFonts w:hint="eastAsia"/>
          <w:lang w:val="en-US" w:eastAsia="zh-CN"/>
        </w:rPr>
        <w:t>人力部</w:t>
      </w:r>
      <w:r>
        <w:t>、</w:t>
      </w:r>
      <w:r>
        <w:rPr>
          <w:rFonts w:hint="eastAsia"/>
          <w:lang w:val="en-US" w:eastAsia="zh-CN"/>
        </w:rPr>
        <w:t>研发部</w:t>
      </w:r>
      <w:r>
        <w:t>等。</w:t>
      </w:r>
    </w:p>
    <w:p w14:paraId="72F6781A">
      <w:pPr>
        <w:pStyle w:val="29"/>
        <w:bidi w:val="0"/>
        <w:rPr>
          <w:rFonts w:hint="eastAsia"/>
          <w:lang w:val="en-US" w:eastAsia="zh-CN"/>
        </w:rPr>
      </w:pPr>
      <w:bookmarkStart w:id="6" w:name="_Toc12704"/>
      <w:r>
        <w:rPr>
          <w:rFonts w:hint="eastAsia"/>
          <w:lang w:val="en-US" w:eastAsia="zh-CN"/>
        </w:rPr>
        <w:t>岗位职责</w:t>
      </w:r>
      <w:bookmarkEnd w:id="6"/>
    </w:p>
    <w:p w14:paraId="7FA1D2DB">
      <w:pPr>
        <w:pStyle w:val="31"/>
        <w:bidi w:val="0"/>
        <w:rPr>
          <w:rFonts w:hint="eastAsia"/>
          <w:lang w:val="en-US" w:eastAsia="zh-CN"/>
        </w:rPr>
      </w:pPr>
      <w:bookmarkStart w:id="7" w:name="_Toc32136"/>
      <w:r>
        <w:rPr>
          <w:rFonts w:hint="eastAsia"/>
          <w:lang w:val="en-US" w:eastAsia="zh-CN"/>
        </w:rPr>
        <w:t>运维部经理</w:t>
      </w:r>
      <w:bookmarkEnd w:id="7"/>
    </w:p>
    <w:p w14:paraId="5A9612F2">
      <w:pPr>
        <w:pStyle w:val="30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负责交付过程的管理，包括交付过程的策划、资源调配、监督和改进。</w:t>
      </w:r>
    </w:p>
    <w:p w14:paraId="1C9D816B">
      <w:pPr>
        <w:pStyle w:val="31"/>
        <w:bidi w:val="0"/>
        <w:rPr>
          <w:rFonts w:hint="eastAsia"/>
          <w:lang w:val="en-US" w:eastAsia="zh-CN"/>
        </w:rPr>
      </w:pPr>
      <w:bookmarkStart w:id="8" w:name="_Toc1784"/>
      <w:r>
        <w:rPr>
          <w:rFonts w:hint="eastAsia"/>
          <w:lang w:val="en-US" w:eastAsia="zh-CN"/>
        </w:rPr>
        <w:t>运维项目经理</w:t>
      </w:r>
      <w:bookmarkEnd w:id="8"/>
    </w:p>
    <w:p w14:paraId="3BD8403A">
      <w:pPr>
        <w:pStyle w:val="30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负责项目管理，包括了项目组组建、项目组织、计划、沟通、监督控制、项目总结等的管理</w:t>
      </w:r>
    </w:p>
    <w:p w14:paraId="7AEC8551">
      <w:pPr>
        <w:pStyle w:val="31"/>
        <w:bidi w:val="0"/>
        <w:rPr>
          <w:rFonts w:hint="eastAsia"/>
          <w:lang w:val="en-US" w:eastAsia="zh-CN"/>
        </w:rPr>
      </w:pPr>
      <w:bookmarkStart w:id="9" w:name="_Toc11868"/>
      <w:r>
        <w:rPr>
          <w:rFonts w:hint="eastAsia"/>
          <w:lang w:val="en-US" w:eastAsia="zh-CN"/>
        </w:rPr>
        <w:t>质量部经理</w:t>
      </w:r>
      <w:bookmarkEnd w:id="9"/>
    </w:p>
    <w:p w14:paraId="1D9E5D41">
      <w:pPr>
        <w:pStyle w:val="30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负责项目质量的保证措施的执行，包括了客户满意度、客户投诉和项目质量监控等</w:t>
      </w:r>
    </w:p>
    <w:p w14:paraId="3BBE8D1A">
      <w:pPr>
        <w:pStyle w:val="31"/>
        <w:bidi w:val="0"/>
        <w:rPr>
          <w:rFonts w:hint="default"/>
          <w:lang w:val="en-US" w:eastAsia="zh-CN"/>
        </w:rPr>
      </w:pPr>
      <w:bookmarkStart w:id="10" w:name="_Toc2946"/>
      <w:r>
        <w:rPr>
          <w:rFonts w:hint="eastAsia"/>
          <w:lang w:val="en-US" w:eastAsia="zh-CN"/>
        </w:rPr>
        <w:t>运维实施工程师</w:t>
      </w:r>
      <w:bookmarkEnd w:id="10"/>
    </w:p>
    <w:p w14:paraId="47593413">
      <w:pPr>
        <w:pStyle w:val="30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负责项目现场的执行，主要包括了项目任务的执行</w:t>
      </w:r>
    </w:p>
    <w:p w14:paraId="20410608">
      <w:pPr>
        <w:pStyle w:val="29"/>
        <w:bidi w:val="0"/>
        <w:rPr>
          <w:rFonts w:hint="default"/>
          <w:lang w:val="en-US" w:eastAsia="zh-CN"/>
        </w:rPr>
      </w:pPr>
      <w:bookmarkStart w:id="11" w:name="_Toc24269"/>
      <w:r>
        <w:rPr>
          <w:rFonts w:hint="eastAsia"/>
          <w:lang w:val="en-US" w:eastAsia="zh-CN"/>
        </w:rPr>
        <w:t>交付构成与管理</w:t>
      </w:r>
      <w:bookmarkEnd w:id="11"/>
    </w:p>
    <w:p w14:paraId="7E6E312E">
      <w:pPr>
        <w:pStyle w:val="31"/>
        <w:bidi w:val="0"/>
        <w:rPr>
          <w:rFonts w:hint="default"/>
          <w:lang w:val="en-US" w:eastAsia="zh-CN"/>
        </w:rPr>
      </w:pPr>
      <w:bookmarkStart w:id="12" w:name="_Toc13993"/>
      <w:r>
        <w:rPr>
          <w:rFonts w:hint="eastAsia"/>
          <w:lang w:val="en-US" w:eastAsia="zh-CN"/>
        </w:rPr>
        <w:t>交付管理</w:t>
      </w:r>
      <w:bookmarkEnd w:id="12"/>
    </w:p>
    <w:p w14:paraId="7A9C265F">
      <w:pPr>
        <w:spacing w:before="296" w:line="362" w:lineRule="auto"/>
        <w:ind w:left="28" w:firstLine="4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公司在向客户提供运维服务的过程中通过交付策划、交付实施、交付检查和</w:t>
      </w:r>
      <w:r>
        <w:rPr>
          <w:rFonts w:ascii="宋体" w:hAnsi="宋体" w:eastAsia="宋体" w:cs="宋体"/>
          <w:spacing w:val="-1"/>
          <w:sz w:val="24"/>
          <w:szCs w:val="24"/>
        </w:rPr>
        <w:t>交付改进等管理措施，确保交付质量得到有效</w:t>
      </w:r>
      <w:r>
        <w:rPr>
          <w:rFonts w:ascii="宋体" w:hAnsi="宋体" w:eastAsia="宋体" w:cs="宋体"/>
          <w:spacing w:val="-2"/>
          <w:sz w:val="24"/>
          <w:szCs w:val="24"/>
        </w:rPr>
        <w:t>控制，以达成服务级别协议要求。</w:t>
      </w:r>
    </w:p>
    <w:p w14:paraId="59E324D4">
      <w:pPr>
        <w:pStyle w:val="32"/>
        <w:bidi w:val="0"/>
      </w:pPr>
      <w:bookmarkStart w:id="13" w:name="bookmark9"/>
      <w:bookmarkEnd w:id="13"/>
      <w:bookmarkStart w:id="14" w:name="_Toc17422"/>
      <w:r>
        <w:t>交付策划</w:t>
      </w:r>
      <w:bookmarkEnd w:id="14"/>
    </w:p>
    <w:p w14:paraId="6D518520">
      <w:pPr>
        <w:pStyle w:val="30"/>
        <w:bidi w:val="0"/>
      </w:pPr>
      <w:r>
        <w:t>根据客户需求和公司自身能力，与客户协商签署服务级别协议。公司选择合适的人员组建运维团队，运维团队提前做好必要的交付准备，制定交付计划，确保服务正常提供。</w:t>
      </w:r>
    </w:p>
    <w:p w14:paraId="43B342CC">
      <w:pPr>
        <w:pStyle w:val="30"/>
        <w:bidi w:val="0"/>
      </w:pPr>
      <w:r>
        <w:t>交付策划过程中应关注的要素包括：</w:t>
      </w:r>
    </w:p>
    <w:p w14:paraId="13767D7A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依据服务目录与客户确认服务级别协议；</w:t>
      </w:r>
    </w:p>
    <w:p w14:paraId="5FB34EA7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编制《服务交付计划》，包括交付实施计划、交付检查计划和交付改进计划；</w:t>
      </w:r>
    </w:p>
    <w:p w14:paraId="12D4E8E9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配备符合能力要求的管理人员和技术人员；</w:t>
      </w:r>
    </w:p>
    <w:p w14:paraId="4D12737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明确职责分工、服务流程和关键技术要求；</w:t>
      </w:r>
    </w:p>
    <w:p w14:paraId="45D13DD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准备必要的资源，如工具、服务台等；</w:t>
      </w:r>
    </w:p>
    <w:p w14:paraId="350EAC4A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明确服务交付过程中的安全要求，并采取保障措施，如签署保密协议等；</w:t>
      </w:r>
    </w:p>
    <w:p w14:paraId="7B7559EF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明确服务交付过程中可能存在的各种风险，制定《风险清单》、《风险规避计划》；</w:t>
      </w:r>
    </w:p>
    <w:p w14:paraId="2E0BD110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与客户就必要信息达成共识，如工作计划、人员配备、投诉受理渠道及流程、考核等；</w:t>
      </w:r>
    </w:p>
    <w:p w14:paraId="660E7C8A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与客户协商确定应急响应机制。</w:t>
      </w:r>
    </w:p>
    <w:p w14:paraId="51BC6074">
      <w:pPr>
        <w:pStyle w:val="32"/>
        <w:bidi w:val="0"/>
      </w:pPr>
      <w:bookmarkStart w:id="15" w:name="bookmark10"/>
      <w:bookmarkEnd w:id="15"/>
      <w:bookmarkStart w:id="16" w:name="_Toc32355"/>
      <w:r>
        <w:t>交付实施</w:t>
      </w:r>
      <w:bookmarkEnd w:id="16"/>
    </w:p>
    <w:p w14:paraId="1BCBFE77">
      <w:pPr>
        <w:pStyle w:val="30"/>
        <w:bidi w:val="0"/>
      </w:pPr>
      <w:r>
        <w:t>公司运维团队按照交付策划向客户提供运维服务，完成服务级别协议规定内容。</w:t>
      </w:r>
    </w:p>
    <w:p w14:paraId="21696FF1">
      <w:pPr>
        <w:pStyle w:val="30"/>
        <w:bidi w:val="0"/>
      </w:pPr>
      <w:r>
        <w:t>交付实施过程中应关注的要素包括：</w:t>
      </w:r>
    </w:p>
    <w:p w14:paraId="52E98BFA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按照交付策划的要求实施；</w:t>
      </w:r>
    </w:p>
    <w:p w14:paraId="684D03D4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实施过程中统计运维人员、资源、过程、技术及服务级别协议达成情况，对需要完善的方面及时改进。</w:t>
      </w:r>
    </w:p>
    <w:p w14:paraId="49DB623B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保证关键信息及时传递到供需双方干系人，如项目经理、上级主管、技术主管等；</w:t>
      </w:r>
    </w:p>
    <w:p w14:paraId="5CD3CA74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按照管理要求和服务承诺提交服务报告（周报告、月报告、总结报告等）；</w:t>
      </w:r>
    </w:p>
    <w:p w14:paraId="348C24C2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在组织内建立并使用知识库，及时归档文件，分享经验；</w:t>
      </w:r>
    </w:p>
    <w:p w14:paraId="3ABAB856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确保人员、操作、数据以及工具等符合交付策划中对安全的要求；</w:t>
      </w:r>
    </w:p>
    <w:p w14:paraId="4D22A384">
      <w:pPr>
        <w:pStyle w:val="32"/>
        <w:bidi w:val="0"/>
      </w:pPr>
      <w:bookmarkStart w:id="17" w:name="bookmark11"/>
      <w:bookmarkEnd w:id="17"/>
      <w:bookmarkStart w:id="18" w:name="_Toc905"/>
      <w:r>
        <w:t>交付检查</w:t>
      </w:r>
      <w:bookmarkEnd w:id="18"/>
    </w:p>
    <w:p w14:paraId="251CBABD">
      <w:pPr>
        <w:pStyle w:val="30"/>
        <w:bidi w:val="0"/>
      </w:pPr>
      <w:r>
        <w:t>公司质量管理组每季度一次通过交付策划与交付实施的对比检查，确认完成情况，填写《质量审核报告》，并对发现的问题提出改进建议。</w:t>
      </w:r>
    </w:p>
    <w:p w14:paraId="742D75CB">
      <w:pPr>
        <w:pStyle w:val="30"/>
        <w:bidi w:val="0"/>
      </w:pPr>
      <w:r>
        <w:t>检查内容应关注的要素包括：</w:t>
      </w:r>
    </w:p>
    <w:p w14:paraId="5979CDC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交付计划的实施情况；</w:t>
      </w:r>
    </w:p>
    <w:p w14:paraId="7F5FCA1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服务级别协议达成情况；</w:t>
      </w:r>
    </w:p>
    <w:p w14:paraId="1E7A9ACF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资源使用情况；</w:t>
      </w:r>
    </w:p>
    <w:p w14:paraId="0DD0722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人员工作情况；</w:t>
      </w:r>
    </w:p>
    <w:p w14:paraId="57D60097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交付过程的合规性；</w:t>
      </w:r>
    </w:p>
    <w:p w14:paraId="24A22887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客户满意度；</w:t>
      </w:r>
    </w:p>
    <w:p w14:paraId="418A2CE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质量审核总结。</w:t>
      </w:r>
    </w:p>
    <w:p w14:paraId="64E61622">
      <w:pPr>
        <w:pStyle w:val="32"/>
        <w:bidi w:val="0"/>
      </w:pPr>
      <w:bookmarkStart w:id="19" w:name="bookmark12"/>
      <w:bookmarkEnd w:id="19"/>
      <w:bookmarkStart w:id="20" w:name="_Toc1172"/>
      <w:r>
        <w:t>交付改进</w:t>
      </w:r>
      <w:bookmarkEnd w:id="20"/>
    </w:p>
    <w:p w14:paraId="6548ECCB">
      <w:pPr>
        <w:pStyle w:val="30"/>
        <w:bidi w:val="0"/>
      </w:pPr>
      <w:r>
        <w:t>公司运维团队通过对交付各过程的总结分析，提出建议并改进，以提高效率，提升客户满意度。</w:t>
      </w:r>
    </w:p>
    <w:p w14:paraId="1BECD94B">
      <w:pPr>
        <w:pStyle w:val="30"/>
        <w:bidi w:val="0"/>
      </w:pPr>
      <w:r>
        <w:t>交付改进过程中应关注的要素包括：</w:t>
      </w:r>
    </w:p>
    <w:p w14:paraId="2EFEA9A9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分析服务交付过程，提出和实施改善建议；</w:t>
      </w:r>
    </w:p>
    <w:p w14:paraId="1EF24872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分析和改善未达成服务级别协议情况；</w:t>
      </w:r>
    </w:p>
    <w:p w14:paraId="18F2DF1F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分析和改善用户投诉情况；</w:t>
      </w:r>
    </w:p>
    <w:p w14:paraId="6D3649B8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分析和改善用户回访的不满意情况；</w:t>
      </w:r>
    </w:p>
    <w:p w14:paraId="5E04A95D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分析服务过程，改善服务交付，挖掘服务价值；</w:t>
      </w:r>
    </w:p>
    <w:p w14:paraId="52B4F206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建立内部主动服务改进机制，跟踪服务改善情况，完成《交付改进</w:t>
      </w:r>
      <w:r>
        <w:rPr>
          <w:rFonts w:ascii="宋体" w:hAnsi="宋体" w:eastAsia="宋体" w:cs="宋体"/>
          <w:spacing w:val="-4"/>
          <w:sz w:val="24"/>
          <w:szCs w:val="24"/>
        </w:rPr>
        <w:t>办法》；</w:t>
      </w:r>
    </w:p>
    <w:p w14:paraId="7FE66553">
      <w:pPr>
        <w:pStyle w:val="30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依据风险评估情况，更新《风险清单》和《风险规避计划》。</w:t>
      </w:r>
    </w:p>
    <w:p w14:paraId="79AF4694">
      <w:pPr>
        <w:pStyle w:val="31"/>
        <w:bidi w:val="0"/>
      </w:pPr>
      <w:bookmarkStart w:id="21" w:name="_Toc2350"/>
      <w:r>
        <w:t>交付内容</w:t>
      </w:r>
      <w:bookmarkEnd w:id="21"/>
    </w:p>
    <w:p w14:paraId="0CCEECBE">
      <w:pPr>
        <w:pStyle w:val="30"/>
        <w:bidi w:val="0"/>
      </w:pPr>
      <w:r>
        <w:t>公司运维团队提供的交付内容包括例行操作、响应支持、优化改善和调研评估等，以达成运维服务的服务级别协议要求。</w:t>
      </w:r>
    </w:p>
    <w:p w14:paraId="3BE59678">
      <w:pPr>
        <w:pStyle w:val="32"/>
        <w:bidi w:val="0"/>
      </w:pPr>
      <w:bookmarkStart w:id="22" w:name="_Toc30879"/>
      <w:r>
        <w:t>例行操作</w:t>
      </w:r>
      <w:bookmarkEnd w:id="22"/>
    </w:p>
    <w:p w14:paraId="7A5349CC">
      <w:pPr>
        <w:pStyle w:val="30"/>
        <w:bidi w:val="0"/>
      </w:pPr>
      <w:r>
        <w:t>例行操作过程中应关注的要素包括：</w:t>
      </w:r>
    </w:p>
    <w:p w14:paraId="548F17DE">
      <w:pPr>
        <w:numPr>
          <w:ilvl w:val="0"/>
          <w:numId w:val="11"/>
        </w:numPr>
        <w:spacing w:before="163" w:line="290" w:lineRule="auto"/>
        <w:ind w:left="425" w:leftChars="0" w:right="74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针对例行操作编写《例行操作工作计划》，如周计划、月计划等，</w:t>
      </w:r>
      <w:r>
        <w:rPr>
          <w:rFonts w:ascii="宋体" w:hAnsi="宋体" w:eastAsia="宋体" w:cs="宋体"/>
          <w:spacing w:val="-1"/>
          <w:sz w:val="24"/>
          <w:szCs w:val="24"/>
        </w:rPr>
        <w:t>至少包括：例行操作的交付目标、内容、范围、周期和人员安排；</w:t>
      </w:r>
    </w:p>
    <w:p w14:paraId="07468586">
      <w:pPr>
        <w:numPr>
          <w:ilvl w:val="0"/>
          <w:numId w:val="11"/>
        </w:numPr>
        <w:spacing w:before="240" w:line="290" w:lineRule="auto"/>
        <w:ind w:left="425" w:leftChars="0" w:right="2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编制《例行操作指导手册》，如运维工具的</w:t>
      </w:r>
      <w:r>
        <w:rPr>
          <w:rFonts w:ascii="宋体" w:hAnsi="宋体" w:eastAsia="宋体" w:cs="宋体"/>
          <w:spacing w:val="2"/>
          <w:sz w:val="24"/>
          <w:szCs w:val="24"/>
        </w:rPr>
        <w:t>操作手册、运维对象的</w:t>
      </w:r>
      <w:r>
        <w:rPr>
          <w:rFonts w:ascii="宋体" w:hAnsi="宋体" w:eastAsia="宋体" w:cs="宋体"/>
          <w:spacing w:val="-1"/>
          <w:sz w:val="24"/>
          <w:szCs w:val="24"/>
        </w:rPr>
        <w:t>操作手册等，并指定专人负责更新和完善。指导手册中应包括：</w:t>
      </w:r>
    </w:p>
    <w:p w14:paraId="09AEC528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各项任务的操作步骤及说明；</w:t>
      </w:r>
    </w:p>
    <w:p w14:paraId="45764EFD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运行状态是否正常的判定标准；</w:t>
      </w:r>
    </w:p>
    <w:p w14:paraId="62E4E866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运行状态信息的记录要求；</w:t>
      </w:r>
    </w:p>
    <w:p w14:paraId="65C047CC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异常状况处置流程，包括角色定义、处置方法、流转过</w:t>
      </w:r>
      <w:r>
        <w:rPr>
          <w:rFonts w:ascii="宋体" w:hAnsi="宋体" w:eastAsia="宋体" w:cs="宋体"/>
          <w:spacing w:val="-5"/>
          <w:sz w:val="24"/>
          <w:szCs w:val="24"/>
        </w:rPr>
        <w:t>程和结束</w:t>
      </w:r>
      <w:r>
        <w:rPr>
          <w:rFonts w:ascii="宋体" w:hAnsi="宋体" w:eastAsia="宋体" w:cs="宋体"/>
          <w:spacing w:val="-4"/>
          <w:sz w:val="24"/>
          <w:szCs w:val="24"/>
        </w:rPr>
        <w:t>要求；</w:t>
      </w:r>
    </w:p>
    <w:p w14:paraId="73924959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例行操作报告模版。</w:t>
      </w:r>
    </w:p>
    <w:p w14:paraId="683DBB45">
      <w:pPr>
        <w:numPr>
          <w:ilvl w:val="0"/>
          <w:numId w:val="11"/>
        </w:numPr>
        <w:spacing w:before="243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确保人员、操作、数据以及工具等符合安全的要求；</w:t>
      </w:r>
    </w:p>
    <w:p w14:paraId="72FFF7EE">
      <w:pPr>
        <w:numPr>
          <w:ilvl w:val="0"/>
          <w:numId w:val="11"/>
        </w:numPr>
        <w:spacing w:before="24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例行操作的数据及时归档，且便于查询。</w:t>
      </w:r>
    </w:p>
    <w:p w14:paraId="6AC6B44B">
      <w:pPr>
        <w:pStyle w:val="32"/>
        <w:bidi w:val="0"/>
      </w:pPr>
      <w:bookmarkStart w:id="23" w:name="bookmark15"/>
      <w:bookmarkEnd w:id="23"/>
      <w:bookmarkStart w:id="24" w:name="_Toc13626"/>
      <w:r>
        <w:t>响应支持</w:t>
      </w:r>
      <w:bookmarkEnd w:id="24"/>
    </w:p>
    <w:p w14:paraId="67AC3787">
      <w:pPr>
        <w:pStyle w:val="30"/>
        <w:bidi w:val="0"/>
      </w:pPr>
      <w:r>
        <w:t>响应支持过程中应关注的要素包括：</w:t>
      </w:r>
    </w:p>
    <w:p w14:paraId="5571FA31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公示受理的渠道，如电话、传真、邮件或网络方式等；</w:t>
      </w:r>
    </w:p>
    <w:p w14:paraId="56905CC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严格按照服务承诺如工作时间、响应</w:t>
      </w:r>
      <w:r>
        <w:rPr>
          <w:rFonts w:ascii="宋体" w:hAnsi="宋体" w:eastAsia="宋体" w:cs="宋体"/>
          <w:sz w:val="24"/>
          <w:szCs w:val="24"/>
        </w:rPr>
        <w:t>时间等进行响应和技术支持</w:t>
      </w:r>
    </w:p>
    <w:p w14:paraId="668A9851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与需方就响应级别、报警升级条件等内容达成共识；</w:t>
      </w:r>
    </w:p>
    <w:p w14:paraId="139C8208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在服务管理系统中记录响应支持的关键交付过程；</w:t>
      </w:r>
    </w:p>
    <w:p w14:paraId="0CA6E913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在需方同意的情况下结束支持；</w:t>
      </w:r>
    </w:p>
    <w:p w14:paraId="6B0982EC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制定多途径、高效的沟通机制。</w:t>
      </w:r>
    </w:p>
    <w:p w14:paraId="1766E390">
      <w:pPr>
        <w:pStyle w:val="32"/>
        <w:bidi w:val="0"/>
      </w:pPr>
      <w:bookmarkStart w:id="25" w:name="bookmark16"/>
      <w:bookmarkEnd w:id="25"/>
      <w:bookmarkStart w:id="26" w:name="_Toc5779"/>
      <w:r>
        <w:t>优化改善</w:t>
      </w:r>
      <w:bookmarkEnd w:id="26"/>
    </w:p>
    <w:p w14:paraId="2FFAE71D">
      <w:pPr>
        <w:pStyle w:val="30"/>
        <w:bidi w:val="0"/>
      </w:pPr>
      <w:r>
        <w:t>优化改善过程中应关注的要素包括：</w:t>
      </w:r>
    </w:p>
    <w:p w14:paraId="11AF66DE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编写《优化改善建议方案》，方案中宜包含：</w:t>
      </w:r>
      <w:r>
        <w:rPr>
          <w:rFonts w:ascii="宋体" w:hAnsi="宋体" w:eastAsia="宋体" w:cs="宋体"/>
          <w:spacing w:val="-5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人员、预算、进度、考核指标、风险预案和回退方案；</w:t>
      </w:r>
    </w:p>
    <w:p w14:paraId="42753B9F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优化改善后应有观察期，观察期后并完成《优化改善总结报告》，</w:t>
      </w:r>
      <w:r>
        <w:rPr>
          <w:rFonts w:ascii="宋体" w:hAnsi="宋体" w:eastAsia="宋体" w:cs="宋体"/>
          <w:spacing w:val="-1"/>
          <w:sz w:val="24"/>
          <w:szCs w:val="24"/>
        </w:rPr>
        <w:t>通过建立基线和优化改善后的比较，量化指标确保服务的效果；</w:t>
      </w:r>
    </w:p>
    <w:p w14:paraId="5218B32A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对遗留问题制定改进措施并跟进；</w:t>
      </w:r>
    </w:p>
    <w:p w14:paraId="655993BA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5C137803">
      <w:pPr>
        <w:pStyle w:val="32"/>
        <w:bidi w:val="0"/>
      </w:pPr>
      <w:bookmarkStart w:id="27" w:name="bookmark17"/>
      <w:bookmarkEnd w:id="27"/>
      <w:bookmarkStart w:id="28" w:name="_Toc17725"/>
      <w:r>
        <w:t>调研评估</w:t>
      </w:r>
      <w:bookmarkEnd w:id="28"/>
    </w:p>
    <w:p w14:paraId="0B8E865B">
      <w:pPr>
        <w:pStyle w:val="30"/>
        <w:bidi w:val="0"/>
      </w:pPr>
      <w:r>
        <w:t>调研评估过程中应关注的要素包括：</w:t>
      </w:r>
    </w:p>
    <w:p w14:paraId="35D499D1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在调研评估开展前提供《调研评估计划》，包括目标、内容、步骤、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人员、预算、进度、交付成果和沟通计划等；</w:t>
      </w:r>
    </w:p>
    <w:p w14:paraId="49992C78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向客户提供符合要求的《调研评估报告》，评估报告中应包含现状、</w:t>
      </w:r>
      <w:r>
        <w:rPr>
          <w:rFonts w:ascii="宋体" w:hAnsi="宋体" w:eastAsia="宋体" w:cs="宋体"/>
          <w:spacing w:val="-2"/>
          <w:sz w:val="24"/>
          <w:szCs w:val="24"/>
        </w:rPr>
        <w:t>需求、过程和建议等内容；</w:t>
      </w:r>
    </w:p>
    <w:p w14:paraId="074B0E4C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调研评估后应跟踪落地效果，并进行内部评审与需方评审，完成《调</w:t>
      </w:r>
      <w:r>
        <w:rPr>
          <w:rFonts w:ascii="宋体" w:hAnsi="宋体" w:eastAsia="宋体" w:cs="宋体"/>
          <w:spacing w:val="-1"/>
          <w:sz w:val="24"/>
          <w:szCs w:val="24"/>
        </w:rPr>
        <w:t>研评估报告评审表》；</w:t>
      </w:r>
    </w:p>
    <w:p w14:paraId="2D8069B6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3CE8E4C4">
      <w:pPr>
        <w:pStyle w:val="31"/>
        <w:bidi w:val="0"/>
      </w:pPr>
      <w:bookmarkStart w:id="29" w:name="bookmark18"/>
      <w:bookmarkEnd w:id="29"/>
      <w:bookmarkStart w:id="30" w:name="_Toc14474"/>
      <w:r>
        <w:t>6. 交付方式</w:t>
      </w:r>
      <w:bookmarkEnd w:id="30"/>
    </w:p>
    <w:p w14:paraId="04E88474">
      <w:pPr>
        <w:pStyle w:val="30"/>
        <w:bidi w:val="0"/>
      </w:pPr>
      <w:r>
        <w:t>公司运维团队采用现场交付或远程交付的交付方式，确保运维服务的正常提</w:t>
      </w:r>
    </w:p>
    <w:p w14:paraId="7B9FFD10">
      <w:pPr>
        <w:pStyle w:val="30"/>
        <w:bidi w:val="0"/>
      </w:pPr>
      <w:r>
        <w:t>供，以达成服务级别协议要求。交付过程中应关注的要素包括：</w:t>
      </w:r>
    </w:p>
    <w:p w14:paraId="1AD147D8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交付各阶段所要完成的工作和要求应在规定的时间内告知运维工程</w:t>
      </w:r>
      <w:r>
        <w:rPr>
          <w:rFonts w:ascii="宋体" w:hAnsi="宋体" w:eastAsia="宋体" w:cs="宋体"/>
          <w:spacing w:val="2"/>
          <w:sz w:val="24"/>
          <w:szCs w:val="24"/>
        </w:rPr>
        <w:t>师和客户，并在必要时得到确认，包括任务清单、达成目标、时间</w:t>
      </w:r>
      <w:r>
        <w:rPr>
          <w:rFonts w:ascii="宋体" w:hAnsi="宋体" w:eastAsia="宋体" w:cs="宋体"/>
          <w:spacing w:val="-1"/>
          <w:sz w:val="24"/>
          <w:szCs w:val="24"/>
        </w:rPr>
        <w:t>周期、风险预估和管理要求；</w:t>
      </w:r>
    </w:p>
    <w:p w14:paraId="26E53303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应具备交付任务发布/接受、远程指导</w:t>
      </w:r>
      <w:r>
        <w:rPr>
          <w:rFonts w:ascii="宋体" w:hAnsi="宋体" w:eastAsia="宋体" w:cs="宋体"/>
          <w:spacing w:val="-6"/>
          <w:sz w:val="24"/>
          <w:szCs w:val="24"/>
        </w:rPr>
        <w:t>、交付成果上传、知识库查询、</w:t>
      </w:r>
      <w:r>
        <w:rPr>
          <w:rFonts w:ascii="宋体" w:hAnsi="宋体" w:eastAsia="宋体" w:cs="宋体"/>
          <w:spacing w:val="-1"/>
          <w:sz w:val="24"/>
          <w:szCs w:val="24"/>
        </w:rPr>
        <w:t>服务质量及时评价等提高交付效率的手段；</w:t>
      </w:r>
    </w:p>
    <w:p w14:paraId="0B6B5B68">
      <w:pPr>
        <w:pStyle w:val="30"/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rightChars="0" w:hanging="425" w:firstLineChars="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对交付过程进行量化的数据统计分析，如服</w:t>
      </w:r>
      <w:r>
        <w:rPr>
          <w:rFonts w:ascii="宋体" w:hAnsi="宋体" w:eastAsia="宋体" w:cs="宋体"/>
          <w:spacing w:val="2"/>
          <w:sz w:val="24"/>
          <w:szCs w:val="24"/>
        </w:rPr>
        <w:t>务时间、服务级别协议</w:t>
      </w:r>
      <w:r>
        <w:rPr>
          <w:rFonts w:ascii="宋体" w:hAnsi="宋体" w:eastAsia="宋体" w:cs="宋体"/>
          <w:spacing w:val="-1"/>
          <w:sz w:val="24"/>
          <w:szCs w:val="24"/>
        </w:rPr>
        <w:t>达成情况、风险发生概率和影响、满意度等。</w:t>
      </w:r>
    </w:p>
    <w:p w14:paraId="5998901E">
      <w:pPr>
        <w:pStyle w:val="31"/>
        <w:bidi w:val="0"/>
      </w:pPr>
      <w:bookmarkStart w:id="31" w:name="_Toc14965"/>
      <w:r>
        <w:t>交付成果</w:t>
      </w:r>
      <w:bookmarkEnd w:id="31"/>
    </w:p>
    <w:p w14:paraId="0B48924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公司运维团队在提供运维服务交付的过程中，需要向客户提供无形的（如状</w:t>
      </w:r>
      <w:r>
        <w:rPr>
          <w:rFonts w:ascii="宋体" w:hAnsi="宋体" w:eastAsia="宋体" w:cs="宋体"/>
          <w:spacing w:val="-3"/>
          <w:sz w:val="24"/>
          <w:szCs w:val="24"/>
        </w:rPr>
        <w:t>态恢复、性能提升等）或有形的（如过程记录、服务报告等）交付成果，以</w:t>
      </w:r>
      <w:r>
        <w:rPr>
          <w:rFonts w:ascii="宋体" w:hAnsi="宋体" w:eastAsia="宋体" w:cs="宋体"/>
          <w:spacing w:val="-4"/>
          <w:sz w:val="24"/>
          <w:szCs w:val="24"/>
        </w:rPr>
        <w:t>达成</w:t>
      </w:r>
      <w:r>
        <w:rPr>
          <w:rFonts w:ascii="宋体" w:hAnsi="宋体" w:eastAsia="宋体" w:cs="宋体"/>
          <w:spacing w:val="-2"/>
          <w:sz w:val="24"/>
          <w:szCs w:val="24"/>
        </w:rPr>
        <w:t>服务级别协议要求。</w:t>
      </w:r>
    </w:p>
    <w:p w14:paraId="02730BEF">
      <w:pPr>
        <w:pStyle w:val="32"/>
        <w:bidi w:val="0"/>
      </w:pPr>
      <w:bookmarkStart w:id="32" w:name="bookmark20"/>
      <w:bookmarkEnd w:id="32"/>
      <w:bookmarkStart w:id="33" w:name="_Toc21556"/>
      <w:r>
        <w:t>交付成果管理</w:t>
      </w:r>
      <w:bookmarkEnd w:id="33"/>
    </w:p>
    <w:p w14:paraId="33E09C3F">
      <w:pPr>
        <w:pStyle w:val="30"/>
        <w:bidi w:val="0"/>
      </w:pPr>
      <w:r>
        <w:t>交付成果管理过程中应关注的要素包括：</w:t>
      </w:r>
    </w:p>
    <w:p w14:paraId="29622A30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对成果的编制、审核、发布、归档等进行规范化全生命周期管理，</w:t>
      </w:r>
      <w:r>
        <w:rPr>
          <w:rFonts w:ascii="宋体" w:hAnsi="宋体" w:eastAsia="宋体" w:cs="宋体"/>
          <w:spacing w:val="-1"/>
          <w:sz w:val="24"/>
          <w:szCs w:val="24"/>
        </w:rPr>
        <w:t>对成果的访问编辑安全可控。</w:t>
      </w:r>
    </w:p>
    <w:p w14:paraId="0F2DA9E7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运维项目的交付成果（包括过程记录、服务</w:t>
      </w:r>
      <w:r>
        <w:rPr>
          <w:rFonts w:ascii="宋体" w:hAnsi="宋体" w:eastAsia="宋体" w:cs="宋体"/>
          <w:spacing w:val="2"/>
          <w:sz w:val="24"/>
          <w:szCs w:val="24"/>
        </w:rPr>
        <w:t>报告等）由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项目经理指定人员进行编写，经由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项目经理审核通过后，由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项目经理递交给客户负责人，通过客户评审确认后，由项目经理及公司运维业务部进</w:t>
      </w:r>
      <w:r>
        <w:rPr>
          <w:rFonts w:ascii="宋体" w:hAnsi="宋体" w:eastAsia="宋体" w:cs="宋体"/>
          <w:spacing w:val="-2"/>
          <w:sz w:val="24"/>
          <w:szCs w:val="24"/>
        </w:rPr>
        <w:t>行归档保存</w:t>
      </w:r>
      <w:r>
        <w:rPr>
          <w:rFonts w:ascii="宋体" w:hAnsi="宋体" w:eastAsia="宋体" w:cs="宋体"/>
          <w:color w:val="C00000"/>
          <w:spacing w:val="-2"/>
          <w:sz w:val="24"/>
          <w:szCs w:val="24"/>
        </w:rPr>
        <w:t>。</w:t>
      </w:r>
    </w:p>
    <w:p w14:paraId="1202E801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归档后的交付成果应由运维业务部存储在专用服务器中，其访问与</w:t>
      </w:r>
      <w:r>
        <w:rPr>
          <w:rFonts w:ascii="宋体" w:hAnsi="宋体" w:eastAsia="宋体" w:cs="宋体"/>
          <w:spacing w:val="-1"/>
          <w:sz w:val="24"/>
          <w:szCs w:val="24"/>
        </w:rPr>
        <w:t>更新需经由运维部经理审批通过并赋予权限后方可执行；</w:t>
      </w:r>
    </w:p>
    <w:p w14:paraId="68E55C26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归档后交付成果的废弃应在运维部经理和公司主管领导审批通</w:t>
      </w:r>
      <w:r>
        <w:rPr>
          <w:rFonts w:ascii="宋体" w:hAnsi="宋体" w:eastAsia="宋体" w:cs="宋体"/>
          <w:spacing w:val="-2"/>
          <w:sz w:val="24"/>
          <w:szCs w:val="24"/>
        </w:rPr>
        <w:t>过后方可执行；</w:t>
      </w:r>
    </w:p>
    <w:p w14:paraId="0B513BA6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运维团队需与客户明确交付成果的受众、内容、时间或频度要求；</w:t>
      </w:r>
    </w:p>
    <w:p w14:paraId="09AFC279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确保有形成果的规格或格式达到服务级别协议要求；</w:t>
      </w:r>
    </w:p>
    <w:p w14:paraId="011D523B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确保无形成果产生的效用应满足客户要求。</w:t>
      </w:r>
    </w:p>
    <w:p w14:paraId="0B9C1756">
      <w:pPr>
        <w:pStyle w:val="32"/>
        <w:bidi w:val="0"/>
      </w:pPr>
      <w:bookmarkStart w:id="34" w:name="bookmark21"/>
      <w:bookmarkEnd w:id="34"/>
      <w:bookmarkStart w:id="35" w:name="_Toc20390"/>
      <w:r>
        <w:t>例行操作成果</w:t>
      </w:r>
      <w:bookmarkEnd w:id="35"/>
    </w:p>
    <w:p w14:paraId="76B50C19">
      <w:pPr>
        <w:spacing w:before="199" w:line="362" w:lineRule="auto"/>
        <w:ind w:left="28" w:right="63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在提供例行操作服务交付的过程中，通过向客户提供无形的</w:t>
      </w:r>
      <w:r>
        <w:rPr>
          <w:rFonts w:ascii="宋体" w:hAnsi="宋体" w:eastAsia="宋体" w:cs="宋体"/>
          <w:spacing w:val="-4"/>
          <w:sz w:val="24"/>
          <w:szCs w:val="24"/>
        </w:rPr>
        <w:t>或有形的交付成</w:t>
      </w:r>
      <w:r>
        <w:rPr>
          <w:rFonts w:ascii="宋体" w:hAnsi="宋体" w:eastAsia="宋体" w:cs="宋体"/>
          <w:spacing w:val="-1"/>
          <w:sz w:val="24"/>
          <w:szCs w:val="24"/>
        </w:rPr>
        <w:t>果，以达成运维服务的服务级别协议要求。例行操作成果应关注的要素包括：</w:t>
      </w:r>
    </w:p>
    <w:p w14:paraId="7CCFF9AE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5E2EA597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运维对象当前运行状态（正常/异常/存在潜在风险等</w:t>
      </w:r>
      <w:r>
        <w:rPr>
          <w:rFonts w:ascii="宋体" w:hAnsi="宋体" w:eastAsia="宋体" w:cs="宋体"/>
          <w:spacing w:val="2"/>
          <w:sz w:val="24"/>
          <w:szCs w:val="24"/>
        </w:rPr>
        <w:t>）；</w:t>
      </w:r>
    </w:p>
    <w:p w14:paraId="18D47A99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运行状态从异常到正常的状态恢复；</w:t>
      </w:r>
    </w:p>
    <w:p w14:paraId="1A504622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对潜在风险的消除。</w:t>
      </w:r>
    </w:p>
    <w:p w14:paraId="5BD90542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5C27E3D5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运行状态信息记录；</w:t>
      </w:r>
    </w:p>
    <w:p w14:paraId="466F01AF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运行状态异常处理记录；</w:t>
      </w:r>
    </w:p>
    <w:p w14:paraId="39015F88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趋势分析及可能的风险消除建议；</w:t>
      </w:r>
    </w:p>
    <w:p w14:paraId="3E988BB6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例行操作交付过程中的其他报告。</w:t>
      </w:r>
    </w:p>
    <w:p w14:paraId="2E5EB185">
      <w:pPr>
        <w:pStyle w:val="32"/>
        <w:bidi w:val="0"/>
      </w:pPr>
      <w:bookmarkStart w:id="36" w:name="bookmark22"/>
      <w:bookmarkEnd w:id="36"/>
      <w:bookmarkStart w:id="37" w:name="_Toc19889"/>
      <w:r>
        <w:t>响应支持成果</w:t>
      </w:r>
      <w:bookmarkEnd w:id="37"/>
    </w:p>
    <w:p w14:paraId="500209F1">
      <w:pPr>
        <w:spacing w:before="202" w:line="360" w:lineRule="auto"/>
        <w:ind w:left="28" w:right="63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在提供响应支持服务交付的过程中，通过向客户提供无形的</w:t>
      </w:r>
      <w:r>
        <w:rPr>
          <w:rFonts w:ascii="宋体" w:hAnsi="宋体" w:eastAsia="宋体" w:cs="宋体"/>
          <w:spacing w:val="-4"/>
          <w:sz w:val="24"/>
          <w:szCs w:val="24"/>
        </w:rPr>
        <w:t>或有形的交付成</w:t>
      </w:r>
      <w:r>
        <w:rPr>
          <w:rFonts w:ascii="宋体" w:hAnsi="宋体" w:eastAsia="宋体" w:cs="宋体"/>
          <w:spacing w:val="-1"/>
          <w:sz w:val="24"/>
          <w:szCs w:val="24"/>
        </w:rPr>
        <w:t>果，以达成运维服务的服务级别协议要求。响应支持成果应关注的要素包括：</w:t>
      </w:r>
    </w:p>
    <w:p w14:paraId="120B60E4">
      <w:pPr>
        <w:numPr>
          <w:ilvl w:val="0"/>
          <w:numId w:val="21"/>
        </w:numPr>
        <w:spacing w:before="55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197A09DC">
      <w:pPr>
        <w:numPr>
          <w:ilvl w:val="0"/>
          <w:numId w:val="22"/>
        </w:numPr>
        <w:spacing w:before="242" w:line="219" w:lineRule="auto"/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运行状态从异常到正常的状态恢复；</w:t>
      </w:r>
    </w:p>
    <w:p w14:paraId="26E040A6">
      <w:pPr>
        <w:numPr>
          <w:ilvl w:val="0"/>
          <w:numId w:val="22"/>
        </w:numPr>
        <w:spacing w:before="240" w:line="219" w:lineRule="auto"/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运维知识的传递。</w:t>
      </w:r>
    </w:p>
    <w:p w14:paraId="57F70A44">
      <w:pPr>
        <w:numPr>
          <w:ilvl w:val="0"/>
          <w:numId w:val="21"/>
        </w:numPr>
        <w:spacing w:before="24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771E2D6E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响应支持记录；</w:t>
      </w:r>
    </w:p>
    <w:p w14:paraId="5B8AB5BD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响应支持关键指标数据记录（响应事件量、问题数、故障时间/次数）；</w:t>
      </w:r>
    </w:p>
    <w:p w14:paraId="605EA18A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重大事件（故障）的分析改进报告；</w:t>
      </w:r>
    </w:p>
    <w:p w14:paraId="4F4DAD07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满意度分析；</w:t>
      </w:r>
    </w:p>
    <w:p w14:paraId="2A891F82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响应支持交付过程中的其他报告。</w:t>
      </w:r>
    </w:p>
    <w:p w14:paraId="0E581DCA">
      <w:pPr>
        <w:pStyle w:val="32"/>
        <w:bidi w:val="0"/>
      </w:pPr>
      <w:bookmarkStart w:id="38" w:name="bookmark23"/>
      <w:bookmarkEnd w:id="38"/>
      <w:bookmarkStart w:id="39" w:name="_Toc25375"/>
      <w:r>
        <w:t>优化改善成果</w:t>
      </w:r>
      <w:bookmarkEnd w:id="39"/>
    </w:p>
    <w:p w14:paraId="3A1F67E0">
      <w:pPr>
        <w:spacing w:before="202" w:line="360" w:lineRule="auto"/>
        <w:ind w:left="28" w:right="63" w:firstLine="474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在提供优化改善服务交付的过程中，通过向客户提供无形的或有形的交付成果，以达成运维服务的服务级别协议要求。优化改善成果应关注的要素包括：</w:t>
      </w:r>
    </w:p>
    <w:p w14:paraId="3542E3A2">
      <w:pPr>
        <w:numPr>
          <w:ilvl w:val="0"/>
          <w:numId w:val="24"/>
        </w:numPr>
        <w:spacing w:before="5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0124A359">
      <w:pPr>
        <w:keepNext w:val="0"/>
        <w:keepLines w:val="0"/>
        <w:pageBreakBefore w:val="0"/>
        <w:widowControl/>
        <w:numPr>
          <w:ilvl w:val="0"/>
          <w:numId w:val="2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设备或系统等运行性能的提升；</w:t>
      </w:r>
    </w:p>
    <w:p w14:paraId="352BC288">
      <w:pPr>
        <w:keepNext w:val="0"/>
        <w:keepLines w:val="0"/>
        <w:pageBreakBefore w:val="0"/>
        <w:widowControl/>
        <w:numPr>
          <w:ilvl w:val="0"/>
          <w:numId w:val="2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组织或流程等管理水平的提升。</w:t>
      </w:r>
    </w:p>
    <w:p w14:paraId="1F6E7559">
      <w:pPr>
        <w:numPr>
          <w:ilvl w:val="0"/>
          <w:numId w:val="24"/>
        </w:numPr>
        <w:spacing w:before="24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27D144DA">
      <w:pPr>
        <w:keepNext w:val="0"/>
        <w:keepLines w:val="0"/>
        <w:pageBreakBefore w:val="0"/>
        <w:widowControl/>
        <w:numPr>
          <w:ilvl w:val="0"/>
          <w:numId w:val="2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优化方案及相关评审记录；</w:t>
      </w:r>
    </w:p>
    <w:p w14:paraId="79AE9EA7">
      <w:pPr>
        <w:keepNext w:val="0"/>
        <w:keepLines w:val="0"/>
        <w:pageBreakBefore w:val="0"/>
        <w:widowControl/>
        <w:numPr>
          <w:ilvl w:val="0"/>
          <w:numId w:val="2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变更和发布报告；优化改善交付过程中的其他报告</w:t>
      </w:r>
    </w:p>
    <w:p w14:paraId="17CC40F1">
      <w:pPr>
        <w:pStyle w:val="31"/>
        <w:bidi w:val="0"/>
      </w:pPr>
      <w:bookmarkStart w:id="40" w:name="_Toc6088"/>
      <w:bookmarkStart w:id="41" w:name="_Toc4631"/>
      <w:bookmarkStart w:id="42" w:name="_Toc17424"/>
      <w:r>
        <w:t>考核指标</w:t>
      </w:r>
      <w:bookmarkEnd w:id="40"/>
      <w:bookmarkEnd w:id="4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3753"/>
        <w:gridCol w:w="1228"/>
        <w:gridCol w:w="1581"/>
      </w:tblGrid>
      <w:tr w14:paraId="568AA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 w14:paraId="75766956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3753" w:type="dxa"/>
          </w:tcPr>
          <w:p w14:paraId="332B1D00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228" w:type="dxa"/>
          </w:tcPr>
          <w:p w14:paraId="4A121D98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1" w:type="dxa"/>
          </w:tcPr>
          <w:p w14:paraId="5476BB90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1677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60" w:type="dxa"/>
            <w:shd w:val="clear" w:color="auto" w:fill="auto"/>
            <w:vAlign w:val="top"/>
          </w:tcPr>
          <w:p w14:paraId="5D64C575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3753" w:type="dxa"/>
            <w:shd w:val="clear" w:color="auto" w:fill="auto"/>
            <w:vAlign w:val="top"/>
          </w:tcPr>
          <w:p w14:paraId="59F13372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228" w:type="dxa"/>
            <w:shd w:val="clear" w:color="auto" w:fill="auto"/>
            <w:vAlign w:val="top"/>
          </w:tcPr>
          <w:p w14:paraId="3EAA9344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1" w:type="dxa"/>
            <w:shd w:val="clear" w:color="auto" w:fill="auto"/>
            <w:vAlign w:val="top"/>
          </w:tcPr>
          <w:p w14:paraId="23F57DF0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  <w:tr w14:paraId="22F98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0" w:type="auto"/>
            <w:shd w:val="clear" w:color="auto" w:fill="auto"/>
            <w:vAlign w:val="top"/>
          </w:tcPr>
          <w:p w14:paraId="5C2719B5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3753" w:type="dxa"/>
            <w:shd w:val="clear" w:color="auto" w:fill="auto"/>
            <w:vAlign w:val="top"/>
          </w:tcPr>
          <w:p w14:paraId="12136578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1228" w:type="dxa"/>
            <w:shd w:val="clear" w:color="auto" w:fill="auto"/>
            <w:vAlign w:val="top"/>
          </w:tcPr>
          <w:p w14:paraId="71A409C4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2152B64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</w:tr>
      <w:tr w14:paraId="459FF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0" w:type="auto"/>
            <w:shd w:val="clear" w:color="auto" w:fill="auto"/>
            <w:vAlign w:val="top"/>
          </w:tcPr>
          <w:p w14:paraId="371CC49D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3753" w:type="dxa"/>
            <w:shd w:val="clear" w:color="auto" w:fill="auto"/>
            <w:vAlign w:val="top"/>
          </w:tcPr>
          <w:p w14:paraId="47861E1A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228" w:type="dxa"/>
            <w:shd w:val="clear" w:color="auto" w:fill="auto"/>
            <w:vAlign w:val="top"/>
          </w:tcPr>
          <w:p w14:paraId="4328887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3079754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</w:tbl>
    <w:p w14:paraId="1292F1DE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43" w:name="_Toc7571"/>
      <w:r>
        <w:rPr>
          <w:rStyle w:val="39"/>
          <w:rFonts w:hint="eastAsia" w:eastAsia="宋体"/>
          <w:lang w:val="en-US" w:eastAsia="zh-CN"/>
        </w:rPr>
        <w:t>附则</w:t>
      </w:r>
      <w:bookmarkEnd w:id="42"/>
      <w:bookmarkEnd w:id="43"/>
    </w:p>
    <w:p w14:paraId="17535BAC">
      <w:pPr>
        <w:keepNext w:val="0"/>
        <w:keepLines w:val="0"/>
        <w:pageBreakBefore w:val="0"/>
        <w:widowControl/>
        <w:numPr>
          <w:ilvl w:val="0"/>
          <w:numId w:val="2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E364152">
      <w:pPr>
        <w:pStyle w:val="31"/>
        <w:bidi w:val="0"/>
        <w:rPr>
          <w:rFonts w:hint="default"/>
          <w:lang w:val="en-US" w:eastAsia="zh-CN"/>
        </w:rPr>
      </w:pPr>
      <w:bookmarkStart w:id="44" w:name="_Toc16226"/>
      <w:r>
        <w:rPr>
          <w:rFonts w:hint="eastAsia"/>
          <w:lang w:val="en-US" w:eastAsia="zh-CN"/>
        </w:rPr>
        <w:t>规范性引用文件</w:t>
      </w:r>
      <w:bookmarkEnd w:id="44"/>
    </w:p>
    <w:p w14:paraId="5BEB53E2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T/CESA 1299—2023《信息技术服务运行维护服务能力成熟度模型》</w:t>
      </w:r>
    </w:p>
    <w:p w14:paraId="5BA4FF59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GB/T28827.1-2022《信息技术服务 运行维护 第 1 部分：通用要求》</w:t>
      </w:r>
    </w:p>
    <w:p w14:paraId="086AD61E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 29264-2012《信息技术服务 分类与代码》</w:t>
      </w:r>
    </w:p>
    <w:p w14:paraId="69C96032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28827.2-2012《信息技术服务 运行维护 第 2 部分:交付规范》</w:t>
      </w:r>
    </w:p>
    <w:p w14:paraId="2A79800D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28827.3-2012《信息技术服务 运行维护 第 3 部分:应急响应规范》</w:t>
      </w:r>
    </w:p>
    <w:p w14:paraId="572E3990">
      <w:pPr>
        <w:pStyle w:val="29"/>
        <w:bidi w:val="0"/>
        <w:rPr>
          <w:rFonts w:hint="default"/>
          <w:lang w:val="en-US" w:eastAsia="zh-CN"/>
        </w:rPr>
      </w:pPr>
      <w:bookmarkStart w:id="45" w:name="bookmark14"/>
      <w:bookmarkEnd w:id="45"/>
      <w:bookmarkStart w:id="46" w:name="_Toc9440"/>
      <w:r>
        <w:rPr>
          <w:rFonts w:hint="eastAsia"/>
          <w:lang w:val="en-US" w:eastAsia="zh-CN"/>
        </w:rPr>
        <w:t>附件</w:t>
      </w:r>
      <w:bookmarkEnd w:id="46"/>
    </w:p>
    <w:p w14:paraId="14776B0D">
      <w:pPr>
        <w:pStyle w:val="40"/>
        <w:bidi w:val="0"/>
      </w:pPr>
      <w:r>
        <w:t>《服务台管理制度》</w:t>
      </w:r>
    </w:p>
    <w:p w14:paraId="6496BC49">
      <w:pPr>
        <w:pStyle w:val="40"/>
        <w:bidi w:val="0"/>
      </w:pPr>
      <w:r>
        <w:t>《软件开发管理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450DE894">
      <w:pPr>
        <w:pStyle w:val="40"/>
        <w:bidi w:val="0"/>
      </w:pPr>
      <w:r>
        <w:t>《沟通管理程序》</w:t>
      </w:r>
    </w:p>
    <w:p w14:paraId="3B578C70">
      <w:pPr>
        <w:pStyle w:val="29"/>
        <w:bidi w:val="0"/>
        <w:rPr>
          <w:rFonts w:hint="eastAsia"/>
          <w:lang w:val="en-US" w:eastAsia="zh-CN"/>
        </w:rPr>
      </w:pPr>
      <w:bookmarkStart w:id="47" w:name="_Toc3224"/>
      <w:r>
        <w:rPr>
          <w:rFonts w:hint="eastAsia"/>
          <w:lang w:val="en-US" w:eastAsia="zh-CN"/>
        </w:rPr>
        <w:t>记录</w:t>
      </w:r>
      <w:bookmarkEnd w:id="47"/>
    </w:p>
    <w:p w14:paraId="57DCBC04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2D309"/>
    <w:multiLevelType w:val="singleLevel"/>
    <w:tmpl w:val="88B2D30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C70F12C"/>
    <w:multiLevelType w:val="singleLevel"/>
    <w:tmpl w:val="8C70F12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974FFEBD"/>
    <w:multiLevelType w:val="singleLevel"/>
    <w:tmpl w:val="974FFE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7DC68B9"/>
    <w:multiLevelType w:val="singleLevel"/>
    <w:tmpl w:val="97DC68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26778C"/>
    <w:multiLevelType w:val="singleLevel"/>
    <w:tmpl w:val="9926778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A85DBB5B"/>
    <w:multiLevelType w:val="singleLevel"/>
    <w:tmpl w:val="A85DBB5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B9097B9C"/>
    <w:multiLevelType w:val="singleLevel"/>
    <w:tmpl w:val="B9097B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BEB4A0E5"/>
    <w:multiLevelType w:val="singleLevel"/>
    <w:tmpl w:val="BEB4A0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16403AF"/>
    <w:multiLevelType w:val="singleLevel"/>
    <w:tmpl w:val="C16403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C878C64D"/>
    <w:multiLevelType w:val="singleLevel"/>
    <w:tmpl w:val="C878C64D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1">
    <w:nsid w:val="D4C3B19B"/>
    <w:multiLevelType w:val="singleLevel"/>
    <w:tmpl w:val="D4C3B1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D4EFE216"/>
    <w:multiLevelType w:val="singleLevel"/>
    <w:tmpl w:val="D4EFE2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555980A"/>
    <w:multiLevelType w:val="singleLevel"/>
    <w:tmpl w:val="055598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320CEAB"/>
    <w:multiLevelType w:val="singleLevel"/>
    <w:tmpl w:val="1320CEA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6">
    <w:nsid w:val="2279087F"/>
    <w:multiLevelType w:val="singleLevel"/>
    <w:tmpl w:val="227908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2F74BDB7"/>
    <w:multiLevelType w:val="singleLevel"/>
    <w:tmpl w:val="2F74BD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340D3D69"/>
    <w:multiLevelType w:val="singleLevel"/>
    <w:tmpl w:val="340D3D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419469A5"/>
    <w:multiLevelType w:val="singleLevel"/>
    <w:tmpl w:val="419469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45ED8A50"/>
    <w:multiLevelType w:val="singleLevel"/>
    <w:tmpl w:val="45ED8A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4B1ABAF6"/>
    <w:multiLevelType w:val="singleLevel"/>
    <w:tmpl w:val="4B1ABA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605162D3"/>
    <w:multiLevelType w:val="singleLevel"/>
    <w:tmpl w:val="605162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618802BB"/>
    <w:multiLevelType w:val="singleLevel"/>
    <w:tmpl w:val="618802B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4">
    <w:nsid w:val="6290189D"/>
    <w:multiLevelType w:val="singleLevel"/>
    <w:tmpl w:val="629018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67907892"/>
    <w:multiLevelType w:val="singleLevel"/>
    <w:tmpl w:val="67907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766DA87D"/>
    <w:multiLevelType w:val="singleLevel"/>
    <w:tmpl w:val="766DA8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7BB4DEA1"/>
    <w:multiLevelType w:val="singleLevel"/>
    <w:tmpl w:val="7BB4DE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26"/>
  </w:num>
  <w:num w:numId="3">
    <w:abstractNumId w:val="14"/>
  </w:num>
  <w:num w:numId="4">
    <w:abstractNumId w:val="4"/>
  </w:num>
  <w:num w:numId="5">
    <w:abstractNumId w:val="8"/>
  </w:num>
  <w:num w:numId="6">
    <w:abstractNumId w:val="7"/>
  </w:num>
  <w:num w:numId="7">
    <w:abstractNumId w:val="17"/>
  </w:num>
  <w:num w:numId="8">
    <w:abstractNumId w:val="24"/>
  </w:num>
  <w:num w:numId="9">
    <w:abstractNumId w:val="25"/>
  </w:num>
  <w:num w:numId="10">
    <w:abstractNumId w:val="9"/>
  </w:num>
  <w:num w:numId="11">
    <w:abstractNumId w:val="12"/>
  </w:num>
  <w:num w:numId="12">
    <w:abstractNumId w:val="10"/>
  </w:num>
  <w:num w:numId="13">
    <w:abstractNumId w:val="21"/>
  </w:num>
  <w:num w:numId="14">
    <w:abstractNumId w:val="11"/>
  </w:num>
  <w:num w:numId="15">
    <w:abstractNumId w:val="19"/>
  </w:num>
  <w:num w:numId="16">
    <w:abstractNumId w:val="20"/>
  </w:num>
  <w:num w:numId="17">
    <w:abstractNumId w:val="22"/>
  </w:num>
  <w:num w:numId="18">
    <w:abstractNumId w:val="16"/>
  </w:num>
  <w:num w:numId="19">
    <w:abstractNumId w:val="5"/>
  </w:num>
  <w:num w:numId="20">
    <w:abstractNumId w:val="15"/>
  </w:num>
  <w:num w:numId="21">
    <w:abstractNumId w:val="27"/>
  </w:num>
  <w:num w:numId="22">
    <w:abstractNumId w:val="23"/>
  </w:num>
  <w:num w:numId="23">
    <w:abstractNumId w:val="6"/>
  </w:num>
  <w:num w:numId="24">
    <w:abstractNumId w:val="3"/>
  </w:num>
  <w:num w:numId="25">
    <w:abstractNumId w:val="0"/>
  </w:num>
  <w:num w:numId="26">
    <w:abstractNumId w:val="1"/>
  </w:num>
  <w:num w:numId="27">
    <w:abstractNumId w:val="1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0273CC"/>
    <w:rsid w:val="01877B89"/>
    <w:rsid w:val="01BE7323"/>
    <w:rsid w:val="02105DD0"/>
    <w:rsid w:val="037817A8"/>
    <w:rsid w:val="048944A7"/>
    <w:rsid w:val="04B2316F"/>
    <w:rsid w:val="04B769D7"/>
    <w:rsid w:val="05074D82"/>
    <w:rsid w:val="053B5ED5"/>
    <w:rsid w:val="05573D16"/>
    <w:rsid w:val="05914CAC"/>
    <w:rsid w:val="05C8669A"/>
    <w:rsid w:val="062E4A77"/>
    <w:rsid w:val="08055CAB"/>
    <w:rsid w:val="09615163"/>
    <w:rsid w:val="0A2075FD"/>
    <w:rsid w:val="0A565A68"/>
    <w:rsid w:val="0A5F7231"/>
    <w:rsid w:val="0B13248D"/>
    <w:rsid w:val="0B23083E"/>
    <w:rsid w:val="0B3A43AE"/>
    <w:rsid w:val="0B930577"/>
    <w:rsid w:val="0CA84E57"/>
    <w:rsid w:val="0DC14423"/>
    <w:rsid w:val="0E4869E6"/>
    <w:rsid w:val="0F1F58A5"/>
    <w:rsid w:val="0F9A4F2B"/>
    <w:rsid w:val="100912AD"/>
    <w:rsid w:val="104D4694"/>
    <w:rsid w:val="1057106E"/>
    <w:rsid w:val="112A43FB"/>
    <w:rsid w:val="11472E91"/>
    <w:rsid w:val="119775A7"/>
    <w:rsid w:val="136A6610"/>
    <w:rsid w:val="13CC1D73"/>
    <w:rsid w:val="14691370"/>
    <w:rsid w:val="14B94A0A"/>
    <w:rsid w:val="1594066F"/>
    <w:rsid w:val="160F7CF5"/>
    <w:rsid w:val="167A1613"/>
    <w:rsid w:val="16C265E3"/>
    <w:rsid w:val="170C7BDF"/>
    <w:rsid w:val="170D679B"/>
    <w:rsid w:val="1726346E"/>
    <w:rsid w:val="177748FC"/>
    <w:rsid w:val="18F03E0E"/>
    <w:rsid w:val="195919B3"/>
    <w:rsid w:val="19B60738"/>
    <w:rsid w:val="1A226249"/>
    <w:rsid w:val="1A264519"/>
    <w:rsid w:val="1AC27A2C"/>
    <w:rsid w:val="1AF85D0D"/>
    <w:rsid w:val="1B32070E"/>
    <w:rsid w:val="1B8D153C"/>
    <w:rsid w:val="1CFA72C7"/>
    <w:rsid w:val="1D0B4105"/>
    <w:rsid w:val="1D7B4B8F"/>
    <w:rsid w:val="1DE228BA"/>
    <w:rsid w:val="1E360515"/>
    <w:rsid w:val="1EDB363C"/>
    <w:rsid w:val="1F5D7D23"/>
    <w:rsid w:val="202D28EF"/>
    <w:rsid w:val="20474C5B"/>
    <w:rsid w:val="20633B36"/>
    <w:rsid w:val="2079729C"/>
    <w:rsid w:val="209179EB"/>
    <w:rsid w:val="21617F9F"/>
    <w:rsid w:val="21D105FC"/>
    <w:rsid w:val="23BE48A4"/>
    <w:rsid w:val="23F874A2"/>
    <w:rsid w:val="2519232A"/>
    <w:rsid w:val="25626B9F"/>
    <w:rsid w:val="25B05051"/>
    <w:rsid w:val="262C093B"/>
    <w:rsid w:val="26747E2C"/>
    <w:rsid w:val="26795443"/>
    <w:rsid w:val="27363334"/>
    <w:rsid w:val="279B1602"/>
    <w:rsid w:val="28862099"/>
    <w:rsid w:val="294F2EB5"/>
    <w:rsid w:val="296511D8"/>
    <w:rsid w:val="2A0635A2"/>
    <w:rsid w:val="2A31538D"/>
    <w:rsid w:val="2B141C1D"/>
    <w:rsid w:val="2B830B12"/>
    <w:rsid w:val="2B9C4A12"/>
    <w:rsid w:val="2BB974A6"/>
    <w:rsid w:val="2BC0763F"/>
    <w:rsid w:val="2BFB4874"/>
    <w:rsid w:val="2C5B12B0"/>
    <w:rsid w:val="2CEB4BC0"/>
    <w:rsid w:val="2D381E44"/>
    <w:rsid w:val="2D414068"/>
    <w:rsid w:val="2DB17BB8"/>
    <w:rsid w:val="2E2D487A"/>
    <w:rsid w:val="2E516CA5"/>
    <w:rsid w:val="2E9229F1"/>
    <w:rsid w:val="2E9D013C"/>
    <w:rsid w:val="2EA01905"/>
    <w:rsid w:val="2F135073"/>
    <w:rsid w:val="2F4A02C4"/>
    <w:rsid w:val="2FF80E15"/>
    <w:rsid w:val="301D1535"/>
    <w:rsid w:val="30670A02"/>
    <w:rsid w:val="31305298"/>
    <w:rsid w:val="32C13470"/>
    <w:rsid w:val="33613E2E"/>
    <w:rsid w:val="33896EE1"/>
    <w:rsid w:val="33B84A5C"/>
    <w:rsid w:val="34034EE6"/>
    <w:rsid w:val="344F1ED9"/>
    <w:rsid w:val="34F52E5A"/>
    <w:rsid w:val="35E077EC"/>
    <w:rsid w:val="366559E4"/>
    <w:rsid w:val="36785717"/>
    <w:rsid w:val="36B742E9"/>
    <w:rsid w:val="36C24BE4"/>
    <w:rsid w:val="36D641EB"/>
    <w:rsid w:val="36D87425"/>
    <w:rsid w:val="36E83F1F"/>
    <w:rsid w:val="36F25E64"/>
    <w:rsid w:val="36FA4FFE"/>
    <w:rsid w:val="37BF1626"/>
    <w:rsid w:val="37D82C93"/>
    <w:rsid w:val="384A559C"/>
    <w:rsid w:val="39431617"/>
    <w:rsid w:val="396E4BAF"/>
    <w:rsid w:val="39F41558"/>
    <w:rsid w:val="3A3D6832"/>
    <w:rsid w:val="3A5133C8"/>
    <w:rsid w:val="3A9E400B"/>
    <w:rsid w:val="3B6E533A"/>
    <w:rsid w:val="3BE850ED"/>
    <w:rsid w:val="3C28373B"/>
    <w:rsid w:val="3C29300F"/>
    <w:rsid w:val="3C634773"/>
    <w:rsid w:val="3C7A5184"/>
    <w:rsid w:val="3D156FFD"/>
    <w:rsid w:val="3D3D3216"/>
    <w:rsid w:val="3D695DB9"/>
    <w:rsid w:val="3DA72FF0"/>
    <w:rsid w:val="3E7C0C45"/>
    <w:rsid w:val="3EAB0654"/>
    <w:rsid w:val="3EC55271"/>
    <w:rsid w:val="3ED45CDF"/>
    <w:rsid w:val="3F5A203E"/>
    <w:rsid w:val="40D72A99"/>
    <w:rsid w:val="40F9018D"/>
    <w:rsid w:val="410A1661"/>
    <w:rsid w:val="41566655"/>
    <w:rsid w:val="41BE24F6"/>
    <w:rsid w:val="426B25D4"/>
    <w:rsid w:val="429D0A4E"/>
    <w:rsid w:val="42E73E0F"/>
    <w:rsid w:val="43A318F9"/>
    <w:rsid w:val="442D371B"/>
    <w:rsid w:val="44872FC9"/>
    <w:rsid w:val="448D5200"/>
    <w:rsid w:val="455530C7"/>
    <w:rsid w:val="45FB77CB"/>
    <w:rsid w:val="4613720A"/>
    <w:rsid w:val="461865CE"/>
    <w:rsid w:val="4642189D"/>
    <w:rsid w:val="471A69C9"/>
    <w:rsid w:val="47432D89"/>
    <w:rsid w:val="47797541"/>
    <w:rsid w:val="47B40579"/>
    <w:rsid w:val="47E81FD1"/>
    <w:rsid w:val="482B73A4"/>
    <w:rsid w:val="4893018E"/>
    <w:rsid w:val="49AC04C3"/>
    <w:rsid w:val="49BB5BEF"/>
    <w:rsid w:val="4A215492"/>
    <w:rsid w:val="4AA3483E"/>
    <w:rsid w:val="4AA541A9"/>
    <w:rsid w:val="4AC42881"/>
    <w:rsid w:val="4AD909E8"/>
    <w:rsid w:val="4B644252"/>
    <w:rsid w:val="4BA6642B"/>
    <w:rsid w:val="4C013661"/>
    <w:rsid w:val="4D343593"/>
    <w:rsid w:val="4DC25072"/>
    <w:rsid w:val="4ECA2430"/>
    <w:rsid w:val="4F540134"/>
    <w:rsid w:val="4FB91B07"/>
    <w:rsid w:val="510559A1"/>
    <w:rsid w:val="541A1764"/>
    <w:rsid w:val="54B725CE"/>
    <w:rsid w:val="54CD67D6"/>
    <w:rsid w:val="552E25A8"/>
    <w:rsid w:val="57A57A23"/>
    <w:rsid w:val="57AC16EE"/>
    <w:rsid w:val="5859544B"/>
    <w:rsid w:val="58956A46"/>
    <w:rsid w:val="58C8202C"/>
    <w:rsid w:val="58DD36E9"/>
    <w:rsid w:val="59065E86"/>
    <w:rsid w:val="5ADC59C5"/>
    <w:rsid w:val="5AF72A21"/>
    <w:rsid w:val="5B1909C7"/>
    <w:rsid w:val="5BBB7799"/>
    <w:rsid w:val="5BC619FD"/>
    <w:rsid w:val="5BF91030"/>
    <w:rsid w:val="5C717B35"/>
    <w:rsid w:val="5DA402F0"/>
    <w:rsid w:val="5E133B7E"/>
    <w:rsid w:val="5E3B2A02"/>
    <w:rsid w:val="5E8425FB"/>
    <w:rsid w:val="5EB57238"/>
    <w:rsid w:val="5F9C5723"/>
    <w:rsid w:val="5FB87366"/>
    <w:rsid w:val="601B0D3D"/>
    <w:rsid w:val="605F62EB"/>
    <w:rsid w:val="608C7E04"/>
    <w:rsid w:val="60F165C0"/>
    <w:rsid w:val="60FF797D"/>
    <w:rsid w:val="62364D94"/>
    <w:rsid w:val="62853344"/>
    <w:rsid w:val="629E7A04"/>
    <w:rsid w:val="62C84A81"/>
    <w:rsid w:val="637B1AF3"/>
    <w:rsid w:val="641474F3"/>
    <w:rsid w:val="6457120A"/>
    <w:rsid w:val="65F22540"/>
    <w:rsid w:val="66E57803"/>
    <w:rsid w:val="672A7AB8"/>
    <w:rsid w:val="678A1321"/>
    <w:rsid w:val="67931B01"/>
    <w:rsid w:val="689A2A1B"/>
    <w:rsid w:val="693026B1"/>
    <w:rsid w:val="695B03FD"/>
    <w:rsid w:val="69862A24"/>
    <w:rsid w:val="69B61AD7"/>
    <w:rsid w:val="69D9062E"/>
    <w:rsid w:val="6ADC556D"/>
    <w:rsid w:val="6AF503DD"/>
    <w:rsid w:val="6B6421C7"/>
    <w:rsid w:val="6B947BF6"/>
    <w:rsid w:val="6BAC3191"/>
    <w:rsid w:val="6BCE07B8"/>
    <w:rsid w:val="6BF86B42"/>
    <w:rsid w:val="6C7C0DB6"/>
    <w:rsid w:val="70EA7587"/>
    <w:rsid w:val="71065098"/>
    <w:rsid w:val="711710AD"/>
    <w:rsid w:val="71235CA4"/>
    <w:rsid w:val="7148395C"/>
    <w:rsid w:val="71D074AE"/>
    <w:rsid w:val="72802C82"/>
    <w:rsid w:val="72895FDA"/>
    <w:rsid w:val="72DC0914"/>
    <w:rsid w:val="747E1443"/>
    <w:rsid w:val="7695113D"/>
    <w:rsid w:val="77020109"/>
    <w:rsid w:val="770420D4"/>
    <w:rsid w:val="775070C7"/>
    <w:rsid w:val="78484242"/>
    <w:rsid w:val="78CC6D3B"/>
    <w:rsid w:val="78DC469B"/>
    <w:rsid w:val="799F426B"/>
    <w:rsid w:val="79D80C62"/>
    <w:rsid w:val="7A147095"/>
    <w:rsid w:val="7A523156"/>
    <w:rsid w:val="7A5B3D8A"/>
    <w:rsid w:val="7AD131F4"/>
    <w:rsid w:val="7AF366E7"/>
    <w:rsid w:val="7B6969A9"/>
    <w:rsid w:val="7B734B9C"/>
    <w:rsid w:val="7BC938EC"/>
    <w:rsid w:val="7C923CDE"/>
    <w:rsid w:val="7CAB5F7C"/>
    <w:rsid w:val="7D1E37CD"/>
    <w:rsid w:val="7DD86C30"/>
    <w:rsid w:val="7E5427FD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TML Code"/>
    <w:basedOn w:val="22"/>
    <w:qFormat/>
    <w:uiPriority w:val="0"/>
    <w:rPr>
      <w:rFonts w:ascii="Courier New" w:hAnsi="Courier New"/>
      <w:sz w:val="20"/>
    </w:rPr>
  </w:style>
  <w:style w:type="paragraph" w:customStyle="1" w:styleId="25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4786</Words>
  <Characters>5055</Characters>
  <Lines>0</Lines>
  <Paragraphs>0</Paragraphs>
  <TotalTime>0</TotalTime>
  <ScaleCrop>false</ScaleCrop>
  <LinksUpToDate>false</LinksUpToDate>
  <CharactersWithSpaces>5211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2025-09-12T05:42:45Z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