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53624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highlight w:val="none"/>
          <w:lang w:val="en-US" w:eastAsia="zh-CN"/>
        </w:rPr>
      </w:pPr>
      <w:bookmarkStart w:id="0" w:name="_GoBack"/>
      <w:r>
        <w:rPr>
          <w:rFonts w:hint="eastAsia" w:ascii="仿宋" w:hAnsi="仿宋" w:eastAsia="仿宋" w:cs="仿宋"/>
          <w:sz w:val="24"/>
          <w:szCs w:val="24"/>
          <w:highlight w:val="none"/>
          <w:lang w:val="en-US" w:eastAsia="zh-CN"/>
        </w:rPr>
        <w:t>万洲奇智公司介绍</w:t>
      </w:r>
    </w:p>
    <w:p w14:paraId="0214754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highlight w:val="none"/>
          <w:lang w:eastAsia="zh-CN"/>
        </w:rPr>
      </w:pPr>
      <w:r>
        <w:rPr>
          <w:rFonts w:hint="eastAsia" w:ascii="仿宋" w:hAnsi="仿宋" w:eastAsia="仿宋" w:cs="仿宋"/>
          <w:sz w:val="24"/>
          <w:szCs w:val="24"/>
          <w:highlight w:val="none"/>
          <w:lang w:val="en-US" w:eastAsia="zh-CN"/>
        </w:rPr>
        <w:t>万洲奇智成立于2024年，是由</w:t>
      </w:r>
      <w:r>
        <w:rPr>
          <w:rFonts w:hint="eastAsia" w:ascii="仿宋" w:hAnsi="仿宋" w:eastAsia="仿宋" w:cs="仿宋"/>
          <w:sz w:val="24"/>
          <w:szCs w:val="24"/>
          <w:highlight w:val="none"/>
        </w:rPr>
        <w:t>创新奇智科技集团股份有限公司与万洲嘉智信息科技有限公司合资成立</w:t>
      </w:r>
      <w:r>
        <w:rPr>
          <w:rFonts w:hint="eastAsia" w:ascii="仿宋" w:hAnsi="仿宋" w:eastAsia="仿宋" w:cs="仿宋"/>
          <w:sz w:val="24"/>
          <w:szCs w:val="24"/>
          <w:highlight w:val="none"/>
          <w:lang w:eastAsia="zh-CN"/>
        </w:rPr>
        <w:t>。</w:t>
      </w:r>
      <w:r>
        <w:rPr>
          <w:rFonts w:hint="eastAsia" w:ascii="仿宋" w:hAnsi="仿宋" w:eastAsia="仿宋" w:cs="仿宋"/>
          <w:sz w:val="24"/>
          <w:szCs w:val="24"/>
          <w:highlight w:val="none"/>
          <w:lang w:val="en-US" w:eastAsia="zh-CN"/>
        </w:rPr>
        <w:t>集团公司创新</w:t>
      </w:r>
      <w:r>
        <w:rPr>
          <w:rFonts w:hint="eastAsia" w:ascii="仿宋" w:hAnsi="仿宋" w:eastAsia="仿宋" w:cs="仿宋"/>
          <w:sz w:val="24"/>
          <w:szCs w:val="24"/>
          <w:highlight w:val="none"/>
        </w:rPr>
        <w:t>智科技集团股份有限公司</w:t>
      </w:r>
      <w:r>
        <w:rPr>
          <w:rFonts w:hint="eastAsia" w:ascii="仿宋" w:hAnsi="仿宋" w:eastAsia="仿宋" w:cs="仿宋"/>
          <w:sz w:val="24"/>
          <w:szCs w:val="24"/>
          <w:highlight w:val="none"/>
          <w:lang w:val="en-US" w:eastAsia="zh-CN"/>
        </w:rPr>
        <w:t>是一家AI上市企业，投资公司</w:t>
      </w:r>
      <w:r>
        <w:rPr>
          <w:rFonts w:hint="eastAsia" w:ascii="仿宋" w:hAnsi="仿宋" w:eastAsia="仿宋" w:cs="仿宋"/>
          <w:sz w:val="24"/>
          <w:szCs w:val="24"/>
          <w:highlight w:val="none"/>
        </w:rPr>
        <w:t>万洲嘉智信息科技有限公司</w:t>
      </w:r>
      <w:r>
        <w:rPr>
          <w:rFonts w:hint="eastAsia" w:ascii="仿宋" w:hAnsi="仿宋" w:eastAsia="仿宋" w:cs="仿宋"/>
          <w:sz w:val="24"/>
          <w:szCs w:val="24"/>
          <w:highlight w:val="none"/>
          <w:lang w:val="en-US" w:eastAsia="zh-CN"/>
        </w:rPr>
        <w:t>是</w:t>
      </w:r>
      <w:r>
        <w:rPr>
          <w:rFonts w:hint="eastAsia" w:ascii="仿宋" w:hAnsi="仿宋" w:eastAsia="仿宋" w:cs="仿宋"/>
          <w:sz w:val="24"/>
          <w:szCs w:val="24"/>
          <w:highlight w:val="none"/>
        </w:rPr>
        <w:t>国内领先的数字化、智慧化应用解决方案服务商</w:t>
      </w:r>
      <w:r>
        <w:rPr>
          <w:rFonts w:hint="eastAsia" w:ascii="仿宋" w:hAnsi="仿宋" w:eastAsia="仿宋" w:cs="仿宋"/>
          <w:sz w:val="24"/>
          <w:szCs w:val="24"/>
          <w:highlight w:val="none"/>
          <w:lang w:eastAsia="zh-CN"/>
        </w:rPr>
        <w:t>。</w:t>
      </w:r>
    </w:p>
    <w:p w14:paraId="717FFA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highlight w:val="none"/>
        </w:rPr>
      </w:pPr>
      <w:r>
        <w:rPr>
          <w:rFonts w:hint="eastAsia" w:ascii="仿宋" w:hAnsi="仿宋" w:eastAsia="仿宋" w:cs="仿宋"/>
          <w:sz w:val="24"/>
          <w:szCs w:val="24"/>
          <w:highlight w:val="none"/>
          <w:lang w:val="en-US" w:eastAsia="zh-CN"/>
        </w:rPr>
        <w:t>万洲奇智</w:t>
      </w:r>
      <w:r>
        <w:rPr>
          <w:rFonts w:hint="eastAsia" w:ascii="仿宋" w:hAnsi="仿宋" w:eastAsia="仿宋" w:cs="仿宋"/>
          <w:sz w:val="24"/>
          <w:szCs w:val="24"/>
          <w:highlight w:val="none"/>
        </w:rPr>
        <w:t>致力于用前沿的人工智能技术为企业提供 AI 产品及解决方案，包括AI平台、算法、软件及AI赋能设备，提高客户运营效率和商业价值，实现数字化转型。</w:t>
      </w:r>
      <w:r>
        <w:rPr>
          <w:rFonts w:hint="eastAsia" w:ascii="仿宋" w:hAnsi="仿宋" w:eastAsia="仿宋" w:cs="仿宋"/>
          <w:sz w:val="24"/>
          <w:szCs w:val="24"/>
          <w:highlight w:val="none"/>
          <w:lang w:val="en-US" w:eastAsia="zh-CN"/>
        </w:rPr>
        <w:t>公司依托于</w:t>
      </w:r>
      <w:r>
        <w:rPr>
          <w:rFonts w:hint="eastAsia" w:ascii="仿宋" w:hAnsi="仿宋" w:eastAsia="仿宋" w:cs="仿宋"/>
          <w:sz w:val="24"/>
          <w:szCs w:val="24"/>
          <w:highlight w:val="none"/>
        </w:rPr>
        <w:t>创新奇智科技集团股份有限公司</w:t>
      </w:r>
      <w:r>
        <w:rPr>
          <w:rFonts w:hint="eastAsia" w:ascii="仿宋" w:hAnsi="仿宋" w:eastAsia="仿宋" w:cs="仿宋"/>
          <w:sz w:val="24"/>
          <w:szCs w:val="24"/>
          <w:highlight w:val="none"/>
          <w:lang w:val="en-US" w:eastAsia="zh-CN"/>
        </w:rPr>
        <w:t>的人工智能科技创新为背景，以人工智能赋能商业价值为使命。</w:t>
      </w:r>
      <w:r>
        <w:rPr>
          <w:rFonts w:hint="eastAsia" w:ascii="仿宋" w:hAnsi="仿宋" w:eastAsia="仿宋" w:cs="仿宋"/>
          <w:sz w:val="24"/>
          <w:szCs w:val="24"/>
          <w:highlight w:val="none"/>
          <w:lang w:val="en-US" w:eastAsia="zh-CN"/>
        </w:rPr>
        <w:t>作为</w:t>
      </w:r>
      <w:r>
        <w:rPr>
          <w:rFonts w:hint="eastAsia" w:ascii="仿宋" w:hAnsi="仿宋" w:eastAsia="仿宋" w:cs="仿宋"/>
          <w:sz w:val="24"/>
          <w:szCs w:val="24"/>
          <w:highlight w:val="none"/>
        </w:rPr>
        <w:t>行业领先的 AI 产品及解决方案</w:t>
      </w:r>
      <w:r>
        <w:rPr>
          <w:rFonts w:hint="eastAsia" w:ascii="仿宋" w:hAnsi="仿宋" w:eastAsia="仿宋" w:cs="仿宋"/>
          <w:sz w:val="24"/>
          <w:szCs w:val="24"/>
          <w:highlight w:val="none"/>
          <w:lang w:val="en-US" w:eastAsia="zh-CN"/>
        </w:rPr>
        <w:t>提供商</w:t>
      </w:r>
      <w:r>
        <w:rPr>
          <w:rFonts w:hint="eastAsia" w:ascii="仿宋" w:hAnsi="仿宋" w:eastAsia="仿宋" w:cs="仿宋"/>
          <w:sz w:val="24"/>
          <w:szCs w:val="24"/>
          <w:highlight w:val="none"/>
          <w:lang w:eastAsia="zh-CN"/>
        </w:rPr>
        <w:t>，</w:t>
      </w:r>
      <w:r>
        <w:rPr>
          <w:rFonts w:hint="eastAsia" w:ascii="仿宋" w:hAnsi="仿宋" w:eastAsia="仿宋" w:cs="仿宋"/>
          <w:sz w:val="24"/>
          <w:szCs w:val="24"/>
          <w:highlight w:val="none"/>
        </w:rPr>
        <w:t>深度挖掘产品应用场景，透过将顶尖的</w:t>
      </w:r>
      <w:r>
        <w:rPr>
          <w:rFonts w:hint="eastAsia" w:ascii="仿宋" w:hAnsi="仿宋" w:eastAsia="仿宋" w:cs="仿宋"/>
          <w:sz w:val="24"/>
          <w:szCs w:val="24"/>
          <w:highlight w:val="none"/>
        </w:rPr>
        <w:t xml:space="preserve"> AI技术与行业场景的深刻洞察相结合，提供全栈式 AI产品和解决方案，包括AI 平台、算法、软件及AI赋能设备，以促进企业业务运营和信息管理的智能化转型来降低成本、提高运营效率及优化决策。此外，强大软件—硬件集成交付模式亦为我们的竞争对手提高了准入门坎。</w:t>
      </w:r>
    </w:p>
    <w:p w14:paraId="06A2F43B">
      <w:pPr>
        <w:ind w:firstLine="560"/>
        <w:rPr>
          <w:rFonts w:hint="eastAsia" w:ascii="仿宋" w:hAnsi="仿宋" w:eastAsia="仿宋" w:cs="仿宋"/>
          <w:sz w:val="24"/>
          <w:szCs w:val="24"/>
          <w:highlight w:val="none"/>
        </w:rPr>
      </w:pPr>
      <w:r>
        <w:rPr>
          <w:rFonts w:hint="eastAsia" w:ascii="仿宋" w:hAnsi="仿宋" w:eastAsia="仿宋" w:cs="仿宋"/>
          <w:sz w:val="24"/>
          <w:szCs w:val="24"/>
          <w:highlight w:val="none"/>
        </w:rPr>
        <w:t>万洲</w:t>
      </w:r>
      <w:r>
        <w:rPr>
          <w:rFonts w:hint="eastAsia" w:ascii="仿宋" w:hAnsi="仿宋" w:eastAsia="仿宋" w:cs="仿宋"/>
          <w:sz w:val="24"/>
          <w:szCs w:val="24"/>
          <w:highlight w:val="none"/>
          <w:lang w:val="en-US" w:eastAsia="zh-CN"/>
        </w:rPr>
        <w:t>奇智</w:t>
      </w:r>
      <w:r>
        <w:rPr>
          <w:rFonts w:hint="eastAsia" w:ascii="仿宋" w:hAnsi="仿宋" w:eastAsia="仿宋" w:cs="仿宋"/>
          <w:sz w:val="24"/>
          <w:szCs w:val="24"/>
          <w:highlight w:val="none"/>
        </w:rPr>
        <w:t>立足于</w:t>
      </w:r>
      <w:r>
        <w:rPr>
          <w:rFonts w:hint="eastAsia" w:ascii="仿宋" w:hAnsi="仿宋" w:eastAsia="仿宋" w:cs="仿宋"/>
          <w:sz w:val="24"/>
          <w:szCs w:val="24"/>
          <w:highlight w:val="none"/>
        </w:rPr>
        <w:t>万洲嘉智信息科技有限公司</w:t>
      </w:r>
      <w:r>
        <w:rPr>
          <w:rFonts w:hint="eastAsia" w:ascii="仿宋" w:hAnsi="仿宋" w:eastAsia="仿宋" w:cs="仿宋"/>
          <w:sz w:val="24"/>
          <w:szCs w:val="24"/>
          <w:highlight w:val="none"/>
        </w:rPr>
        <w:t>自身</w:t>
      </w:r>
      <w:r>
        <w:rPr>
          <w:rFonts w:hint="eastAsia" w:ascii="仿宋" w:hAnsi="仿宋" w:eastAsia="仿宋" w:cs="仿宋"/>
          <w:sz w:val="24"/>
          <w:szCs w:val="24"/>
          <w:highlight w:val="none"/>
          <w:lang w:val="en-US" w:eastAsia="zh-CN"/>
        </w:rPr>
        <w:t>的</w:t>
      </w:r>
      <w:r>
        <w:rPr>
          <w:rFonts w:hint="eastAsia" w:ascii="仿宋" w:hAnsi="仿宋" w:eastAsia="仿宋" w:cs="仿宋"/>
          <w:sz w:val="24"/>
          <w:szCs w:val="24"/>
          <w:highlight w:val="none"/>
        </w:rPr>
        <w:t>技术沉淀及产品研发交付能力，持续创新优化智慧化数字化场景解决方案，为客户创造价值，促使客户数字化转型成功。</w:t>
      </w:r>
      <w:r>
        <w:rPr>
          <w:rFonts w:hint="eastAsia" w:ascii="仿宋" w:hAnsi="仿宋" w:eastAsia="仿宋" w:cs="仿宋"/>
          <w:sz w:val="24"/>
          <w:szCs w:val="24"/>
          <w:highlight w:val="none"/>
          <w:lang w:val="en-US" w:eastAsia="zh-CN"/>
        </w:rPr>
        <w:t>公司</w:t>
      </w:r>
      <w:r>
        <w:rPr>
          <w:rFonts w:hint="eastAsia" w:ascii="仿宋" w:hAnsi="仿宋" w:eastAsia="仿宋" w:cs="仿宋"/>
          <w:sz w:val="24"/>
          <w:szCs w:val="24"/>
          <w:highlight w:val="none"/>
        </w:rPr>
        <w:t>致力于平台化软件提供与服务，由企业管理平台软件的研发逐步发展成为智慧科技研发及运营的企业，</w:t>
      </w:r>
      <w:r>
        <w:rPr>
          <w:rFonts w:hint="eastAsia" w:ascii="仿宋" w:hAnsi="仿宋" w:eastAsia="仿宋" w:cs="仿宋"/>
          <w:sz w:val="24"/>
          <w:szCs w:val="24"/>
          <w:highlight w:val="none"/>
        </w:rPr>
        <w:t>在智慧城市、智慧园区、数字能源等领域具有丰富的IT规划与平台系统建设经验；</w:t>
      </w:r>
    </w:p>
    <w:p w14:paraId="346750D5">
      <w:pPr>
        <w:ind w:firstLine="560"/>
        <w:rPr>
          <w:rFonts w:hint="eastAsia" w:ascii="仿宋" w:hAnsi="仿宋" w:eastAsia="仿宋" w:cs="仿宋"/>
          <w:sz w:val="24"/>
          <w:szCs w:val="24"/>
          <w:highlight w:val="none"/>
          <w:lang w:val="en-US" w:eastAsia="zh-CN"/>
        </w:rPr>
      </w:pPr>
      <w:r>
        <w:rPr>
          <w:rFonts w:hint="eastAsia" w:ascii="仿宋" w:hAnsi="仿宋" w:eastAsia="仿宋" w:cs="仿宋"/>
          <w:sz w:val="24"/>
          <w:szCs w:val="24"/>
          <w:highlight w:val="none"/>
          <w:lang w:val="en-US" w:eastAsia="zh-CN"/>
        </w:rPr>
        <w:t>万洲嘉智</w:t>
      </w:r>
      <w:r>
        <w:rPr>
          <w:rFonts w:hint="eastAsia" w:ascii="仿宋" w:hAnsi="仿宋" w:eastAsia="仿宋" w:cs="仿宋"/>
          <w:sz w:val="24"/>
          <w:szCs w:val="24"/>
          <w:highlight w:val="none"/>
        </w:rPr>
        <w:t>信息科技有限公司</w:t>
      </w:r>
      <w:r>
        <w:rPr>
          <w:rFonts w:hint="eastAsia" w:ascii="仿宋" w:hAnsi="仿宋" w:eastAsia="仿宋" w:cs="仿宋"/>
          <w:sz w:val="24"/>
          <w:szCs w:val="24"/>
          <w:highlight w:val="none"/>
        </w:rPr>
        <w:t>历经多年发展，公司沉淀一批经验丰富的专家咨询团队、产品研发团队和交付运维团队，已成功为200+客户提供了数字化智能化解决方案。</w:t>
      </w:r>
      <w:r>
        <w:rPr>
          <w:rFonts w:hint="eastAsia" w:ascii="仿宋" w:hAnsi="仿宋" w:eastAsia="仿宋" w:cs="仿宋"/>
          <w:sz w:val="24"/>
          <w:szCs w:val="24"/>
          <w:highlight w:val="none"/>
          <w:lang w:val="en-US" w:eastAsia="zh-CN"/>
        </w:rPr>
        <w:t>更是在</w:t>
      </w:r>
      <w:r>
        <w:rPr>
          <w:rFonts w:hint="eastAsia" w:ascii="仿宋" w:hAnsi="仿宋" w:eastAsia="仿宋" w:cs="仿宋"/>
          <w:sz w:val="24"/>
          <w:szCs w:val="24"/>
          <w:highlight w:val="none"/>
        </w:rPr>
        <w:t>金融、化工、矿山、园区、康养、场馆等领域成功交付300+案例，历经百战，锻造一支可打胜仗的核心管理团队，逐步形成行销中心、解决方案中心、产品设计中心、研发中心、工程交付中心、品质运维中心、人力资源中心、财务审计中心等8大运营中心。多年持续优化，沉淀出以数字孪生引擎、流程引擎、规则引擎、消息引擎、商业智能引擎为基础的平台化技术，打造IOT平台、AI算法平台，实现统一接入、统一服务、统一运维的应用产品随需定制、快速开发部署；持续耕耘客户，为客户创造价值的理念，形成以产业园区、化工园区、煤矿园区、数字能源为核心赛道的业务板块，并因此成为华为智慧园区EPI上架产品伙伴、华为智慧煤矿联合解决方案提供商、华为云智慧园区严选自营产品提供商。</w:t>
      </w:r>
    </w:p>
    <w:p w14:paraId="78B9B2BF">
      <w:pPr>
        <w:keepNext w:val="0"/>
        <w:keepLines w:val="0"/>
        <w:pageBreakBefore w:val="0"/>
        <w:widowControl w:val="0"/>
        <w:kinsoku/>
        <w:wordWrap/>
        <w:overflowPunct/>
        <w:topLinePunct w:val="0"/>
        <w:autoSpaceDE/>
        <w:autoSpaceDN/>
        <w:bidi w:val="0"/>
        <w:adjustRightInd/>
        <w:snapToGrid/>
        <w:spacing w:line="360" w:lineRule="auto"/>
        <w:ind w:firstLine="560"/>
        <w:textAlignment w:val="auto"/>
        <w:rPr>
          <w:rFonts w:hint="eastAsia" w:ascii="仿宋" w:hAnsi="仿宋" w:eastAsia="仿宋" w:cs="仿宋"/>
          <w:sz w:val="24"/>
          <w:szCs w:val="24"/>
          <w:highlight w:val="none"/>
        </w:rPr>
      </w:pPr>
      <w:r>
        <w:rPr>
          <w:rFonts w:hint="eastAsia" w:ascii="仿宋" w:hAnsi="仿宋" w:eastAsia="仿宋" w:cs="仿宋"/>
          <w:sz w:val="24"/>
          <w:szCs w:val="24"/>
          <w:highlight w:val="none"/>
          <w:lang w:val="en-US" w:eastAsia="zh-CN"/>
        </w:rPr>
        <w:t>基于以上能力，</w:t>
      </w:r>
      <w:r>
        <w:rPr>
          <w:rFonts w:hint="eastAsia" w:ascii="仿宋" w:hAnsi="仿宋" w:eastAsia="仿宋" w:cs="仿宋"/>
          <w:sz w:val="24"/>
          <w:szCs w:val="24"/>
          <w:highlight w:val="none"/>
        </w:rPr>
        <w:t>万洲</w:t>
      </w:r>
      <w:r>
        <w:rPr>
          <w:rFonts w:hint="eastAsia" w:ascii="仿宋" w:hAnsi="仿宋" w:eastAsia="仿宋" w:cs="仿宋"/>
          <w:sz w:val="24"/>
          <w:szCs w:val="24"/>
          <w:highlight w:val="none"/>
          <w:lang w:val="en-US" w:eastAsia="zh-CN"/>
        </w:rPr>
        <w:t>嘉智已</w:t>
      </w:r>
      <w:r>
        <w:rPr>
          <w:rFonts w:hint="eastAsia" w:ascii="仿宋" w:hAnsi="仿宋" w:eastAsia="仿宋" w:cs="仿宋"/>
          <w:sz w:val="24"/>
          <w:szCs w:val="24"/>
          <w:highlight w:val="none"/>
        </w:rPr>
        <w:t>成为华为政企智慧园区解决方案头部核心合作伙伴，华为云严选自营伙伴、领先级ISV伙伴、华为交付与服务优选伙伴、鲲鹏生态解决方案合作伙伴。同时，万洲</w:t>
      </w:r>
      <w:r>
        <w:rPr>
          <w:rFonts w:hint="eastAsia" w:ascii="仿宋" w:hAnsi="仿宋" w:eastAsia="仿宋" w:cs="仿宋"/>
          <w:sz w:val="24"/>
          <w:szCs w:val="24"/>
          <w:highlight w:val="none"/>
          <w:lang w:val="en-US" w:eastAsia="zh-CN"/>
        </w:rPr>
        <w:t>奇智</w:t>
      </w:r>
      <w:r>
        <w:rPr>
          <w:rFonts w:hint="eastAsia" w:ascii="仿宋" w:hAnsi="仿宋" w:eastAsia="仿宋" w:cs="仿宋"/>
          <w:sz w:val="24"/>
          <w:szCs w:val="24"/>
          <w:highlight w:val="none"/>
        </w:rPr>
        <w:t>也是中国电信天翼云智慧城市合作伙伴、浪潮工业互联网科技合作伙伴、海尔卡奥斯合作伙伴。</w:t>
      </w:r>
    </w:p>
    <w:p w14:paraId="1BA9F5A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highlight w:val="none"/>
          <w:lang w:val="en-US" w:eastAsia="zh-CN"/>
        </w:rPr>
      </w:pPr>
      <w:r>
        <w:rPr>
          <w:rFonts w:hint="eastAsia" w:ascii="仿宋" w:hAnsi="仿宋" w:eastAsia="仿宋" w:cs="仿宋"/>
          <w:sz w:val="24"/>
          <w:szCs w:val="24"/>
          <w:highlight w:val="none"/>
          <w:lang w:val="en-US" w:eastAsia="zh-CN"/>
        </w:rPr>
        <w:t>万洲嘉智服务案例介绍</w:t>
      </w:r>
    </w:p>
    <w:p w14:paraId="345D97D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highlight w:val="none"/>
        </w:rPr>
      </w:pPr>
      <w:r>
        <w:rPr>
          <w:rFonts w:hint="eastAsia" w:ascii="仿宋" w:hAnsi="仿宋" w:eastAsia="仿宋" w:cs="仿宋"/>
          <w:sz w:val="24"/>
          <w:szCs w:val="24"/>
          <w:highlight w:val="none"/>
        </w:rPr>
        <w:drawing>
          <wp:inline distT="0" distB="0" distL="0" distR="0">
            <wp:extent cx="5274310" cy="2962910"/>
            <wp:effectExtent l="0" t="0" r="8890" b="8890"/>
            <wp:docPr id="1323505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5440" name="图片 1"/>
                    <pic:cNvPicPr>
                      <a:picLocks noChangeAspect="1"/>
                    </pic:cNvPicPr>
                  </pic:nvPicPr>
                  <pic:blipFill>
                    <a:blip r:embed="rId4"/>
                    <a:stretch>
                      <a:fillRect/>
                    </a:stretch>
                  </pic:blipFill>
                  <pic:spPr>
                    <a:xfrm>
                      <a:off x="0" y="0"/>
                      <a:ext cx="5274310" cy="2962910"/>
                    </a:xfrm>
                    <a:prstGeom prst="rect">
                      <a:avLst/>
                    </a:prstGeom>
                  </pic:spPr>
                </pic:pic>
              </a:graphicData>
            </a:graphic>
          </wp:inline>
        </w:drawing>
      </w:r>
    </w:p>
    <w:p w14:paraId="1ED9465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highlight w:val="none"/>
        </w:rPr>
      </w:pPr>
      <w:r>
        <w:rPr>
          <w:rFonts w:hint="eastAsia" w:ascii="仿宋" w:hAnsi="仿宋" w:eastAsia="仿宋" w:cs="仿宋"/>
          <w:sz w:val="24"/>
          <w:szCs w:val="24"/>
          <w:highlight w:val="none"/>
        </w:rPr>
        <w:drawing>
          <wp:inline distT="0" distB="0" distL="0" distR="0">
            <wp:extent cx="5274310" cy="2950210"/>
            <wp:effectExtent l="0" t="0" r="8890" b="21590"/>
            <wp:docPr id="1290076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6129" name="图片 1"/>
                    <pic:cNvPicPr>
                      <a:picLocks noChangeAspect="1"/>
                    </pic:cNvPicPr>
                  </pic:nvPicPr>
                  <pic:blipFill>
                    <a:blip r:embed="rId5"/>
                    <a:stretch>
                      <a:fillRect/>
                    </a:stretch>
                  </pic:blipFill>
                  <pic:spPr>
                    <a:xfrm>
                      <a:off x="0" y="0"/>
                      <a:ext cx="5274310" cy="2950210"/>
                    </a:xfrm>
                    <a:prstGeom prst="rect">
                      <a:avLst/>
                    </a:prstGeom>
                  </pic:spPr>
                </pic:pic>
              </a:graphicData>
            </a:graphic>
          </wp:inline>
        </w:drawing>
      </w:r>
    </w:p>
    <w:p w14:paraId="07E0BB8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highlight w:val="none"/>
          <w:lang w:val="en-US" w:eastAsia="zh-CN"/>
        </w:rPr>
      </w:pPr>
      <w:r>
        <w:rPr>
          <w:rFonts w:hint="eastAsia" w:ascii="仿宋" w:hAnsi="仿宋" w:eastAsia="仿宋" w:cs="仿宋"/>
          <w:sz w:val="24"/>
          <w:szCs w:val="24"/>
          <w:highlight w:val="none"/>
        </w:rPr>
        <w:drawing>
          <wp:inline distT="0" distB="0" distL="0" distR="0">
            <wp:extent cx="5274310" cy="2927350"/>
            <wp:effectExtent l="0" t="0" r="8890" b="19050"/>
            <wp:docPr id="1415203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3968" name="图片 1"/>
                    <pic:cNvPicPr>
                      <a:picLocks noChangeAspect="1"/>
                    </pic:cNvPicPr>
                  </pic:nvPicPr>
                  <pic:blipFill>
                    <a:blip r:embed="rId6"/>
                    <a:stretch>
                      <a:fillRect/>
                    </a:stretch>
                  </pic:blipFill>
                  <pic:spPr>
                    <a:xfrm>
                      <a:off x="0" y="0"/>
                      <a:ext cx="5274310" cy="2927350"/>
                    </a:xfrm>
                    <a:prstGeom prst="rect">
                      <a:avLst/>
                    </a:prstGeom>
                  </pic:spPr>
                </pic:pic>
              </a:graphicData>
            </a:graphic>
          </wp:inline>
        </w:drawing>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仿宋">
    <w:altName w:val="方正仿宋_GBK"/>
    <w:panose1 w:val="02010609060101010101"/>
    <w:charset w:val="86"/>
    <w:family w:val="modern"/>
    <w:pitch w:val="default"/>
    <w:sig w:usb0="00000000" w:usb1="00000000" w:usb2="00000016" w:usb3="00000000" w:csb0="00040001" w:csb1="00000000"/>
  </w:font>
  <w:font w:name="仿宋">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NlODRmMjgzMDhlMDUyMzg4YzM1MmZkMzI5Y2UxYTYifQ=="/>
  </w:docVars>
  <w:rsids>
    <w:rsidRoot w:val="00000000"/>
    <w:rsid w:val="3EFE7861"/>
    <w:rsid w:val="5E3DD91E"/>
    <w:rsid w:val="7ADEFB76"/>
    <w:rsid w:val="FFCF23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TotalTime>
  <ScaleCrop>false</ScaleCrop>
  <LinksUpToDate>false</LinksUpToDate>
  <CharactersWithSpaces>0</CharactersWithSpaces>
  <Application>WPS Office_6.10.2.8876_F1E327BC-269C-435d-A152-05C5408002CA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2024-12-05T11:19:12Z</dcterms:created>
  <dc:creator>Data</dc:creator>
  <cp:lastModifiedBy>陈姝羽</cp:lastModifiedBy>
  <dcterms:modified xsi:type="dcterms:W3CDTF">2024-12-05T14:46:33Z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2052-6.10.2.8876</vt:lpwstr>
  </property>
  <property fmtid="{D5CDD505-2E9C-101B-9397-08002B2CF9AE}" pid="3" name="ICV">
    <vt:lpwstr>F8DDBE38A4548AC8F1205167D2C9DB00_42</vt:lpwstr>
  </property>
</Properties>
</file>