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B4798"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 w14:paraId="29F6B02A"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本：V2.0</w:t>
      </w:r>
    </w:p>
    <w:p w14:paraId="36D291A4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23563F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79E23076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68B3EBF6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38"/>
          <w:szCs w:val="38"/>
        </w:rPr>
        <w:t>信息技术服务标准（ITSS）符合性评估</w:t>
      </w:r>
    </w:p>
    <w:p w14:paraId="5245AC83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不符合项报告</w:t>
      </w:r>
    </w:p>
    <w:p w14:paraId="619EECB4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（运行维护能力成熟度）</w:t>
      </w:r>
    </w:p>
    <w:p w14:paraId="3D1C08A1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4205D9EC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3E1C70F8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2356A740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073CCA18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476B6CAD">
      <w:pPr>
        <w:widowControl/>
        <w:jc w:val="left"/>
        <w:rPr>
          <w:rFonts w:ascii="宋体" w:hAnsi="宋体"/>
          <w:b/>
          <w:bCs/>
          <w:sz w:val="36"/>
        </w:rPr>
      </w:pPr>
    </w:p>
    <w:p w14:paraId="62DDCABF">
      <w:pPr>
        <w:spacing w:line="240" w:lineRule="atLeast"/>
        <w:ind w:firstLine="1521" w:firstLineChars="541"/>
        <w:rPr>
          <w:rFonts w:hint="default" w:ascii="宋体" w:eastAsia="宋体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3679"/>
      <w:bookmarkStart w:id="1" w:name="_Toc280584860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hint="eastAsia" w:ascii="宋体"/>
          <w:color w:val="000000"/>
          <w:sz w:val="28"/>
          <w:szCs w:val="28"/>
        </w:rPr>
        <w:t>：</w:t>
      </w:r>
      <w:bookmarkEnd w:id="0"/>
      <w:bookmarkEnd w:id="1"/>
    </w:p>
    <w:p w14:paraId="53EC2651">
      <w:pPr>
        <w:spacing w:line="240" w:lineRule="atLeast"/>
        <w:ind w:firstLine="1514" w:firstLineChars="541"/>
        <w:rPr>
          <w:rFonts w:ascii="宋体"/>
          <w:color w:val="000000"/>
          <w:sz w:val="28"/>
          <w:szCs w:val="28"/>
        </w:rPr>
      </w:pPr>
    </w:p>
    <w:p w14:paraId="79751F40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hint="eastAsia" w:ascii="宋体"/>
          <w:color w:val="000000"/>
          <w:sz w:val="28"/>
          <w:szCs w:val="28"/>
        </w:rPr>
        <w:t>：</w:t>
      </w:r>
    </w:p>
    <w:p w14:paraId="56304785">
      <w:pPr>
        <w:widowControl/>
        <w:jc w:val="left"/>
        <w:rPr>
          <w:rFonts w:ascii="宋体" w:hAnsi="宋体"/>
          <w:b/>
          <w:bCs/>
          <w:sz w:val="36"/>
        </w:rPr>
      </w:pPr>
    </w:p>
    <w:p w14:paraId="0751BDA5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hint="eastAsia" w:ascii="宋体"/>
          <w:color w:val="000000"/>
          <w:sz w:val="28"/>
          <w:szCs w:val="28"/>
        </w:rPr>
        <w:t>：</w:t>
      </w:r>
      <w:r>
        <w:rPr>
          <w:rFonts w:hint="eastAsia" w:ascii="宋体"/>
          <w:color w:val="000000"/>
          <w:sz w:val="28"/>
          <w:szCs w:val="28"/>
          <w:u w:val="single"/>
        </w:rPr>
        <w:t>　</w:t>
      </w:r>
    </w:p>
    <w:p w14:paraId="72F12312">
      <w:pPr>
        <w:widowControl/>
        <w:jc w:val="left"/>
        <w:rPr>
          <w:rFonts w:ascii="宋体" w:hAnsi="宋体"/>
          <w:b/>
          <w:bCs/>
          <w:sz w:val="36"/>
        </w:rPr>
      </w:pPr>
    </w:p>
    <w:p w14:paraId="3F8271BE">
      <w:pPr>
        <w:widowControl/>
        <w:jc w:val="left"/>
        <w:rPr>
          <w:rFonts w:ascii="宋体" w:hAnsi="宋体"/>
          <w:b/>
          <w:bCs/>
          <w:sz w:val="36"/>
        </w:rPr>
      </w:pPr>
    </w:p>
    <w:p w14:paraId="4185497E">
      <w:pPr>
        <w:widowControl/>
        <w:jc w:val="left"/>
        <w:rPr>
          <w:rFonts w:ascii="宋体" w:hAnsi="宋体"/>
          <w:b/>
          <w:bCs/>
          <w:sz w:val="36"/>
        </w:rPr>
      </w:pPr>
    </w:p>
    <w:p w14:paraId="568ACE56">
      <w:pPr>
        <w:widowControl/>
        <w:jc w:val="left"/>
        <w:rPr>
          <w:rFonts w:ascii="宋体" w:hAnsi="宋体"/>
          <w:b/>
          <w:bCs/>
          <w:sz w:val="36"/>
        </w:rPr>
      </w:pPr>
    </w:p>
    <w:p w14:paraId="6F697877"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 w14:paraId="4E1614A7"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 w14:paraId="6DDBFE26">
      <w:pPr>
        <w:jc w:val="right"/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共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 xml:space="preserve"> 项  第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项</w:t>
      </w:r>
    </w:p>
    <w:tbl>
      <w:tblPr>
        <w:tblStyle w:val="15"/>
        <w:tblW w:w="100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47"/>
        <w:gridCol w:w="1233"/>
        <w:gridCol w:w="900"/>
        <w:gridCol w:w="360"/>
        <w:gridCol w:w="180"/>
        <w:gridCol w:w="977"/>
        <w:gridCol w:w="1005"/>
        <w:gridCol w:w="1873"/>
      </w:tblGrid>
      <w:tr w14:paraId="7F7452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 w14:paraId="74EB5A13">
            <w:pPr>
              <w:spacing w:before="60" w:after="60"/>
              <w:rPr>
                <w:rFonts w:hint="default" w:ascii="宋体" w:hAns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</w:rPr>
              <w:t>被评估方名称</w:t>
            </w:r>
            <w:r>
              <w:rPr>
                <w:rFonts w:hint="eastAsia" w:ascii="宋体" w:hAnsi="宋体"/>
                <w:b/>
                <w:lang w:eastAsia="zh-CN"/>
              </w:rPr>
              <w:t>：</w:t>
            </w:r>
          </w:p>
        </w:tc>
        <w:tc>
          <w:tcPr>
            <w:tcW w:w="1517" w:type="dxa"/>
            <w:gridSpan w:val="3"/>
          </w:tcPr>
          <w:p w14:paraId="2A6BC2E0"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 w14:paraId="5F70A100">
            <w:pPr>
              <w:spacing w:before="60" w:after="60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 xml:space="preserve"> </w:t>
            </w:r>
          </w:p>
        </w:tc>
      </w:tr>
      <w:tr w14:paraId="6914DF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continue"/>
          </w:tcPr>
          <w:p w14:paraId="226FFCB2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 w14:paraId="41D9382D"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 w14:paraId="38999DD3">
            <w:pPr>
              <w:widowControl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zh-TW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kern w:val="0"/>
                <w:sz w:val="12"/>
                <w:szCs w:val="12"/>
                <w:lang w:val="en-US" w:eastAsia="zh-CN" w:bidi="ar"/>
              </w:rPr>
              <w:t xml:space="preserve"> GB/T 28827.1---2022中 7.3 人员</w:t>
            </w:r>
          </w:p>
        </w:tc>
      </w:tr>
      <w:tr w14:paraId="774557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 w:hRule="atLeast"/>
          <w:jc w:val="center"/>
        </w:trPr>
        <w:tc>
          <w:tcPr>
            <w:tcW w:w="10083" w:type="dxa"/>
            <w:gridSpan w:val="11"/>
            <w:tcBorders>
              <w:bottom w:val="nil"/>
            </w:tcBorders>
          </w:tcPr>
          <w:p w14:paraId="378761F2">
            <w:pPr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不符合项描述</w:t>
            </w:r>
          </w:p>
          <w:tbl>
            <w:tblPr>
              <w:tblStyle w:val="15"/>
              <w:tblW w:w="11520" w:type="dxa"/>
              <w:tblInd w:w="-8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520"/>
            </w:tblGrid>
            <w:tr w14:paraId="1AFC70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11520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5F5F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8F25151">
                  <w:pPr>
                    <w:keepNext w:val="0"/>
                    <w:keepLines w:val="0"/>
                    <w:widowControl/>
                    <w:suppressLineNumbers w:val="0"/>
                    <w:spacing w:line="18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2"/>
                      <w:szCs w:val="12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2"/>
                      <w:szCs w:val="12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2"/>
                      <w:szCs w:val="12"/>
                      <w:lang w:val="en-US" w:eastAsia="zh-CN" w:bidi="ar"/>
                    </w:rPr>
                    <w:t>查运维部在5月16日组织的“硬件运维服务技能”培训中，未发现培训签到表。不符合 GB/T 28827.1---2022中 7.3 人员7.3.4 人员培训b) 实施培训，评价培训效果，保留培训记录。</w:t>
                  </w:r>
                </w:p>
              </w:tc>
            </w:tr>
          </w:tbl>
          <w:p w14:paraId="29709337">
            <w:pPr>
              <w:pStyle w:val="22"/>
              <w:spacing w:line="240" w:lineRule="exact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4914900" cy="3114675"/>
                  <wp:effectExtent l="0" t="0" r="0" b="952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311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7E4A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55" w:type="dxa"/>
            <w:gridSpan w:val="4"/>
            <w:tcBorders>
              <w:top w:val="nil"/>
              <w:bottom w:val="single" w:color="auto" w:sz="6" w:space="0"/>
              <w:right w:val="nil"/>
            </w:tcBorders>
          </w:tcPr>
          <w:p w14:paraId="449F4C22"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评估师：</w:t>
            </w:r>
          </w:p>
        </w:tc>
        <w:tc>
          <w:tcPr>
            <w:tcW w:w="2493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487B8042">
            <w:pPr>
              <w:spacing w:before="120" w:after="120"/>
              <w:jc w:val="left"/>
              <w:rPr>
                <w:rFonts w:ascii="宋体" w:hAnsi="宋体" w:eastAsia="Arial Unicode MS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color="auto" w:sz="6" w:space="0"/>
            </w:tcBorders>
          </w:tcPr>
          <w:p w14:paraId="487E3461"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被评估方管理者(代表)确认：</w:t>
            </w:r>
          </w:p>
        </w:tc>
      </w:tr>
      <w:tr w14:paraId="10EF69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atLeast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 w14:paraId="3073CD5A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 w14:paraId="07C11C07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</w:rPr>
            </w:pPr>
            <w:r>
              <w:rPr>
                <w:rFonts w:ascii="宋体" w:hAnsi="宋体"/>
                <w:sz w:val="18"/>
              </w:rPr>
              <w:sym w:font="Wingdings" w:char="F0FE"/>
            </w:r>
            <w:r>
              <w:rPr>
                <w:rFonts w:hint="eastAsia" w:ascii="宋体" w:hAnsi="宋体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hint="eastAsia" w:ascii="宋体" w:hAnsi="宋体"/>
                <w:sz w:val="18"/>
              </w:rPr>
              <w:t>款号：</w:t>
            </w:r>
          </w:p>
          <w:p w14:paraId="5A68B80D">
            <w:pPr>
              <w:pStyle w:val="21"/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</w:pPr>
          </w:p>
        </w:tc>
      </w:tr>
      <w:tr w14:paraId="18521B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  <w:jc w:val="center"/>
        </w:trPr>
        <w:tc>
          <w:tcPr>
            <w:tcW w:w="1074" w:type="dxa"/>
            <w:gridSpan w:val="2"/>
          </w:tcPr>
          <w:p w14:paraId="4FD428FF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 w14:paraId="72F8F6DC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严重  </w:t>
            </w:r>
            <w:r>
              <w:rPr>
                <w:rFonts w:ascii="宋体" w:hAnsi="宋体"/>
              </w:rPr>
              <w:sym w:font="Wingdings" w:char="F0FE"/>
            </w:r>
            <w:r>
              <w:rPr>
                <w:rFonts w:hint="eastAsia" w:ascii="宋体" w:hAnsi="宋体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 w14:paraId="1F79DA4D"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宋体" w:hAnsi="宋体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 xml:space="preserve">经被评估方验证的纠正措施资料/ </w:t>
            </w:r>
            <w:r>
              <w:rPr>
                <w:rFonts w:ascii="宋体" w:hAnsi="宋体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 w14:paraId="5189BF7B">
            <w:pPr>
              <w:jc w:val="right"/>
              <w:rPr>
                <w:rFonts w:ascii="宋体" w:hAnsi="宋体"/>
                <w:sz w:val="18"/>
              </w:rPr>
            </w:pPr>
          </w:p>
        </w:tc>
      </w:tr>
      <w:tr w14:paraId="16208F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 w:hRule="atLeast"/>
          <w:jc w:val="center"/>
        </w:trPr>
        <w:tc>
          <w:tcPr>
            <w:tcW w:w="10083" w:type="dxa"/>
            <w:gridSpan w:val="11"/>
          </w:tcPr>
          <w:p w14:paraId="141ED636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对不符合的处置：</w:t>
            </w:r>
          </w:p>
          <w:tbl>
            <w:tblPr>
              <w:tblStyle w:val="15"/>
              <w:tblW w:w="22706" w:type="dxa"/>
              <w:tblInd w:w="-12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706"/>
            </w:tblGrid>
            <w:tr w14:paraId="012C9D2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0" w:hRule="atLeast"/>
              </w:trPr>
              <w:tc>
                <w:tcPr>
                  <w:tcW w:w="22706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F5F5F5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5756C659"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基于本次评估发现的不符合，运维工作相关人员重新检查公司培训相关记录，将缺少培训签到表的记录，</w:t>
                  </w:r>
                  <w:r>
                    <w:rPr>
                      <w:rFonts w:hint="eastAsia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进行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补全培训签到表。</w:t>
                  </w:r>
                </w:p>
              </w:tc>
            </w:tr>
          </w:tbl>
          <w:p w14:paraId="3B64722A">
            <w:pPr>
              <w:rPr>
                <w:rFonts w:ascii="宋体" w:hAnsi="宋体"/>
              </w:rPr>
            </w:pPr>
          </w:p>
        </w:tc>
      </w:tr>
      <w:tr w14:paraId="639BCD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 w14:paraId="4D17A81A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不符合原因分析：</w:t>
            </w:r>
          </w:p>
          <w:p w14:paraId="03A9AEAA">
            <w:pPr>
              <w:rPr>
                <w:rFonts w:ascii="宋体" w:hAnsi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运维工作相关人员，对《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050103-人员培训管理制度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》了解不到位，在培训《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  <w:lang w:val="en-US" w:eastAsia="zh-CN"/>
              </w:rPr>
              <w:t>硬件运维服务技能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》时，未妥善保存相关记录，导致现场抽查《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  <w:lang w:val="en-US" w:eastAsia="zh-CN"/>
              </w:rPr>
              <w:t>硬件运维服务技能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》培训未见培训签到表。</w:t>
            </w:r>
          </w:p>
          <w:p w14:paraId="1481CDD4">
            <w:pPr>
              <w:rPr>
                <w:rFonts w:ascii="宋体" w:hAnsi="宋体"/>
              </w:rPr>
            </w:pPr>
          </w:p>
        </w:tc>
      </w:tr>
      <w:tr w14:paraId="4403CA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 w:hRule="atLeast"/>
          <w:jc w:val="center"/>
        </w:trPr>
        <w:tc>
          <w:tcPr>
            <w:tcW w:w="10083" w:type="dxa"/>
            <w:gridSpan w:val="11"/>
          </w:tcPr>
          <w:p w14:paraId="6A87141B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针对原因采取的防止再发生的措施（请列出新的或修订后的流程、或增加的检测控制、或增加的资源等）：</w:t>
            </w:r>
          </w:p>
          <w:p w14:paraId="3027736C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质量部加强对培训签到表记录审查，对相关工作人员进行宣贯；</w:t>
            </w:r>
          </w:p>
          <w:p w14:paraId="3F57C1C0">
            <w:pPr>
              <w:rPr>
                <w:rFonts w:ascii="宋体" w:hAnsi="宋体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  <w:lang w:val="en-US" w:eastAsia="zh-CN"/>
              </w:rPr>
              <w:t>人力部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安排培训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  <w:lang w:eastAsia="zh-CN"/>
              </w:rPr>
              <w:t>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对相关运维工作人员进行《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050103-人员培训管理制度</w:t>
            </w:r>
            <w:bookmarkStart w:id="2" w:name="_GoBack"/>
            <w:bookmarkEnd w:id="2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fill="F5F5F5"/>
              </w:rPr>
              <w:t>》的培训，防止此类问题再次发生。</w:t>
            </w:r>
          </w:p>
          <w:p w14:paraId="3A95CE32">
            <w:pPr>
              <w:rPr>
                <w:rFonts w:ascii="宋体" w:hAnsi="宋体"/>
              </w:rPr>
            </w:pPr>
          </w:p>
          <w:p w14:paraId="3FDFB6CE">
            <w:pPr>
              <w:rPr>
                <w:rFonts w:ascii="宋体" w:hAnsi="宋体"/>
              </w:rPr>
            </w:pPr>
          </w:p>
          <w:p w14:paraId="27C4B02C"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hint="eastAsia" w:ascii="宋体" w:hAnsi="宋体"/>
                <w:b/>
                <w:sz w:val="18"/>
              </w:rPr>
              <w:t>被评估方管理者(代表)确认：</w:t>
            </w:r>
            <w:r>
              <w:rPr>
                <w:rFonts w:hint="eastAsia" w:ascii="宋体" w:hAnsi="宋体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hint="eastAsia" w:ascii="宋体" w:hAnsi="宋体"/>
                <w:sz w:val="18"/>
              </w:rPr>
              <w:t>年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18"/>
              </w:rPr>
              <w:t>月  日</w:t>
            </w:r>
          </w:p>
        </w:tc>
      </w:tr>
      <w:tr w14:paraId="6ED035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restart"/>
            <w:vAlign w:val="center"/>
          </w:tcPr>
          <w:p w14:paraId="6420AC7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跟踪</w:t>
            </w:r>
          </w:p>
          <w:p w14:paraId="2A38DF5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 w14:paraId="33CD0CBA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不符合处置是否有效        </w:t>
            </w: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 w14:paraId="0A94AB34"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验证方式：</w:t>
            </w:r>
          </w:p>
          <w:p w14:paraId="5468D994"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文件验证</w:t>
            </w:r>
          </w:p>
          <w:p w14:paraId="630D0BB5">
            <w:pPr>
              <w:spacing w:before="60"/>
              <w:rPr>
                <w:rFonts w:ascii="宋体" w:hAnsi="宋体"/>
              </w:rPr>
            </w:pP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 w14:paraId="0A3662C4"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验证人员(签名)</w:t>
            </w:r>
          </w:p>
          <w:p w14:paraId="74669194">
            <w:pPr>
              <w:rPr>
                <w:rFonts w:ascii="宋体" w:hAnsi="宋体"/>
              </w:rPr>
            </w:pPr>
          </w:p>
          <w:p w14:paraId="6F7B555B">
            <w:pPr>
              <w:rPr>
                <w:rFonts w:ascii="宋体" w:hAnsi="宋体"/>
              </w:rPr>
            </w:pPr>
          </w:p>
          <w:p w14:paraId="5E2D435D">
            <w:pPr>
              <w:ind w:firstLine="8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     年    月    日</w:t>
            </w:r>
          </w:p>
        </w:tc>
      </w:tr>
      <w:tr w14:paraId="200C7E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5BBBED32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76D19A63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原因分析是否准确          </w:t>
            </w:r>
            <w:r>
              <w:rPr>
                <w:rFonts w:ascii="宋体" w:hAnsi="宋体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  <w:sz w:val="18"/>
              </w:rPr>
              <w:t xml:space="preserve">是   </w:t>
            </w: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4981272B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5A9A95DE">
            <w:pPr>
              <w:rPr>
                <w:rFonts w:ascii="宋体" w:hAnsi="宋体"/>
              </w:rPr>
            </w:pPr>
          </w:p>
        </w:tc>
      </w:tr>
      <w:tr w14:paraId="3AEC9D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2E83E399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5D63C68B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防止再发生的措施是否有效  </w:t>
            </w: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宋体" w:hAnsi="宋体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3D1E355B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73611A4B">
            <w:pPr>
              <w:rPr>
                <w:rFonts w:ascii="宋体" w:hAnsi="宋体"/>
              </w:rPr>
            </w:pPr>
          </w:p>
        </w:tc>
      </w:tr>
    </w:tbl>
    <w:p w14:paraId="152691DB">
      <w:pPr>
        <w:ind w:left="527" w:hanging="52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注：</w:t>
      </w:r>
      <w:r>
        <w:rPr>
          <w:rFonts w:hint="eastAsia" w:ascii="宋体" w:hAnsi="宋体"/>
          <w:sz w:val="18"/>
          <w:szCs w:val="18"/>
        </w:rPr>
        <w:t xml:space="preserve">① </w:t>
      </w:r>
      <w:r>
        <w:rPr>
          <w:rFonts w:hint="eastAsia" w:ascii="宋体" w:hAnsi="宋体"/>
          <w:sz w:val="18"/>
        </w:rPr>
        <w:t>提交纠正措施时,须在本报告后附上一一对应的证明材料，否则须重新提交；</w:t>
      </w:r>
    </w:p>
    <w:p w14:paraId="51158E86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② 如果没有针对本报告及时采取有效的纠正措施，可能会导致延迟注册或注册资格的暂停/撤销；</w:t>
      </w:r>
    </w:p>
    <w:p w14:paraId="3EBF9137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③ 属提交纠正措施计划时，本机构将另行确定纠正措施实施效果验证方式。</w:t>
      </w:r>
    </w:p>
    <w:p w14:paraId="1BCA8760">
      <w:pPr>
        <w:ind w:left="350" w:firstLine="12" w:firstLineChars="7"/>
        <w:rPr>
          <w:rFonts w:ascii="宋体" w:hAnsi="宋体"/>
          <w:sz w:val="18"/>
        </w:rPr>
      </w:pPr>
    </w:p>
    <w:p w14:paraId="11D0C46B">
      <w:pPr>
        <w:ind w:left="350" w:firstLine="12" w:firstLineChars="7"/>
        <w:rPr>
          <w:rFonts w:ascii="宋体" w:hAnsi="宋体"/>
          <w:sz w:val="18"/>
        </w:rPr>
      </w:pPr>
    </w:p>
    <w:p w14:paraId="35E036AD"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C0026"/>
    <w:multiLevelType w:val="multilevel"/>
    <w:tmpl w:val="152C0026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C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C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C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kNjk3ZTAyODM1ZWVhNDhmOTI5NGRlMTE1YzM0ZDYifQ=="/>
    <w:docVar w:name="KSO_WPS_MARK_KEY" w:val="3ef17c3d-667f-46a3-9125-053365b717e7"/>
  </w:docVars>
  <w:rsids>
    <w:rsidRoot w:val="00D65B7E"/>
    <w:rsid w:val="00020698"/>
    <w:rsid w:val="000353D5"/>
    <w:rsid w:val="000710EE"/>
    <w:rsid w:val="000A5CDD"/>
    <w:rsid w:val="000B3374"/>
    <w:rsid w:val="00137A04"/>
    <w:rsid w:val="00183AE5"/>
    <w:rsid w:val="00190060"/>
    <w:rsid w:val="001C68B9"/>
    <w:rsid w:val="001D4B2E"/>
    <w:rsid w:val="001F0B33"/>
    <w:rsid w:val="00221AE3"/>
    <w:rsid w:val="0025050E"/>
    <w:rsid w:val="00257AF2"/>
    <w:rsid w:val="00263F57"/>
    <w:rsid w:val="002A5063"/>
    <w:rsid w:val="002D40FE"/>
    <w:rsid w:val="002E1EE9"/>
    <w:rsid w:val="002F189B"/>
    <w:rsid w:val="0034215E"/>
    <w:rsid w:val="00342D9B"/>
    <w:rsid w:val="003711B3"/>
    <w:rsid w:val="00372918"/>
    <w:rsid w:val="003745B4"/>
    <w:rsid w:val="00374C18"/>
    <w:rsid w:val="003A0732"/>
    <w:rsid w:val="003C0C86"/>
    <w:rsid w:val="003C34AB"/>
    <w:rsid w:val="003C6A14"/>
    <w:rsid w:val="003F2E28"/>
    <w:rsid w:val="0040114B"/>
    <w:rsid w:val="00420691"/>
    <w:rsid w:val="00427056"/>
    <w:rsid w:val="004277FD"/>
    <w:rsid w:val="00427C9C"/>
    <w:rsid w:val="004578D7"/>
    <w:rsid w:val="004754A7"/>
    <w:rsid w:val="004A7207"/>
    <w:rsid w:val="004B42DA"/>
    <w:rsid w:val="00512063"/>
    <w:rsid w:val="00531366"/>
    <w:rsid w:val="0053137A"/>
    <w:rsid w:val="005C6F02"/>
    <w:rsid w:val="005F74B7"/>
    <w:rsid w:val="00603154"/>
    <w:rsid w:val="00613CD0"/>
    <w:rsid w:val="00644E39"/>
    <w:rsid w:val="006531ED"/>
    <w:rsid w:val="00693D1D"/>
    <w:rsid w:val="0071634D"/>
    <w:rsid w:val="007322CD"/>
    <w:rsid w:val="007325FF"/>
    <w:rsid w:val="00761171"/>
    <w:rsid w:val="00775959"/>
    <w:rsid w:val="00787EBF"/>
    <w:rsid w:val="007B5878"/>
    <w:rsid w:val="007D756B"/>
    <w:rsid w:val="007E38B5"/>
    <w:rsid w:val="0080584D"/>
    <w:rsid w:val="00817391"/>
    <w:rsid w:val="00823D1D"/>
    <w:rsid w:val="00826F89"/>
    <w:rsid w:val="00887076"/>
    <w:rsid w:val="00891E57"/>
    <w:rsid w:val="008B6EF0"/>
    <w:rsid w:val="008F5806"/>
    <w:rsid w:val="00900BFB"/>
    <w:rsid w:val="009047DC"/>
    <w:rsid w:val="009324FD"/>
    <w:rsid w:val="009935B3"/>
    <w:rsid w:val="00A21E53"/>
    <w:rsid w:val="00A80738"/>
    <w:rsid w:val="00A83535"/>
    <w:rsid w:val="00A84FA0"/>
    <w:rsid w:val="00A87923"/>
    <w:rsid w:val="00AA39AD"/>
    <w:rsid w:val="00AA67D6"/>
    <w:rsid w:val="00AB7FB7"/>
    <w:rsid w:val="00AC2535"/>
    <w:rsid w:val="00B213BB"/>
    <w:rsid w:val="00B57B63"/>
    <w:rsid w:val="00B62C80"/>
    <w:rsid w:val="00B71615"/>
    <w:rsid w:val="00B819AA"/>
    <w:rsid w:val="00B82A7A"/>
    <w:rsid w:val="00B96B3B"/>
    <w:rsid w:val="00BD1607"/>
    <w:rsid w:val="00BD2F57"/>
    <w:rsid w:val="00BF2A04"/>
    <w:rsid w:val="00BF5453"/>
    <w:rsid w:val="00C04E8A"/>
    <w:rsid w:val="00C07E65"/>
    <w:rsid w:val="00C46C57"/>
    <w:rsid w:val="00CA33BE"/>
    <w:rsid w:val="00CC02B3"/>
    <w:rsid w:val="00CC2EA6"/>
    <w:rsid w:val="00CE427E"/>
    <w:rsid w:val="00CE69AA"/>
    <w:rsid w:val="00D01F38"/>
    <w:rsid w:val="00D348AD"/>
    <w:rsid w:val="00D51187"/>
    <w:rsid w:val="00D65B7E"/>
    <w:rsid w:val="00D70BD8"/>
    <w:rsid w:val="00D74BFF"/>
    <w:rsid w:val="00E02CDB"/>
    <w:rsid w:val="00E07B1A"/>
    <w:rsid w:val="00E22F26"/>
    <w:rsid w:val="00E416F3"/>
    <w:rsid w:val="00E63E9B"/>
    <w:rsid w:val="00EB37BA"/>
    <w:rsid w:val="00EB75CC"/>
    <w:rsid w:val="00EC2DBB"/>
    <w:rsid w:val="00F00BFB"/>
    <w:rsid w:val="00F26F70"/>
    <w:rsid w:val="00F764C1"/>
    <w:rsid w:val="00FB27B9"/>
    <w:rsid w:val="053C0C8A"/>
    <w:rsid w:val="057A17B3"/>
    <w:rsid w:val="092D37F7"/>
    <w:rsid w:val="09BC2CF7"/>
    <w:rsid w:val="0A312545"/>
    <w:rsid w:val="0F166502"/>
    <w:rsid w:val="115926F4"/>
    <w:rsid w:val="11E93F48"/>
    <w:rsid w:val="15DD4B9C"/>
    <w:rsid w:val="18F03489"/>
    <w:rsid w:val="195C0C20"/>
    <w:rsid w:val="19A34C8B"/>
    <w:rsid w:val="256D6B35"/>
    <w:rsid w:val="258B7398"/>
    <w:rsid w:val="26645622"/>
    <w:rsid w:val="28981F8F"/>
    <w:rsid w:val="292A099D"/>
    <w:rsid w:val="297273C1"/>
    <w:rsid w:val="29B14908"/>
    <w:rsid w:val="2BCA16E8"/>
    <w:rsid w:val="2C89779A"/>
    <w:rsid w:val="2F650580"/>
    <w:rsid w:val="30590093"/>
    <w:rsid w:val="31102C85"/>
    <w:rsid w:val="36A11301"/>
    <w:rsid w:val="3947400A"/>
    <w:rsid w:val="3AFF67BF"/>
    <w:rsid w:val="3B5953EB"/>
    <w:rsid w:val="3DE963C8"/>
    <w:rsid w:val="4162368D"/>
    <w:rsid w:val="4756134D"/>
    <w:rsid w:val="4932495A"/>
    <w:rsid w:val="4B410375"/>
    <w:rsid w:val="4B5235B4"/>
    <w:rsid w:val="505B0B5B"/>
    <w:rsid w:val="50A20F38"/>
    <w:rsid w:val="53016202"/>
    <w:rsid w:val="53F80215"/>
    <w:rsid w:val="54D47B64"/>
    <w:rsid w:val="5FCF2666"/>
    <w:rsid w:val="62E81AD4"/>
    <w:rsid w:val="648D25DC"/>
    <w:rsid w:val="679F04A6"/>
    <w:rsid w:val="69DD087D"/>
    <w:rsid w:val="6E274D51"/>
    <w:rsid w:val="6EE377FE"/>
    <w:rsid w:val="6F8C0BF1"/>
    <w:rsid w:val="74B01DA6"/>
    <w:rsid w:val="75461F61"/>
    <w:rsid w:val="76B80C3C"/>
    <w:rsid w:val="77417EB8"/>
    <w:rsid w:val="785B52D1"/>
    <w:rsid w:val="796B437A"/>
    <w:rsid w:val="79F301DD"/>
    <w:rsid w:val="7C4F6710"/>
    <w:rsid w:val="7C703B31"/>
    <w:rsid w:val="7D25532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3">
    <w:name w:val="heading 2"/>
    <w:basedOn w:val="1"/>
    <w:next w:val="1"/>
    <w:link w:val="24"/>
    <w:qFormat/>
    <w:uiPriority w:val="0"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4">
    <w:name w:val="heading 3"/>
    <w:basedOn w:val="1"/>
    <w:next w:val="1"/>
    <w:link w:val="25"/>
    <w:qFormat/>
    <w:uiPriority w:val="9"/>
    <w:pPr>
      <w:keepNext/>
      <w:keepLines/>
      <w:numPr>
        <w:ilvl w:val="2"/>
        <w:numId w:val="1"/>
      </w:numPr>
      <w:outlineLvl w:val="2"/>
    </w:pPr>
    <w:rPr>
      <w:rFonts w:ascii="Arial" w:hAnsi="Arial" w:eastAsia="黑体"/>
      <w:bCs/>
      <w:kern w:val="0"/>
      <w:sz w:val="20"/>
      <w:szCs w:val="32"/>
      <w:lang w:val="zh-CN"/>
    </w:rPr>
  </w:style>
  <w:style w:type="paragraph" w:styleId="5">
    <w:name w:val="heading 4"/>
    <w:basedOn w:val="1"/>
    <w:next w:val="1"/>
    <w:link w:val="26"/>
    <w:qFormat/>
    <w:uiPriority w:val="0"/>
    <w:pPr>
      <w:keepNext/>
      <w:keepLines/>
      <w:numPr>
        <w:ilvl w:val="3"/>
        <w:numId w:val="1"/>
      </w:numPr>
      <w:outlineLvl w:val="3"/>
    </w:pPr>
    <w:rPr>
      <w:rFonts w:ascii="宋体" w:hAnsi="宋体" w:eastAsia="黑体"/>
      <w:bCs/>
      <w:kern w:val="0"/>
      <w:sz w:val="20"/>
      <w:szCs w:val="28"/>
      <w:lang w:val="zh-CN"/>
    </w:rPr>
  </w:style>
  <w:style w:type="paragraph" w:styleId="6">
    <w:name w:val="heading 5"/>
    <w:basedOn w:val="1"/>
    <w:next w:val="1"/>
    <w:link w:val="27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7">
    <w:name w:val="heading 6"/>
    <w:basedOn w:val="1"/>
    <w:next w:val="1"/>
    <w:link w:val="28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kern w:val="0"/>
      <w:sz w:val="24"/>
      <w:szCs w:val="21"/>
      <w:lang w:val="zh-CN"/>
    </w:rPr>
  </w:style>
  <w:style w:type="paragraph" w:styleId="8">
    <w:name w:val="heading 7"/>
    <w:basedOn w:val="1"/>
    <w:next w:val="1"/>
    <w:link w:val="29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9">
    <w:name w:val="heading 8"/>
    <w:basedOn w:val="1"/>
    <w:next w:val="1"/>
    <w:link w:val="30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kern w:val="0"/>
      <w:sz w:val="24"/>
      <w:szCs w:val="21"/>
      <w:lang w:val="zh-CN"/>
    </w:rPr>
  </w:style>
  <w:style w:type="paragraph" w:styleId="10">
    <w:name w:val="heading 9"/>
    <w:basedOn w:val="1"/>
    <w:next w:val="1"/>
    <w:link w:val="3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kern w:val="0"/>
      <w:sz w:val="20"/>
      <w:szCs w:val="21"/>
      <w:lang w:val="zh-CN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3"/>
    <w:basedOn w:val="1"/>
    <w:link w:val="34"/>
    <w:qFormat/>
    <w:uiPriority w:val="0"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12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7">
    <w:name w:val="Hyperlink"/>
    <w:basedOn w:val="16"/>
    <w:semiHidden/>
    <w:unhideWhenUsed/>
    <w:qFormat/>
    <w:uiPriority w:val="99"/>
    <w:rPr>
      <w:color w:val="0000FF"/>
      <w:u w:val="single"/>
    </w:rPr>
  </w:style>
  <w:style w:type="character" w:customStyle="1" w:styleId="18">
    <w:name w:val="页眉 字符"/>
    <w:basedOn w:val="16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16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批注框文本 字符"/>
    <w:basedOn w:val="16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22">
    <w:name w:val="正文 A"/>
    <w:qFormat/>
    <w:uiPriority w:val="0"/>
    <w:pPr>
      <w:widowControl w:val="0"/>
      <w:jc w:val="both"/>
    </w:pPr>
    <w:rPr>
      <w:rFonts w:ascii="Times New Roman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23">
    <w:name w:val="标题 1 字符"/>
    <w:basedOn w:val="16"/>
    <w:link w:val="2"/>
    <w:qFormat/>
    <w:uiPriority w:val="0"/>
    <w:rPr>
      <w:rFonts w:ascii="Times New Roman" w:hAnsi="Times New Roman" w:eastAsia="黑体" w:cs="Times New Roman"/>
      <w:bCs/>
      <w:kern w:val="44"/>
      <w:sz w:val="20"/>
      <w:szCs w:val="36"/>
      <w:lang w:val="zh-CN" w:eastAsia="zh-CN"/>
    </w:rPr>
  </w:style>
  <w:style w:type="character" w:customStyle="1" w:styleId="24">
    <w:name w:val="标题 2 字符"/>
    <w:basedOn w:val="16"/>
    <w:link w:val="3"/>
    <w:qFormat/>
    <w:uiPriority w:val="0"/>
    <w:rPr>
      <w:rFonts w:ascii="Times New Roman" w:hAnsi="Times New Roman" w:eastAsia="黑体" w:cs="Times New Roman"/>
      <w:bCs/>
      <w:kern w:val="0"/>
      <w:sz w:val="20"/>
      <w:szCs w:val="32"/>
      <w:lang w:val="zh-CN" w:eastAsia="zh-CN"/>
    </w:rPr>
  </w:style>
  <w:style w:type="character" w:customStyle="1" w:styleId="25">
    <w:name w:val="标题 3 字符"/>
    <w:basedOn w:val="16"/>
    <w:link w:val="4"/>
    <w:qFormat/>
    <w:uiPriority w:val="9"/>
    <w:rPr>
      <w:rFonts w:ascii="Arial" w:hAnsi="Arial" w:eastAsia="黑体" w:cs="Times New Roman"/>
      <w:bCs/>
      <w:kern w:val="0"/>
      <w:sz w:val="20"/>
      <w:szCs w:val="32"/>
      <w:lang w:val="zh-CN" w:eastAsia="zh-CN"/>
    </w:rPr>
  </w:style>
  <w:style w:type="character" w:customStyle="1" w:styleId="26">
    <w:name w:val="标题 4 字符"/>
    <w:basedOn w:val="16"/>
    <w:link w:val="5"/>
    <w:qFormat/>
    <w:uiPriority w:val="0"/>
    <w:rPr>
      <w:rFonts w:ascii="宋体" w:hAnsi="宋体" w:eastAsia="黑体" w:cs="Times New Roman"/>
      <w:bCs/>
      <w:kern w:val="0"/>
      <w:sz w:val="20"/>
      <w:szCs w:val="28"/>
      <w:lang w:val="zh-CN" w:eastAsia="zh-CN"/>
    </w:rPr>
  </w:style>
  <w:style w:type="character" w:customStyle="1" w:styleId="27">
    <w:name w:val="标题 5 字符"/>
    <w:basedOn w:val="16"/>
    <w:link w:val="6"/>
    <w:qFormat/>
    <w:uiPriority w:val="0"/>
    <w:rPr>
      <w:rFonts w:ascii="Arial" w:hAnsi="Arial" w:eastAsia="宋体" w:cs="Times New Roman"/>
      <w:b/>
      <w:bCs/>
      <w:kern w:val="0"/>
      <w:sz w:val="28"/>
      <w:szCs w:val="28"/>
      <w:lang w:val="zh-CN" w:eastAsia="zh-CN"/>
    </w:rPr>
  </w:style>
  <w:style w:type="character" w:customStyle="1" w:styleId="28">
    <w:name w:val="标题 6 字符"/>
    <w:basedOn w:val="16"/>
    <w:link w:val="7"/>
    <w:qFormat/>
    <w:uiPriority w:val="0"/>
    <w:rPr>
      <w:rFonts w:ascii="Arial" w:hAnsi="Arial" w:eastAsia="黑体" w:cs="Times New Roman"/>
      <w:b/>
      <w:bCs/>
      <w:kern w:val="0"/>
      <w:sz w:val="24"/>
      <w:szCs w:val="21"/>
      <w:lang w:val="zh-CN" w:eastAsia="zh-CN"/>
    </w:rPr>
  </w:style>
  <w:style w:type="character" w:customStyle="1" w:styleId="29">
    <w:name w:val="标题 7 字符"/>
    <w:basedOn w:val="16"/>
    <w:link w:val="8"/>
    <w:qFormat/>
    <w:uiPriority w:val="0"/>
    <w:rPr>
      <w:rFonts w:ascii="Arial" w:hAnsi="Arial" w:eastAsia="宋体" w:cs="Times New Roman"/>
      <w:b/>
      <w:bCs/>
      <w:kern w:val="0"/>
      <w:sz w:val="24"/>
      <w:szCs w:val="21"/>
      <w:lang w:val="zh-CN" w:eastAsia="zh-CN"/>
    </w:rPr>
  </w:style>
  <w:style w:type="character" w:customStyle="1" w:styleId="30">
    <w:name w:val="标题 8 字符"/>
    <w:basedOn w:val="16"/>
    <w:link w:val="9"/>
    <w:qFormat/>
    <w:uiPriority w:val="0"/>
    <w:rPr>
      <w:rFonts w:ascii="Arial" w:hAnsi="Arial" w:eastAsia="黑体" w:cs="Times New Roman"/>
      <w:kern w:val="0"/>
      <w:sz w:val="24"/>
      <w:szCs w:val="21"/>
      <w:lang w:val="zh-CN" w:eastAsia="zh-CN"/>
    </w:rPr>
  </w:style>
  <w:style w:type="character" w:customStyle="1" w:styleId="31">
    <w:name w:val="标题 9 字符"/>
    <w:basedOn w:val="16"/>
    <w:link w:val="10"/>
    <w:qFormat/>
    <w:uiPriority w:val="0"/>
    <w:rPr>
      <w:rFonts w:ascii="Arial" w:hAnsi="Arial" w:eastAsia="黑体" w:cs="Times New Roman"/>
      <w:kern w:val="0"/>
      <w:sz w:val="20"/>
      <w:szCs w:val="21"/>
      <w:lang w:val="zh-CN" w:eastAsia="zh-CN"/>
    </w:rPr>
  </w:style>
  <w:style w:type="character" w:customStyle="1" w:styleId="32">
    <w:name w:val="表格正文 Char"/>
    <w:link w:val="33"/>
    <w:qFormat/>
    <w:uiPriority w:val="0"/>
    <w:rPr>
      <w:rFonts w:ascii="宋体" w:hAnsi="宋体" w:eastAsia="宋体" w:cs="Times New Roman"/>
      <w:bCs/>
      <w:kern w:val="0"/>
      <w:sz w:val="20"/>
      <w:szCs w:val="20"/>
    </w:rPr>
  </w:style>
  <w:style w:type="paragraph" w:customStyle="1" w:styleId="33">
    <w:name w:val="表格正文"/>
    <w:basedOn w:val="1"/>
    <w:link w:val="32"/>
    <w:qFormat/>
    <w:uiPriority w:val="0"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4">
    <w:name w:val="正文文本 3 字符"/>
    <w:link w:val="11"/>
    <w:qFormat/>
    <w:uiPriority w:val="0"/>
    <w:rPr>
      <w:rFonts w:ascii="Arial" w:hAnsi="Arial" w:eastAsia="宋体" w:cs="Times New Roman"/>
      <w:kern w:val="0"/>
      <w:sz w:val="16"/>
      <w:szCs w:val="16"/>
    </w:rPr>
  </w:style>
  <w:style w:type="character" w:customStyle="1" w:styleId="35">
    <w:name w:val="正文文本 3 Char1"/>
    <w:basedOn w:val="16"/>
    <w:semiHidden/>
    <w:qFormat/>
    <w:uiPriority w:val="99"/>
    <w:rPr>
      <w:rFonts w:ascii="Times New Roman" w:hAnsi="Times New Roman" w:eastAsia="宋体" w:cs="Times New Roman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120</Words>
  <Characters>148</Characters>
  <Lines>15</Lines>
  <Paragraphs>4</Paragraphs>
  <TotalTime>5</TotalTime>
  <ScaleCrop>false</ScaleCrop>
  <LinksUpToDate>false</LinksUpToDate>
  <CharactersWithSpaces>259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2016-12-07T01:58:00Z</dcterms:created>
  <dc:creator>SkyUN.Org</dc:creator>
  <cp:lastModifiedBy>郝宇</cp:lastModifiedBy>
  <cp:lastPrinted>2021-03-19T10:57:00Z</cp:lastPrinted>
  <dcterms:modified xsi:type="dcterms:W3CDTF">2025-09-26T08:14:49Z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857C69C0DADB4C178609ABE47859BFFB_13</vt:lpwstr>
  </property>
  <property fmtid="{D5CDD505-2E9C-101B-9397-08002B2CF9AE}" pid="4" name="KSOTemplateDocerSaveRecord">
    <vt:lpwstr>eyJoZGlkIjoiMDY5NmFjMmM4ZTljMGJiZDAxN2JmYTc0NGI0NmFiNDgiLCJ1c2VySWQiOiIxMDc1MzgyOSJ9</vt:lpwstr>
  </property>
</Properties>
</file>