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CD941">
      <w:pPr>
        <w:keepNext w:val="0"/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5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2-01</w:t>
      </w:r>
    </w:p>
    <w:p w14:paraId="4086B63F">
      <w:pPr>
        <w:keepNext w:val="0"/>
        <w:keepLines w:val="0"/>
        <w:pageBreakBefore w:val="0"/>
        <w:widowControl w:val="0"/>
        <w:kinsoku/>
        <w:wordWrap/>
        <w:overflowPunct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5562F74D">
      <w:pPr>
        <w:pStyle w:val="25"/>
        <w:keepNext w:val="0"/>
        <w:keepLines w:val="0"/>
        <w:pageBreakBefore w:val="0"/>
        <w:widowControl w:val="0"/>
        <w:wordWrap/>
        <w:overflowPunct/>
        <w:bidi w:val="0"/>
        <w:spacing w:after="1872"/>
        <w:rPr>
          <w:lang w:eastAsia="zh-CN"/>
        </w:rPr>
      </w:pPr>
      <w:bookmarkStart w:id="0" w:name="_Toc3168"/>
      <w:r>
        <w:rPr>
          <w:lang w:eastAsia="zh-CN"/>
        </w:rPr>
        <w:t>西安泽玺信息科技有限公司</w:t>
      </w:r>
      <w:bookmarkEnd w:id="0"/>
    </w:p>
    <w:p w14:paraId="04663709">
      <w:pPr>
        <w:pStyle w:val="26"/>
        <w:keepNext w:val="0"/>
        <w:keepLines w:val="0"/>
        <w:pageBreakBefore w:val="0"/>
        <w:widowControl w:val="0"/>
        <w:wordWrap/>
        <w:overflowPunct/>
        <w:bidi w:val="0"/>
        <w:spacing w:after="2808"/>
        <w:rPr>
          <w:rFonts w:hint="eastAsia"/>
        </w:rPr>
      </w:pPr>
      <w:bookmarkStart w:id="1" w:name="_Toc22994"/>
      <w:r>
        <w:rPr>
          <w:rFonts w:hint="eastAsia"/>
          <w:lang w:eastAsia="zh-CN"/>
        </w:rPr>
        <w:t>人员管理计划</w:t>
      </w:r>
      <w:bookmarkEnd w:id="1"/>
    </w:p>
    <w:tbl>
      <w:tblPr>
        <w:tblStyle w:val="22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077"/>
      </w:tblGrid>
      <w:tr w14:paraId="52D09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A47625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771892380"/>
                <w:lang w:eastAsia="zh-CN"/>
              </w:rPr>
              <w:t>张宝晶</w:t>
            </w:r>
          </w:p>
        </w:tc>
        <w:tc>
          <w:tcPr>
            <w:tcW w:w="4261" w:type="dxa"/>
          </w:tcPr>
          <w:p w14:paraId="13CFCB9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2026.1.3</w:t>
            </w:r>
          </w:p>
        </w:tc>
      </w:tr>
      <w:tr w14:paraId="2345A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8E959B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</w:tcPr>
          <w:p w14:paraId="49C4AEA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r>
              <w:rPr>
                <w:rFonts w:hint="eastAsia"/>
                <w:lang w:eastAsia="zh-CN"/>
              </w:rPr>
              <w:t>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2026.1.3</w:t>
            </w:r>
          </w:p>
        </w:tc>
      </w:tr>
      <w:tr w14:paraId="65B97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362F3B1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冯建东</w:t>
            </w:r>
          </w:p>
        </w:tc>
        <w:tc>
          <w:tcPr>
            <w:tcW w:w="4261" w:type="dxa"/>
          </w:tcPr>
          <w:p w14:paraId="47FB1F5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2026.1.3</w:t>
            </w:r>
          </w:p>
        </w:tc>
      </w:tr>
    </w:tbl>
    <w:p w14:paraId="7A127498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3CF8C1F5">
      <w:pPr>
        <w:keepNext w:val="0"/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6F1781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2EC00BD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6E1F07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FD7EDF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31AEF1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3863DFE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2B4C99B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D9436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3EBF32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 w14:paraId="7B4AD24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2A8D31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3279FF7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/>
                <w:lang w:eastAsia="zh-CN"/>
              </w:rPr>
              <w:t>张宝晶</w:t>
            </w:r>
          </w:p>
        </w:tc>
        <w:tc>
          <w:tcPr>
            <w:tcW w:w="1150" w:type="dxa"/>
          </w:tcPr>
          <w:p w14:paraId="689111B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5A64299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冯建东</w:t>
            </w:r>
          </w:p>
        </w:tc>
      </w:tr>
      <w:tr w14:paraId="6B05D5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214CE6E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F01DEDF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70B4B3E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401407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0F67FE5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5BF6183C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</w:tr>
      <w:tr w14:paraId="45CEA9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4991929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7A9FBAB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9ADA5B5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BB418B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7B5B502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41101B4D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</w:tr>
      <w:tr w14:paraId="3F38C3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AF626DA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F96C102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0D16A05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19A19F3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06E3CD8E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1CEDC3C5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</w:tr>
      <w:tr w14:paraId="6B37C3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6BA9BC1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44845B7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2BC2A9A6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0840074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248F58F9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0C3577DF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</w:tr>
      <w:tr w14:paraId="0B6926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0BC90A4E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19AFDB3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F05FF50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017FACF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21CDDAF7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3A23B305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</w:tr>
    </w:tbl>
    <w:p w14:paraId="4D1BB795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312EBACD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3578ABC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_Toc3168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01E93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_Toc22994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人员管理计划</w:t>
          </w:r>
          <w:r>
            <w:tab/>
          </w:r>
          <w:r>
            <w:fldChar w:fldCharType="begin"/>
          </w:r>
          <w:r>
            <w:instrText xml:space="preserve"> PAGEREF _Toc22994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747DC9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_Toc26988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_Toc26988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FD919A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_Toc10816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 </w:t>
          </w:r>
          <w:r>
            <w:rPr>
              <w:rFonts w:hint="eastAsia"/>
              <w:lang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_Toc10816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5F13A4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_Toc21133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 </w:t>
          </w:r>
          <w:r>
            <w:rPr>
              <w:rFonts w:hint="eastAsia"/>
              <w:lang w:eastAsia="zh-CN"/>
            </w:rPr>
            <w:t>人员管理计划</w:t>
          </w:r>
          <w:r>
            <w:tab/>
          </w:r>
          <w:r>
            <w:fldChar w:fldCharType="begin"/>
          </w:r>
          <w:r>
            <w:instrText xml:space="preserve"> PAGEREF _Toc21133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A4695E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_Toc11326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3.1. </w:t>
          </w:r>
          <w:r>
            <w:rPr>
              <w:rFonts w:hint="eastAsia"/>
              <w:lang w:eastAsia="zh-CN"/>
            </w:rPr>
            <w:t>人员储备计划</w:t>
          </w:r>
          <w:r>
            <w:tab/>
          </w:r>
          <w:r>
            <w:fldChar w:fldCharType="begin"/>
          </w:r>
          <w:r>
            <w:instrText xml:space="preserve"> PAGEREF _Toc11326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FA32BB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_Toc11921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3.2. </w:t>
          </w:r>
          <w:r>
            <w:rPr>
              <w:rFonts w:hint="eastAsia"/>
              <w:lang w:eastAsia="zh-CN"/>
            </w:rPr>
            <w:t>人员</w:t>
          </w:r>
          <w:r>
            <w:rPr>
              <w:rFonts w:hint="eastAsia"/>
              <w:lang w:val="en-US" w:eastAsia="zh-CN"/>
            </w:rPr>
            <w:t>能力评价</w:t>
          </w:r>
          <w:r>
            <w:rPr>
              <w:rFonts w:hint="eastAsia"/>
              <w:lang w:eastAsia="zh-CN"/>
            </w:rPr>
            <w:t>计划</w:t>
          </w:r>
          <w:r>
            <w:tab/>
          </w:r>
          <w:r>
            <w:fldChar w:fldCharType="begin"/>
          </w:r>
          <w:r>
            <w:instrText xml:space="preserve"> PAGEREF _Toc11921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E6C69C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_Toc9169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3.3. </w:t>
          </w:r>
          <w:r>
            <w:rPr>
              <w:rFonts w:hint="eastAsia"/>
              <w:lang w:eastAsia="zh-CN"/>
            </w:rPr>
            <w:t>人员培训计划</w:t>
          </w:r>
          <w:r>
            <w:tab/>
          </w:r>
          <w:r>
            <w:fldChar w:fldCharType="begin"/>
          </w:r>
          <w:r>
            <w:instrText xml:space="preserve"> PAGEREF _Toc9169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C171C8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_Toc4121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3.4. </w:t>
          </w:r>
          <w:r>
            <w:t>人员</w:t>
          </w:r>
          <w:r>
            <w:rPr>
              <w:rFonts w:hint="eastAsia"/>
              <w:lang w:eastAsia="zh-CN"/>
            </w:rPr>
            <w:t>招聘计划</w:t>
          </w:r>
          <w:r>
            <w:tab/>
          </w:r>
          <w:r>
            <w:fldChar w:fldCharType="begin"/>
          </w:r>
          <w:r>
            <w:instrText xml:space="preserve"> PAGEREF _Toc4121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CC5F24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_Toc25884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3.5. </w:t>
          </w:r>
          <w:r>
            <w:rPr>
              <w:rFonts w:hint="eastAsia"/>
              <w:lang w:eastAsia="zh-CN"/>
            </w:rPr>
            <w:t>人员备份计划</w:t>
          </w:r>
          <w:r>
            <w:tab/>
          </w:r>
          <w:r>
            <w:fldChar w:fldCharType="begin"/>
          </w:r>
          <w:r>
            <w:instrText xml:space="preserve"> PAGEREF _Toc25884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7B804E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_Toc24240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3.6. </w:t>
          </w:r>
          <w:r>
            <w:rPr>
              <w:rFonts w:hint="eastAsia"/>
              <w:lang w:eastAsia="zh-CN"/>
            </w:rPr>
            <w:t>人员绩效考核计划</w:t>
          </w:r>
          <w:r>
            <w:tab/>
          </w:r>
          <w:r>
            <w:fldChar w:fldCharType="begin"/>
          </w:r>
          <w:r>
            <w:instrText xml:space="preserve"> PAGEREF _Toc24240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D19327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_Toc30094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3.7. </w:t>
          </w:r>
          <w:r>
            <w:rPr>
              <w:rFonts w:hint="eastAsia"/>
              <w:lang w:eastAsia="zh-CN"/>
            </w:rPr>
            <w:t>人员岗位结构计划</w:t>
          </w:r>
          <w:r>
            <w:tab/>
          </w:r>
          <w:r>
            <w:fldChar w:fldCharType="begin"/>
          </w:r>
          <w:r>
            <w:instrText xml:space="preserve"> PAGEREF _Toc30094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6E8F7D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_Toc7636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_Toc7636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527BD6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_Toc14157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 </w:t>
          </w:r>
          <w:r>
            <w:rPr>
              <w:rFonts w:hint="eastAsia"/>
              <w:lang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_Toc14157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61DD4F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_Toc26927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6. </w:t>
          </w:r>
          <w:r>
            <w:rPr>
              <w:rFonts w:hint="eastAsia"/>
              <w:lang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_Toc26927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D4FDDB3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240FFA11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rPr>
          <w:rFonts w:eastAsia="Arial"/>
          <w:kern w:val="0"/>
          <w:sz w:val="21"/>
        </w:rPr>
        <w:br w:type="page"/>
      </w:r>
      <w:bookmarkStart w:id="2" w:name="_Toc26988"/>
      <w:bookmarkStart w:id="3" w:name="_Toc32500"/>
      <w:r>
        <w:t>目的</w:t>
      </w:r>
      <w:bookmarkEnd w:id="2"/>
      <w:bookmarkEnd w:id="3"/>
    </w:p>
    <w:p w14:paraId="1B67570B">
      <w:pPr>
        <w:pStyle w:val="30"/>
        <w:bidi w:val="0"/>
      </w:pPr>
      <w:r>
        <w:t>为确保公司运维业务的持续发展与项目的顺利交付，特制定</w:t>
      </w:r>
      <w:r>
        <w:rPr>
          <w:rFonts w:hint="eastAsia"/>
        </w:rPr>
        <w:t>此</w:t>
      </w:r>
      <w:r>
        <w:t>人员管理计划。其核心目的在于：</w:t>
      </w:r>
      <w:r>
        <w:rPr>
          <w:rFonts w:hint="eastAsia"/>
        </w:rPr>
        <w:t>为了</w:t>
      </w:r>
      <w:r>
        <w:t>打造一支技能过硬、响应迅速、服务规范的专业化运维团队。通过系统化的人员储备与招聘，保障新增项目需求与人员流动补充；通过有效的培训与考核，提升团队整体技能与服务效能，最终确保客户信息系统稳定运行，并为公司业务增长提供坚实的人才支撑。</w:t>
      </w:r>
    </w:p>
    <w:p w14:paraId="01AE9EB0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4" w:name="_Toc3684"/>
      <w:bookmarkStart w:id="5" w:name="_Toc10816"/>
      <w:r>
        <w:rPr>
          <w:rFonts w:hint="eastAsia"/>
          <w:lang w:eastAsia="zh-CN"/>
        </w:rPr>
        <w:t>原则</w:t>
      </w:r>
      <w:bookmarkEnd w:id="4"/>
      <w:bookmarkEnd w:id="5"/>
    </w:p>
    <w:p w14:paraId="030447E0">
      <w:pPr>
        <w:pStyle w:val="30"/>
        <w:bidi w:val="0"/>
      </w:pPr>
      <w:r>
        <w:t>本计划自体系建立之日202</w:t>
      </w:r>
      <w:r>
        <w:rPr>
          <w:rFonts w:hint="eastAsia"/>
          <w:lang w:val="en-US" w:eastAsia="zh-CN"/>
        </w:rPr>
        <w:t>6</w:t>
      </w:r>
      <w:r>
        <w:t>年</w:t>
      </w:r>
      <w:r>
        <w:rPr>
          <w:rFonts w:hint="eastAsia"/>
          <w:lang w:val="en-US" w:eastAsia="zh-CN"/>
        </w:rPr>
        <w:t>1</w:t>
      </w:r>
      <w:r>
        <w:t>月起执行，周期一年。</w:t>
      </w:r>
    </w:p>
    <w:p w14:paraId="2970C932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6" w:name="bookmark2"/>
      <w:bookmarkEnd w:id="6"/>
      <w:bookmarkStart w:id="7" w:name="bookmark3"/>
      <w:bookmarkEnd w:id="7"/>
      <w:bookmarkStart w:id="8" w:name="_Toc9575"/>
      <w:bookmarkStart w:id="9" w:name="_Toc21133"/>
      <w:r>
        <w:rPr>
          <w:rFonts w:hint="eastAsia"/>
          <w:lang w:eastAsia="zh-CN"/>
        </w:rPr>
        <w:t>人员管理计划</w:t>
      </w:r>
      <w:bookmarkEnd w:id="8"/>
      <w:bookmarkEnd w:id="9"/>
    </w:p>
    <w:p w14:paraId="18E8C5D3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10" w:name="_Toc11326"/>
      <w:bookmarkStart w:id="11" w:name="_Toc27991"/>
      <w:r>
        <w:rPr>
          <w:rFonts w:hint="eastAsia"/>
          <w:lang w:eastAsia="zh-CN"/>
        </w:rPr>
        <w:t>人员储备计划</w:t>
      </w:r>
      <w:bookmarkEnd w:id="10"/>
    </w:p>
    <w:p w14:paraId="625A3C4F">
      <w:pPr>
        <w:pStyle w:val="30"/>
        <w:bidi w:val="0"/>
      </w:pPr>
      <w:r>
        <w:t>在保障公司当前运维人员需求的前提下，建立</w:t>
      </w:r>
      <w:r>
        <w:rPr>
          <w:rFonts w:hint="eastAsia"/>
        </w:rPr>
        <w:t>人员储备</w:t>
      </w:r>
      <w:r>
        <w:t>机制，以满足运维业务发展的潜在需求，避免新签运维合同出现临时找人的局面。通过运维业务市场预测可能新增2个运维项目，计划以运维项目经理作为本年度运维业务的关键储备。</w:t>
      </w:r>
      <w:r>
        <w:rPr>
          <w:rFonts w:hint="eastAsia"/>
        </w:rPr>
        <w:t>每</w:t>
      </w:r>
      <w:r>
        <w:rPr>
          <w:rFonts w:hint="eastAsia"/>
          <w:lang w:val="en-US" w:eastAsia="zh-CN"/>
        </w:rPr>
        <w:t>年度</w:t>
      </w:r>
      <w:r>
        <w:rPr>
          <w:rFonts w:hint="eastAsia"/>
        </w:rPr>
        <w:t>对储备情况进行跟踪，要求储备完成率达到90%以上。</w:t>
      </w:r>
    </w:p>
    <w:p w14:paraId="4AF782DF">
      <w:pPr>
        <w:pStyle w:val="30"/>
        <w:bidi w:val="0"/>
      </w:pPr>
      <w:r>
        <w:rPr>
          <w:rFonts w:hint="eastAsia"/>
        </w:rPr>
        <w:t>储备计划如表3-1所示。</w:t>
      </w:r>
    </w:p>
    <w:p w14:paraId="7196AE08">
      <w:pPr>
        <w:pStyle w:val="44"/>
        <w:keepNext w:val="0"/>
        <w:keepLines w:val="0"/>
        <w:pageBreakBefore w:val="0"/>
        <w:widowControl w:val="0"/>
        <w:wordWrap/>
        <w:overflowPunct/>
        <w:bidi w:val="0"/>
        <w:jc w:val="center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 </w:instrText>
      </w:r>
      <w:r>
        <w:rPr>
          <w:rFonts w:hint="eastAsia"/>
        </w:rPr>
        <w:instrText xml:space="preserve">S</w:instrText>
      </w:r>
      <w:r>
        <w:instrText xml:space="preserve">TYLEREF "</w:instrText>
      </w:r>
      <w:r>
        <w:rPr>
          <w:rFonts w:hint="eastAsia"/>
        </w:rPr>
        <w:instrText xml:space="preserve">柴_标题1</w:instrText>
      </w:r>
      <w:r>
        <w:instrText xml:space="preserve">" \n \* Charformat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 xml:space="preserve">S</w:instrText>
      </w:r>
      <w:r>
        <w:instrText xml:space="preserve">EQ </w:instrText>
      </w:r>
      <w:r>
        <w:rPr>
          <w:rFonts w:hint="eastAsia"/>
        </w:rPr>
        <w:instrText xml:space="preserve">表</w:instrText>
      </w:r>
      <w:r>
        <w:instrText xml:space="preserve"> \* ARABIC \s 1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人员管理储备计划</w:t>
      </w:r>
    </w:p>
    <w:tbl>
      <w:tblPr>
        <w:tblStyle w:val="27"/>
        <w:tblW w:w="9088" w:type="dxa"/>
        <w:tblInd w:w="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3"/>
        <w:gridCol w:w="1393"/>
        <w:gridCol w:w="1274"/>
        <w:gridCol w:w="1912"/>
        <w:gridCol w:w="1662"/>
        <w:gridCol w:w="1734"/>
      </w:tblGrid>
      <w:tr w14:paraId="4C55F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1113" w:type="dxa"/>
          </w:tcPr>
          <w:p w14:paraId="5ECA710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85" w:line="228" w:lineRule="auto"/>
              <w:ind w:left="402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14"/>
                <w:sz w:val="20"/>
                <w:szCs w:val="20"/>
              </w:rPr>
              <w:t>岗位</w:t>
            </w:r>
          </w:p>
        </w:tc>
        <w:tc>
          <w:tcPr>
            <w:tcW w:w="1393" w:type="dxa"/>
          </w:tcPr>
          <w:p w14:paraId="16B3E08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82" w:line="228" w:lineRule="auto"/>
              <w:ind w:left="182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来源及条件</w:t>
            </w:r>
          </w:p>
        </w:tc>
        <w:tc>
          <w:tcPr>
            <w:tcW w:w="1274" w:type="dxa"/>
          </w:tcPr>
          <w:p w14:paraId="316A918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82" w:line="228" w:lineRule="auto"/>
              <w:ind w:left="12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方式及数量</w:t>
            </w:r>
          </w:p>
        </w:tc>
        <w:tc>
          <w:tcPr>
            <w:tcW w:w="1912" w:type="dxa"/>
          </w:tcPr>
          <w:p w14:paraId="7FADA6D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85" w:line="228" w:lineRule="auto"/>
              <w:ind w:left="54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储备措施</w:t>
            </w:r>
          </w:p>
        </w:tc>
        <w:tc>
          <w:tcPr>
            <w:tcW w:w="1662" w:type="dxa"/>
          </w:tcPr>
          <w:p w14:paraId="097AF4E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85" w:line="228" w:lineRule="auto"/>
              <w:ind w:left="43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2"/>
                <w:sz w:val="20"/>
                <w:szCs w:val="20"/>
              </w:rPr>
              <w:t>建立日期</w:t>
            </w:r>
          </w:p>
        </w:tc>
        <w:tc>
          <w:tcPr>
            <w:tcW w:w="1734" w:type="dxa"/>
          </w:tcPr>
          <w:p w14:paraId="1AF46BB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82" w:line="228" w:lineRule="auto"/>
              <w:ind w:left="239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2"/>
                <w:sz w:val="20"/>
                <w:szCs w:val="20"/>
              </w:rPr>
              <w:t>完成日期</w:t>
            </w:r>
          </w:p>
        </w:tc>
      </w:tr>
      <w:tr w14:paraId="31BE3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1113" w:type="dxa"/>
          </w:tcPr>
          <w:p w14:paraId="33F66F8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运维项目经理</w:t>
            </w:r>
          </w:p>
        </w:tc>
        <w:tc>
          <w:tcPr>
            <w:tcW w:w="1393" w:type="dxa"/>
          </w:tcPr>
          <w:p w14:paraId="4E9B147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2年以上运维经验、一线运维工程师</w:t>
            </w:r>
          </w:p>
        </w:tc>
        <w:tc>
          <w:tcPr>
            <w:tcW w:w="1274" w:type="dxa"/>
          </w:tcPr>
          <w:p w14:paraId="07BA0AD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内部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储备</w:t>
            </w:r>
          </w:p>
          <w:p w14:paraId="5AEDA10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2人</w:t>
            </w:r>
          </w:p>
        </w:tc>
        <w:tc>
          <w:tcPr>
            <w:tcW w:w="1912" w:type="dxa"/>
          </w:tcPr>
          <w:p w14:paraId="30D7524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内部储备，从现有运维工程师选拔</w:t>
            </w:r>
          </w:p>
        </w:tc>
        <w:tc>
          <w:tcPr>
            <w:tcW w:w="1662" w:type="dxa"/>
          </w:tcPr>
          <w:p w14:paraId="0066F43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202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年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月底前确定储备对象</w:t>
            </w:r>
          </w:p>
        </w:tc>
        <w:tc>
          <w:tcPr>
            <w:tcW w:w="1734" w:type="dxa"/>
          </w:tcPr>
          <w:p w14:paraId="61F7C89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202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z w:val="24"/>
                <w:szCs w:val="24"/>
              </w:rPr>
              <w:t>月底前到岗任职</w:t>
            </w:r>
          </w:p>
        </w:tc>
      </w:tr>
      <w:bookmarkEnd w:id="11"/>
    </w:tbl>
    <w:p w14:paraId="4E786A5A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12" w:name="_Toc11921"/>
      <w:bookmarkStart w:id="13" w:name="_Toc13469"/>
      <w:bookmarkStart w:id="14" w:name="_Toc6094"/>
      <w:r>
        <w:rPr>
          <w:rFonts w:hint="eastAsia"/>
          <w:lang w:eastAsia="zh-CN"/>
        </w:rPr>
        <w:t>人员</w:t>
      </w:r>
      <w:r>
        <w:rPr>
          <w:rFonts w:hint="eastAsia"/>
          <w:lang w:val="en-US" w:eastAsia="zh-CN"/>
        </w:rPr>
        <w:t>能力评价</w:t>
      </w:r>
      <w:r>
        <w:rPr>
          <w:rFonts w:hint="eastAsia"/>
          <w:lang w:eastAsia="zh-CN"/>
        </w:rPr>
        <w:t>计划</w:t>
      </w:r>
      <w:bookmarkEnd w:id="12"/>
      <w:bookmarkEnd w:id="13"/>
    </w:p>
    <w:p w14:paraId="16994DFB">
      <w:pPr>
        <w:pStyle w:val="30"/>
        <w:bidi w:val="0"/>
        <w:rPr>
          <w:rFonts w:hint="eastAsia"/>
          <w:lang w:eastAsia="zh-CN"/>
        </w:rPr>
      </w:pPr>
      <w:r>
        <w:rPr>
          <w:lang w:eastAsia="zh-CN"/>
        </w:rPr>
        <w:t>人员</w:t>
      </w:r>
      <w:r>
        <w:rPr>
          <w:rFonts w:hint="eastAsia"/>
          <w:lang w:val="en-US" w:eastAsia="zh-CN"/>
        </w:rPr>
        <w:t>能力评价</w:t>
      </w:r>
      <w:r>
        <w:rPr>
          <w:lang w:eastAsia="zh-CN"/>
        </w:rPr>
        <w:t>工作由</w:t>
      </w:r>
      <w:r>
        <w:rPr>
          <w:rFonts w:hint="eastAsia"/>
          <w:lang w:eastAsia="zh-CN"/>
        </w:rPr>
        <w:t>人力部</w:t>
      </w:r>
      <w:r>
        <w:rPr>
          <w:lang w:eastAsia="zh-CN"/>
        </w:rPr>
        <w:t>负责开展，根据公司年度经营计划和战略发展目标，每季度公司通过对运维部经理、运维项目经理、软件运维工程师、研发项目经理等运维关键岗位人员进行人员技能评价，了解相关人员是否具备从事运行维护服务所需的经验，是否满足服务目录和运维业务发展要求，确保符合公司运维服务需求。</w:t>
      </w:r>
    </w:p>
    <w:p w14:paraId="640DBCB9">
      <w:pPr>
        <w:pStyle w:val="3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每季度对人员综合能力进行考核，考核指标是人员能力合格率≥95%。考核指标计算方式为：</w:t>
      </w:r>
      <w:r>
        <w:rPr>
          <w:rFonts w:hint="eastAsia"/>
        </w:rPr>
        <w:t>人员能力合格人数/参与能力评价人员总数*100%</w:t>
      </w:r>
      <w:r>
        <w:rPr>
          <w:rFonts w:hint="eastAsia"/>
          <w:lang w:eastAsia="zh-CN"/>
        </w:rPr>
        <w:t>。</w:t>
      </w:r>
    </w:p>
    <w:bookmarkEnd w:id="14"/>
    <w:p w14:paraId="1724DC35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15" w:name="_Toc22022"/>
      <w:bookmarkStart w:id="16" w:name="_Toc9169"/>
      <w:r>
        <w:rPr>
          <w:rFonts w:hint="eastAsia"/>
          <w:lang w:eastAsia="zh-CN"/>
        </w:rPr>
        <w:t>人员培训计划</w:t>
      </w:r>
      <w:bookmarkEnd w:id="15"/>
      <w:bookmarkEnd w:id="16"/>
    </w:p>
    <w:p w14:paraId="2E177309">
      <w:pPr>
        <w:pStyle w:val="30"/>
        <w:bidi w:val="0"/>
      </w:pPr>
      <w:r>
        <w:t>计划进行技术和管理相关培训课程，通过培训，加强技术类员工对业务的熟悉程度，提升运维服务人员业务能力、对制度和流程的执行力以及综合素质。</w:t>
      </w:r>
    </w:p>
    <w:p w14:paraId="6AE3FE37">
      <w:pPr>
        <w:pStyle w:val="30"/>
        <w:bidi w:val="0"/>
      </w:pPr>
      <w:r>
        <w:rPr>
          <w:rFonts w:hint="eastAsia"/>
        </w:rPr>
        <w:t>每月对培训进度进行考核，要求培训计划完成率达到95%以上，培训完成率的计算方式为：累计培训课程数/计划培训课数*100%。</w:t>
      </w:r>
    </w:p>
    <w:p w14:paraId="70535AB0">
      <w:pPr>
        <w:pStyle w:val="30"/>
        <w:bidi w:val="0"/>
      </w:pPr>
      <w:r>
        <w:rPr>
          <w:rFonts w:hint="eastAsia"/>
        </w:rPr>
        <w:t>运维相关人员培训计划如表3-2所示。</w:t>
      </w:r>
    </w:p>
    <w:p w14:paraId="48068478">
      <w:pPr>
        <w:pStyle w:val="44"/>
        <w:keepNext w:val="0"/>
        <w:keepLines w:val="0"/>
        <w:pageBreakBefore w:val="0"/>
        <w:widowControl w:val="0"/>
        <w:wordWrap/>
        <w:overflowPunct/>
        <w:bidi w:val="0"/>
        <w:jc w:val="center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 </w:instrText>
      </w:r>
      <w:r>
        <w:rPr>
          <w:rFonts w:hint="eastAsia"/>
        </w:rPr>
        <w:instrText xml:space="preserve">S</w:instrText>
      </w:r>
      <w:r>
        <w:instrText xml:space="preserve">TYLEREF "</w:instrText>
      </w:r>
      <w:r>
        <w:rPr>
          <w:rFonts w:hint="eastAsia"/>
        </w:rPr>
        <w:instrText xml:space="preserve">柴_标题1</w:instrText>
      </w:r>
      <w:r>
        <w:instrText xml:space="preserve">" \n \* Charformat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 xml:space="preserve">S</w:instrText>
      </w:r>
      <w:r>
        <w:instrText xml:space="preserve">EQ </w:instrText>
      </w:r>
      <w:r>
        <w:rPr>
          <w:rFonts w:hint="eastAsia"/>
        </w:rPr>
        <w:instrText xml:space="preserve">表</w:instrText>
      </w:r>
      <w:r>
        <w:instrText xml:space="preserve"> \* ARABIC \s 1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人员培训管理计划</w:t>
      </w:r>
    </w:p>
    <w:tbl>
      <w:tblPr>
        <w:tblStyle w:val="21"/>
        <w:tblW w:w="773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2100"/>
        <w:gridCol w:w="1850"/>
        <w:gridCol w:w="750"/>
        <w:gridCol w:w="680"/>
        <w:gridCol w:w="1698"/>
      </w:tblGrid>
      <w:tr w14:paraId="58F12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36668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编号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C6B3E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培训内容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7F5E1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培训对象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0CEBD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培训人员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E3434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default" w:ascii="宋体" w:hAnsi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培训费用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6DB36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时间</w:t>
            </w:r>
          </w:p>
        </w:tc>
      </w:tr>
      <w:tr w14:paraId="21E3A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1CD3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26686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ITSS</w:t>
            </w:r>
            <w:r>
              <w:rPr>
                <w:rStyle w:val="42"/>
                <w:rFonts w:hint="default"/>
                <w:lang w:eastAsia="zh-CN"/>
              </w:rPr>
              <w:t>标准</w:t>
            </w:r>
            <w:r>
              <w:rPr>
                <w:rStyle w:val="42"/>
                <w:rFonts w:hint="eastAsia"/>
                <w:lang w:val="en-US" w:eastAsia="zh-CN"/>
              </w:rPr>
              <w:t>理解与应用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4CE99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运服务相关人员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71D27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B8319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5000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AA92C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2026年1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52A32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D3D7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52D86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硬件运维服务技能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700E6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37465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802FE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24F79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2026年1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11DF2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995B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C8AC7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新员工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入职培训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04C63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04A4A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DFE78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857CB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2026年3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21440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6FC0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6C01A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核心产品介绍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691E6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C88DA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FF451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4822A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2026年3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3C9CC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8349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C7FB08">
            <w:pPr>
              <w:keepNext w:val="0"/>
              <w:keepLines w:val="0"/>
              <w:pageBreakBefore w:val="0"/>
              <w:widowControl w:val="0"/>
              <w:tabs>
                <w:tab w:val="center" w:pos="1320"/>
              </w:tabs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测试用例编写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规范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BB819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运维部、研发部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112D1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59DA8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36A78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2026年3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68D14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35B3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center" w:pos="1320"/>
              </w:tabs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7F5F02">
            <w:pPr>
              <w:keepNext w:val="0"/>
              <w:keepLines w:val="0"/>
              <w:pageBreakBefore w:val="0"/>
              <w:widowControl w:val="0"/>
              <w:tabs>
                <w:tab w:val="center" w:pos="1320"/>
              </w:tabs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运维服务服务知识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B04CF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全体运维人员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27469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DED1A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53FE2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2026年3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7F683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0B13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center" w:pos="1320"/>
              </w:tabs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D688CE">
            <w:pPr>
              <w:keepNext w:val="0"/>
              <w:keepLines w:val="0"/>
              <w:pageBreakBefore w:val="0"/>
              <w:widowControl w:val="0"/>
              <w:tabs>
                <w:tab w:val="center" w:pos="1320"/>
              </w:tabs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服务规范讲解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8F335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各相关部门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B37D7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40705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C5325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2026年3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5E23E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565E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E80A8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高级开发培训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2A488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DFB10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禹海龙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77748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78514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2026年4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7DD22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173B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5D7A5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代码质量审查规范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66330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01566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禹海龙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15063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A6BBF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2026年4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7A4C0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2E78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A2952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数据安全常识及应对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C1182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运维项目经理、网络工程师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A5F4E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67CFC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790C1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2026年4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6FA42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E86F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DE3A9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服务台管理制度培训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83CF6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服务台全员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51CD9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C155F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EC9C6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2026年4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72ED9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E773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CC124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应急管理制度培训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18587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56A73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C777C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3AE6B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2026年4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657B8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C1F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C88CF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ITSS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深度</w:t>
            </w:r>
            <w:r>
              <w:rPr>
                <w:rStyle w:val="42"/>
                <w:rFonts w:hint="default"/>
                <w:lang w:eastAsia="zh-CN"/>
              </w:rPr>
              <w:t>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B2888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运服务相关人员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68192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B6DB4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7A035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2026年4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2EE83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4BE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07FB6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工具使用指南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2988E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05D8D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9F590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7AFF3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2026年5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1DB4F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24E9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D838A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新员工入职培训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5CC3B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A3DC3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6D54F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18F32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2026年6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2B64B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4405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23842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公司核心产品介绍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80422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790FF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张宝晶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60E1C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AC7A1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2026年6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4B799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34D9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1C009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流行数据库运维技巧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0603B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运维部、研发部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14031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B0238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97EAE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2026年6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2B4AA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F978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587F7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项目经理技能培训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8AACE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部分人员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8C1DF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28183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5000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2A8E9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2026年6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6222F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F728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E8F31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工具使用进阶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99037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3243B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DC925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EF696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2026年6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0FAE2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E329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9EE7F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运维服务规范化培训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AC556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7F9C7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E315C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FD05D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5B16A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51D7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0043A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网络安全建设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2E661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运维项目经理、网络工程师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D9BCF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BFCEC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E419C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2CD69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57D3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9A41B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交付管理制度培训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8BAF5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8E6C8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6B402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B8F04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4BA70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04CC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83FFF3">
            <w:pPr>
              <w:keepNext w:val="0"/>
              <w:keepLines w:val="0"/>
              <w:pageBreakBefore w:val="0"/>
              <w:widowControl w:val="0"/>
              <w:tabs>
                <w:tab w:val="center" w:pos="1320"/>
              </w:tabs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运维服务制度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宣贯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9BAD6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各相关部门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502B0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4D1E4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E3ADE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6B539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AA11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FCA06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高级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研发技术培训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2DCE1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1519D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禹海龙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FFA92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0BB6B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3E4C8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478D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7970C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代码质量审查规范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68E3E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A7C55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禹海龙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DD323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5B548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4B78B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733A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24172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新员工入职培训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8BE2E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E0532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85143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EA1FD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0CB1E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525E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82CCE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公司核心产品介绍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05AAD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984A0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D2C77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1B27C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19794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B027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30F08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数据安全常识及应对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04CC5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运维项目经理、网络工程师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F23A2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968FC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A79B2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3B466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5602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AE394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产品测试用例编写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规范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EE054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运维部、研发部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3EB9D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622EC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C3D67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636E5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38B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C94D4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运维服务服务知识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8BD93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全体运维人员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7FFD2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75388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FC66E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2DAF8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89ED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20CFE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服务台管理制度培训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BED3C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服务台全员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1106E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17B60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7EC9F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4FBC4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50B4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07828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应急响应规范与应急</w:t>
            </w:r>
            <w:r>
              <w:rPr>
                <w:rStyle w:val="42"/>
                <w:rFonts w:hint="default"/>
                <w:lang w:eastAsia="zh-CN"/>
              </w:rPr>
              <w:t>预案培训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F1D7E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8AB96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41BC5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6B369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553F1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C746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D9ACD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Vue</w:t>
            </w:r>
            <w:r>
              <w:rPr>
                <w:rStyle w:val="42"/>
                <w:rFonts w:hint="default"/>
                <w:lang w:eastAsia="zh-CN"/>
              </w:rPr>
              <w:t>前端框架介绍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2C964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3BBAA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58B23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D3A19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11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60C50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CE7F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0A248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新员工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入职培训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334F7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683E1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D2203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9E42E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12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49F4D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4485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28763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公司核心产品介绍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D44C9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86FAC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张宝晶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315F8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9D5C0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12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  <w:tr w14:paraId="13D28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A8A7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F80F4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高级开发培训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FB6CD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00007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禹海龙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1CC48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textAlignment w:val="center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BEBFD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12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</w:tr>
    </w:tbl>
    <w:p w14:paraId="7ABEE6AF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17" w:name="_Toc4121"/>
      <w:bookmarkStart w:id="18" w:name="_Toc21816"/>
      <w:r>
        <w:t>人员</w:t>
      </w:r>
      <w:r>
        <w:rPr>
          <w:rFonts w:hint="eastAsia"/>
          <w:lang w:eastAsia="zh-CN"/>
        </w:rPr>
        <w:t>招聘计划</w:t>
      </w:r>
      <w:bookmarkEnd w:id="17"/>
    </w:p>
    <w:p w14:paraId="0E74DD07">
      <w:pPr>
        <w:pStyle w:val="30"/>
        <w:keepNext w:val="0"/>
        <w:keepLines w:val="0"/>
        <w:pageBreakBefore w:val="0"/>
        <w:widowControl w:val="0"/>
        <w:wordWrap/>
        <w:overflowPunct/>
        <w:bidi w:val="0"/>
        <w:ind w:firstLine="480"/>
      </w:pPr>
      <w:r>
        <w:t>招聘工作由</w:t>
      </w:r>
      <w:r>
        <w:rPr>
          <w:rFonts w:hint="eastAsia"/>
        </w:rPr>
        <w:t>人力部</w:t>
      </w:r>
      <w:r>
        <w:t>负责开展，根据公司年度经营计划和战略发展目标，以及</w:t>
      </w:r>
      <w:r>
        <w:rPr>
          <w:rFonts w:hint="eastAsia"/>
        </w:rPr>
        <w:t>研发部和运维部</w:t>
      </w:r>
      <w:r>
        <w:t>人员定</w:t>
      </w:r>
      <w:r>
        <w:rPr>
          <w:rFonts w:hint="eastAsia" w:eastAsia="宋体"/>
          <w:lang w:val="en-US" w:eastAsia="zh-CN"/>
        </w:rPr>
        <w:t>员和需求指标，需在2026年</w:t>
      </w:r>
      <w:r>
        <w:rPr>
          <w:rFonts w:hint="eastAsia"/>
          <w:lang w:val="en-US" w:eastAsia="zh-CN"/>
        </w:rPr>
        <w:t>8</w:t>
      </w:r>
      <w:r>
        <w:rPr>
          <w:rFonts w:hint="eastAsia" w:eastAsia="宋体"/>
          <w:lang w:val="en-US" w:eastAsia="zh-CN"/>
        </w:rPr>
        <w:t>月</w:t>
      </w:r>
      <w:r>
        <w:rPr>
          <w:rFonts w:hint="eastAsia"/>
          <w:lang w:val="en-US" w:eastAsia="zh-CN"/>
        </w:rPr>
        <w:t>底</w:t>
      </w:r>
      <w:r>
        <w:rPr>
          <w:rFonts w:hint="eastAsia" w:eastAsia="宋体"/>
          <w:lang w:val="en-US" w:eastAsia="zh-CN"/>
        </w:rPr>
        <w:t>全部招聘到位。每年度对人员招聘完成情况进行考核，要求招聘人员及时到岗率≥90%，计算方式为：年度招聘运维人员及时到岗总人数/年度招聘运维总人数*100%。招聘计划</w:t>
      </w:r>
      <w:r>
        <w:rPr>
          <w:rFonts w:hint="eastAsia"/>
        </w:rPr>
        <w:t>如表3-3所示。</w:t>
      </w:r>
    </w:p>
    <w:p w14:paraId="6FD39A2E">
      <w:pPr>
        <w:pStyle w:val="44"/>
        <w:keepNext w:val="0"/>
        <w:keepLines w:val="0"/>
        <w:pageBreakBefore w:val="0"/>
        <w:widowControl w:val="0"/>
        <w:wordWrap/>
        <w:overflowPunct/>
        <w:bidi w:val="0"/>
        <w:jc w:val="center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 </w:instrText>
      </w:r>
      <w:r>
        <w:rPr>
          <w:rFonts w:hint="eastAsia"/>
        </w:rPr>
        <w:instrText xml:space="preserve">S</w:instrText>
      </w:r>
      <w:r>
        <w:instrText xml:space="preserve">TYLEREF "</w:instrText>
      </w:r>
      <w:r>
        <w:rPr>
          <w:rFonts w:hint="eastAsia"/>
        </w:rPr>
        <w:instrText xml:space="preserve">柴_标题1</w:instrText>
      </w:r>
      <w:r>
        <w:instrText xml:space="preserve">" \n \* Charformat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 xml:space="preserve">S</w:instrText>
      </w:r>
      <w:r>
        <w:instrText xml:space="preserve">EQ </w:instrText>
      </w:r>
      <w:r>
        <w:rPr>
          <w:rFonts w:hint="eastAsia"/>
        </w:rPr>
        <w:instrText xml:space="preserve">表</w:instrText>
      </w:r>
      <w:r>
        <w:instrText xml:space="preserve"> \* ARABIC \s 1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人员管理招聘计划</w:t>
      </w:r>
    </w:p>
    <w:tbl>
      <w:tblPr>
        <w:tblStyle w:val="27"/>
        <w:tblW w:w="83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74"/>
        <w:gridCol w:w="1735"/>
        <w:gridCol w:w="933"/>
        <w:gridCol w:w="1188"/>
        <w:gridCol w:w="1735"/>
        <w:gridCol w:w="924"/>
        <w:gridCol w:w="1325"/>
      </w:tblGrid>
      <w:tr w14:paraId="1598E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1C001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before="182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cs="宋体"/>
                <w:b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1"/>
                <w:sz w:val="20"/>
                <w:szCs w:val="20"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EE63A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before="183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cs="宋体"/>
                <w:b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招聘岗位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C75E2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before="183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cs="宋体"/>
                <w:b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2"/>
                <w:sz w:val="20"/>
                <w:szCs w:val="20"/>
              </w:rPr>
              <w:t>工作地点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EDCFB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before="182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cs="宋体"/>
                <w:b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拟招聘人数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4B322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before="182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cs="宋体"/>
                <w:b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3"/>
                <w:sz w:val="20"/>
                <w:szCs w:val="20"/>
              </w:rPr>
              <w:t>学历要求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A280E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before="182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pacing w:val="-3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pacing w:val="-3"/>
                <w:sz w:val="20"/>
                <w:szCs w:val="20"/>
                <w:lang w:val="en-US" w:eastAsia="zh-CN"/>
              </w:rPr>
              <w:t>招聘费用</w:t>
            </w:r>
          </w:p>
        </w:tc>
        <w:tc>
          <w:tcPr>
            <w:tcW w:w="132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043C0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before="183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cs="宋体"/>
                <w:b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入职日期</w:t>
            </w:r>
          </w:p>
        </w:tc>
      </w:tr>
      <w:tr w14:paraId="674C7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5926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4CD6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软件运维工程师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F5BD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>银川</w:t>
            </w:r>
            <w:r>
              <w:t>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9D9F4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A9139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专科及以上学历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62381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1000</w:t>
            </w:r>
          </w:p>
        </w:tc>
        <w:tc>
          <w:tcPr>
            <w:tcW w:w="13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071A0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t>年</w:t>
            </w:r>
            <w:r>
              <w:rPr>
                <w:rFonts w:hint="eastAsia"/>
                <w:lang w:val="en-US" w:eastAsia="zh-CN"/>
              </w:rPr>
              <w:t>6</w:t>
            </w:r>
            <w:r>
              <w:t>月</w:t>
            </w:r>
          </w:p>
        </w:tc>
      </w:tr>
      <w:tr w14:paraId="6AE80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7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6A0F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88EC6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研发工程师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D64E7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>银川</w:t>
            </w:r>
            <w:r>
              <w:t>市</w:t>
            </w:r>
          </w:p>
        </w:tc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4FD9D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12D44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专科及以上学历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712E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1000</w:t>
            </w:r>
          </w:p>
        </w:tc>
        <w:tc>
          <w:tcPr>
            <w:tcW w:w="13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86249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t>年</w:t>
            </w:r>
            <w:r>
              <w:rPr>
                <w:rFonts w:hint="eastAsia"/>
                <w:lang w:val="en-US" w:eastAsia="zh-CN"/>
              </w:rPr>
              <w:t>8</w:t>
            </w:r>
            <w:r>
              <w:t>月</w:t>
            </w:r>
          </w:p>
        </w:tc>
      </w:tr>
    </w:tbl>
    <w:p w14:paraId="6BBD91F5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19" w:name="_Toc25884"/>
      <w:r>
        <w:rPr>
          <w:rFonts w:hint="eastAsia"/>
          <w:lang w:eastAsia="zh-CN"/>
        </w:rPr>
        <w:t>人员备份计划</w:t>
      </w:r>
      <w:bookmarkEnd w:id="18"/>
      <w:bookmarkEnd w:id="19"/>
    </w:p>
    <w:p w14:paraId="47CA0CCA">
      <w:pPr>
        <w:pStyle w:val="30"/>
        <w:keepNext w:val="0"/>
        <w:keepLines w:val="0"/>
        <w:pageBreakBefore w:val="0"/>
        <w:widowControl w:val="0"/>
        <w:wordWrap/>
        <w:overflowPunct/>
        <w:bidi w:val="0"/>
        <w:ind w:firstLine="480"/>
        <w:rPr>
          <w:rFonts w:eastAsia="宋体"/>
        </w:rPr>
      </w:pPr>
      <w:r>
        <w:t>人员备份工作由</w:t>
      </w:r>
      <w:r>
        <w:rPr>
          <w:rFonts w:hint="eastAsia"/>
        </w:rPr>
        <w:t>人力部</w:t>
      </w:r>
      <w:r>
        <w:t>负责开展，根据公司</w:t>
      </w:r>
      <w:bookmarkStart w:id="28" w:name="_GoBack"/>
      <w:bookmarkEnd w:id="28"/>
      <w:r>
        <w:t>经营计划和战略发展目标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2026年，</w:t>
      </w:r>
      <w:r>
        <w:t>公司通过对运维部经理、运维项目经理、软件运维工程师、研发项目经理</w:t>
      </w:r>
      <w:r>
        <w:rPr>
          <w:rFonts w:hint="eastAsia"/>
        </w:rPr>
        <w:t>4个</w:t>
      </w:r>
      <w:r>
        <w:t>运维关键岗位人员进行AB岗备</w:t>
      </w:r>
      <w:r>
        <w:rPr>
          <w:rFonts w:eastAsia="宋体"/>
        </w:rPr>
        <w:t>份，以解决因A岗由于休假、请假等原因不在岗时，由熟悉A岗业务的B岗代替其工作。</w:t>
      </w:r>
      <w:r>
        <w:rPr>
          <w:rFonts w:hint="eastAsia" w:eastAsia="宋体"/>
          <w:lang w:val="en-US" w:eastAsia="zh-CN"/>
        </w:rPr>
        <w:t>每年度对备份完成情况进行考核，要求备份计划完成率≥90%，计算方式为：年度实际备份人数/年度计划备份人数*100%。</w:t>
      </w:r>
      <w:r>
        <w:rPr>
          <w:rFonts w:hint="eastAsia" w:eastAsia="宋体"/>
        </w:rPr>
        <w:t>具体备份计划如图3-4所示</w:t>
      </w:r>
    </w:p>
    <w:p w14:paraId="57D5E116">
      <w:pPr>
        <w:pStyle w:val="44"/>
        <w:keepNext w:val="0"/>
        <w:keepLines w:val="0"/>
        <w:pageBreakBefore w:val="0"/>
        <w:widowControl w:val="0"/>
        <w:wordWrap/>
        <w:overflowPunct/>
        <w:bidi w:val="0"/>
        <w:jc w:val="center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 </w:instrText>
      </w:r>
      <w:r>
        <w:rPr>
          <w:rFonts w:hint="eastAsia"/>
        </w:rPr>
        <w:instrText xml:space="preserve">S</w:instrText>
      </w:r>
      <w:r>
        <w:instrText xml:space="preserve">TYLEREF "</w:instrText>
      </w:r>
      <w:r>
        <w:rPr>
          <w:rFonts w:hint="eastAsia"/>
        </w:rPr>
        <w:instrText xml:space="preserve">柴_标题1</w:instrText>
      </w:r>
      <w:r>
        <w:instrText xml:space="preserve">" \n \* Charformat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 xml:space="preserve">S</w:instrText>
      </w:r>
      <w:r>
        <w:instrText xml:space="preserve">EQ </w:instrText>
      </w:r>
      <w:r>
        <w:rPr>
          <w:rFonts w:hint="eastAsia"/>
        </w:rPr>
        <w:instrText xml:space="preserve">表</w:instrText>
      </w:r>
      <w:r>
        <w:instrText xml:space="preserve"> \* ARABIC \s 1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人员管理备份计划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"/>
        <w:gridCol w:w="2100"/>
        <w:gridCol w:w="2196"/>
        <w:gridCol w:w="1896"/>
      </w:tblGrid>
      <w:tr w14:paraId="59EDF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</w:tcPr>
          <w:p w14:paraId="2AC7B3BF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2100" w:type="dxa"/>
          </w:tcPr>
          <w:p w14:paraId="599F3E01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A岗</w:t>
            </w:r>
          </w:p>
        </w:tc>
        <w:tc>
          <w:tcPr>
            <w:tcW w:w="2196" w:type="dxa"/>
          </w:tcPr>
          <w:p w14:paraId="1AAF3027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B岗</w:t>
            </w:r>
          </w:p>
        </w:tc>
        <w:tc>
          <w:tcPr>
            <w:tcW w:w="1896" w:type="dxa"/>
          </w:tcPr>
          <w:p w14:paraId="72CE77E6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计划时间</w:t>
            </w:r>
          </w:p>
        </w:tc>
      </w:tr>
      <w:tr w14:paraId="3B32F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</w:tcPr>
          <w:p w14:paraId="398820B7">
            <w:pPr>
              <w:pStyle w:val="30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wordWrap/>
              <w:overflowPunct/>
              <w:bidi w:val="0"/>
              <w:ind w:left="0" w:firstLine="0" w:firstLineChars="0"/>
              <w:jc w:val="center"/>
            </w:pPr>
          </w:p>
        </w:tc>
        <w:tc>
          <w:tcPr>
            <w:tcW w:w="2100" w:type="dxa"/>
          </w:tcPr>
          <w:p w14:paraId="6BA97555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运维部经理</w:t>
            </w:r>
          </w:p>
        </w:tc>
        <w:tc>
          <w:tcPr>
            <w:tcW w:w="2196" w:type="dxa"/>
          </w:tcPr>
          <w:p w14:paraId="2C4F336E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运维项目经理</w:t>
            </w:r>
          </w:p>
        </w:tc>
        <w:tc>
          <w:tcPr>
            <w:tcW w:w="1896" w:type="dxa"/>
          </w:tcPr>
          <w:p w14:paraId="797832FE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月</w:t>
            </w:r>
          </w:p>
        </w:tc>
      </w:tr>
      <w:tr w14:paraId="17DE4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</w:tcPr>
          <w:p w14:paraId="1CB77470">
            <w:pPr>
              <w:pStyle w:val="30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wordWrap/>
              <w:overflowPunct/>
              <w:bidi w:val="0"/>
              <w:ind w:left="0" w:firstLine="0" w:firstLineChars="0"/>
              <w:jc w:val="center"/>
            </w:pPr>
          </w:p>
        </w:tc>
        <w:tc>
          <w:tcPr>
            <w:tcW w:w="2100" w:type="dxa"/>
          </w:tcPr>
          <w:p w14:paraId="41CE6BC2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运维项目经理</w:t>
            </w:r>
          </w:p>
        </w:tc>
        <w:tc>
          <w:tcPr>
            <w:tcW w:w="2196" w:type="dxa"/>
          </w:tcPr>
          <w:p w14:paraId="4CF274C7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运维实施工程师</w:t>
            </w:r>
          </w:p>
        </w:tc>
        <w:tc>
          <w:tcPr>
            <w:tcW w:w="1896" w:type="dxa"/>
          </w:tcPr>
          <w:p w14:paraId="1CD5B620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月</w:t>
            </w:r>
          </w:p>
        </w:tc>
      </w:tr>
      <w:tr w14:paraId="7A5EB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</w:tcPr>
          <w:p w14:paraId="16DFFAE2">
            <w:pPr>
              <w:pStyle w:val="30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wordWrap/>
              <w:overflowPunct/>
              <w:bidi w:val="0"/>
              <w:ind w:left="0" w:firstLine="0" w:firstLineChars="0"/>
              <w:jc w:val="center"/>
            </w:pPr>
          </w:p>
        </w:tc>
        <w:tc>
          <w:tcPr>
            <w:tcW w:w="2100" w:type="dxa"/>
          </w:tcPr>
          <w:p w14:paraId="604E7A1A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软件运维工程师</w:t>
            </w:r>
          </w:p>
        </w:tc>
        <w:tc>
          <w:tcPr>
            <w:tcW w:w="2196" w:type="dxa"/>
          </w:tcPr>
          <w:p w14:paraId="2E249ACF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运维实施工程师</w:t>
            </w:r>
          </w:p>
        </w:tc>
        <w:tc>
          <w:tcPr>
            <w:tcW w:w="1896" w:type="dxa"/>
          </w:tcPr>
          <w:p w14:paraId="581DDBE0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2026年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>月</w:t>
            </w:r>
          </w:p>
        </w:tc>
      </w:tr>
      <w:tr w14:paraId="32957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</w:tcPr>
          <w:p w14:paraId="4FD32DAA">
            <w:pPr>
              <w:pStyle w:val="30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wordWrap/>
              <w:overflowPunct/>
              <w:bidi w:val="0"/>
              <w:ind w:left="0" w:firstLine="0" w:firstLineChars="0"/>
              <w:jc w:val="center"/>
            </w:pPr>
          </w:p>
        </w:tc>
        <w:tc>
          <w:tcPr>
            <w:tcW w:w="2100" w:type="dxa"/>
          </w:tcPr>
          <w:p w14:paraId="54881090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研发项目经理</w:t>
            </w:r>
          </w:p>
        </w:tc>
        <w:tc>
          <w:tcPr>
            <w:tcW w:w="2196" w:type="dxa"/>
          </w:tcPr>
          <w:p w14:paraId="4FCC3EEB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研发工程师</w:t>
            </w:r>
          </w:p>
        </w:tc>
        <w:tc>
          <w:tcPr>
            <w:tcW w:w="1896" w:type="dxa"/>
          </w:tcPr>
          <w:p w14:paraId="5B4756B0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2026年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月</w:t>
            </w:r>
          </w:p>
        </w:tc>
      </w:tr>
    </w:tbl>
    <w:p w14:paraId="36408AD4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20" w:name="_Toc26944"/>
      <w:bookmarkStart w:id="21" w:name="_Toc24240"/>
      <w:r>
        <w:rPr>
          <w:rFonts w:hint="eastAsia"/>
          <w:lang w:eastAsia="zh-CN"/>
        </w:rPr>
        <w:t>人员绩效考核计划</w:t>
      </w:r>
      <w:bookmarkEnd w:id="20"/>
      <w:bookmarkEnd w:id="21"/>
    </w:p>
    <w:p w14:paraId="570E58E0">
      <w:pPr>
        <w:pStyle w:val="30"/>
        <w:keepNext w:val="0"/>
        <w:keepLines w:val="0"/>
        <w:pageBreakBefore w:val="0"/>
        <w:widowControl w:val="0"/>
        <w:wordWrap/>
        <w:overflowPunct/>
        <w:bidi w:val="0"/>
        <w:ind w:firstLine="480"/>
        <w:rPr>
          <w:rFonts w:eastAsia="宋体"/>
        </w:rPr>
      </w:pPr>
      <w:r>
        <w:t>建立</w:t>
      </w:r>
      <w:r>
        <w:rPr>
          <w:rFonts w:hint="eastAsia"/>
        </w:rPr>
        <w:t>人员</w:t>
      </w:r>
      <w:r>
        <w:t>绩效考核管理体系，以满足运维业务开展、发展对人力资源的需求，并提供必要的途径及手段，激励员工技能</w:t>
      </w:r>
      <w:r>
        <w:rPr>
          <w:rFonts w:eastAsia="宋体"/>
        </w:rPr>
        <w:t>的提高和价值的实现。</w:t>
      </w:r>
    </w:p>
    <w:p w14:paraId="786A248C">
      <w:pPr>
        <w:pStyle w:val="30"/>
        <w:keepNext w:val="0"/>
        <w:keepLines w:val="0"/>
        <w:pageBreakBefore w:val="0"/>
        <w:widowControl w:val="0"/>
        <w:wordWrap/>
        <w:overflowPunct/>
        <w:bidi w:val="0"/>
        <w:ind w:firstLine="480"/>
        <w:rPr>
          <w:rFonts w:hint="eastAsia" w:eastAsia="宋体"/>
          <w:lang w:val="en-US" w:eastAsia="zh-CN"/>
        </w:rPr>
      </w:pPr>
      <w:r>
        <w:rPr>
          <w:rFonts w:eastAsia="宋体"/>
        </w:rPr>
        <w:t>每季度在运维部会议上公开绩效考核成绩，让员工更加清楚自己的绩效情况，做到公平、公正、公开。要求绩效考核合格率≥95%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计算方式为：</w:t>
      </w:r>
      <w:r>
        <w:rPr>
          <w:rFonts w:hint="eastAsia" w:eastAsia="宋体"/>
        </w:rPr>
        <w:t>绩效考核合格人数/参与考核人员总数*100%</w:t>
      </w:r>
      <w:r>
        <w:rPr>
          <w:rFonts w:hint="eastAsia" w:eastAsia="宋体"/>
          <w:lang w:eastAsia="zh-CN"/>
        </w:rPr>
        <w:t>。</w:t>
      </w:r>
    </w:p>
    <w:p w14:paraId="5B2B6289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22" w:name="_Toc4614"/>
      <w:bookmarkStart w:id="23" w:name="_Toc30094"/>
      <w:r>
        <w:rPr>
          <w:rFonts w:hint="eastAsia"/>
          <w:lang w:eastAsia="zh-CN"/>
        </w:rPr>
        <w:t>人员岗位结构计划</w:t>
      </w:r>
      <w:bookmarkEnd w:id="22"/>
      <w:bookmarkEnd w:id="23"/>
    </w:p>
    <w:p w14:paraId="45165E22">
      <w:pPr>
        <w:pStyle w:val="30"/>
        <w:keepNext w:val="0"/>
        <w:keepLines w:val="0"/>
        <w:pageBreakBefore w:val="0"/>
        <w:widowControl w:val="0"/>
        <w:wordWrap/>
        <w:overflowPunct/>
        <w:bidi w:val="0"/>
        <w:ind w:firstLine="480"/>
      </w:pPr>
      <w:r>
        <w:t>根据组织架构及公司运维服务目录，制定管理岗、技术岗和操作岗对应的岗位。</w:t>
      </w:r>
    </w:p>
    <w:p w14:paraId="3E0F07BB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经费使用计划</w:t>
      </w:r>
    </w:p>
    <w:p w14:paraId="4984A4FE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本年度人员管理费用预算总额为12,000元，全部用于外部培训及人员招聘。</w:t>
      </w:r>
    </w:p>
    <w:p w14:paraId="2021F37D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培训费用共计10,000元，用于202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年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月举办的ITSS标准理解与应用培训（5,000元）及202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年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月举办的项目经理技能培训（5,000元），主要支出为外聘讲师课时费、培训教材费及场地费。</w:t>
      </w:r>
    </w:p>
    <w:p w14:paraId="64DCB2F2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招聘费用共计2,000元，用于软件运维工程师（1,000元）及研发工程师（1,000元）的招聘工作，主要支出为招聘平台会员费、简历下载费及面试组织费。</w:t>
      </w:r>
    </w:p>
    <w:p w14:paraId="6CE9338A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费用使用由人力部统筹管理，按公司财务制度执行预算申请、审批、报销及记录流程，确保年度预算执行率不低于90%。</w:t>
      </w:r>
    </w:p>
    <w:p w14:paraId="25828AB6">
      <w:pPr>
        <w:pStyle w:val="29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24" w:name="_Toc12142"/>
      <w:bookmarkStart w:id="25" w:name="_Toc7636"/>
      <w:r>
        <w:t>附则</w:t>
      </w:r>
      <w:bookmarkEnd w:id="24"/>
      <w:bookmarkEnd w:id="25"/>
    </w:p>
    <w:p w14:paraId="5B03ADE7">
      <w:pPr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topLinePunct/>
        <w:bidi w:val="0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spacing w:val="-1"/>
          <w:sz w:val="24"/>
          <w:szCs w:val="24"/>
          <w:lang w:eastAsia="zh-CN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人力部</w:t>
      </w:r>
      <w:r>
        <w:rPr>
          <w:rFonts w:ascii="宋体" w:hAnsi="宋体" w:cs="宋体"/>
          <w:spacing w:val="-1"/>
          <w:sz w:val="24"/>
          <w:szCs w:val="24"/>
          <w:lang w:eastAsia="zh-CN"/>
        </w:rPr>
        <w:t>。</w:t>
      </w:r>
    </w:p>
    <w:p w14:paraId="60A88A22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26" w:name="_Toc14157"/>
      <w:r>
        <w:rPr>
          <w:rFonts w:hint="eastAsia"/>
          <w:lang w:eastAsia="zh-CN"/>
        </w:rPr>
        <w:t>附件</w:t>
      </w:r>
      <w:bookmarkEnd w:id="26"/>
    </w:p>
    <w:p w14:paraId="47A15AAF">
      <w:pPr>
        <w:pStyle w:val="30"/>
        <w:keepNext w:val="0"/>
        <w:keepLines w:val="0"/>
        <w:pageBreakBefore w:val="0"/>
        <w:widowControl w:val="0"/>
        <w:wordWrap/>
        <w:overflowPunct/>
        <w:bidi w:val="0"/>
        <w:ind w:firstLine="480"/>
      </w:pPr>
      <w:r>
        <w:rPr>
          <w:rFonts w:hint="eastAsia"/>
        </w:rPr>
        <w:t>无</w:t>
      </w:r>
    </w:p>
    <w:p w14:paraId="7AEA0B2F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27" w:name="_Toc26927"/>
      <w:r>
        <w:rPr>
          <w:rFonts w:hint="eastAsia"/>
          <w:lang w:eastAsia="zh-CN"/>
        </w:rPr>
        <w:t>记录</w:t>
      </w:r>
      <w:bookmarkEnd w:id="27"/>
    </w:p>
    <w:p w14:paraId="606FB242">
      <w:pPr>
        <w:pStyle w:val="30"/>
        <w:keepNext w:val="0"/>
        <w:keepLines w:val="0"/>
        <w:pageBreakBefore w:val="0"/>
        <w:widowControl w:val="0"/>
        <w:wordWrap/>
        <w:overflowPunct/>
        <w:bidi w:val="0"/>
        <w:ind w:firstLine="480"/>
      </w:pPr>
      <w:r>
        <w:rPr>
          <w:rFonts w:hint="eastAsia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E38ED1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E244970"/>
    <w:multiLevelType w:val="singleLevel"/>
    <w:tmpl w:val="2E24497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E9CC961"/>
    <w:multiLevelType w:val="singleLevel"/>
    <w:tmpl w:val="3E9CC96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51FDF0A"/>
    <w:multiLevelType w:val="singleLevel"/>
    <w:tmpl w:val="451FDF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123DCA"/>
    <w:rsid w:val="03F36F8D"/>
    <w:rsid w:val="07DC6755"/>
    <w:rsid w:val="0BAB4F7F"/>
    <w:rsid w:val="0CA35A93"/>
    <w:rsid w:val="10B31B3B"/>
    <w:rsid w:val="10D41CDF"/>
    <w:rsid w:val="170E7AC9"/>
    <w:rsid w:val="17AC04B0"/>
    <w:rsid w:val="193D7D15"/>
    <w:rsid w:val="20250841"/>
    <w:rsid w:val="25307707"/>
    <w:rsid w:val="26797B39"/>
    <w:rsid w:val="26DF0807"/>
    <w:rsid w:val="286A4E74"/>
    <w:rsid w:val="2F3A3BDD"/>
    <w:rsid w:val="31853836"/>
    <w:rsid w:val="392A6A70"/>
    <w:rsid w:val="47725D91"/>
    <w:rsid w:val="485B6C46"/>
    <w:rsid w:val="4BA20C31"/>
    <w:rsid w:val="4C765DFD"/>
    <w:rsid w:val="670C072B"/>
    <w:rsid w:val="6B771FCA"/>
    <w:rsid w:val="6CEC63DA"/>
    <w:rsid w:val="77FE4E6E"/>
    <w:rsid w:val="7A505630"/>
    <w:rsid w:val="7B881E48"/>
    <w:rsid w:val="7EA5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paragraph" w:customStyle="1" w:styleId="25">
    <w:name w:val="柴_公司名"/>
    <w:basedOn w:val="20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6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sz w:val="32"/>
    </w:rPr>
  </w:style>
  <w:style w:type="paragraph" w:customStyle="1" w:styleId="30">
    <w:name w:val="柴_正文"/>
    <w:basedOn w:val="12"/>
    <w:link w:val="46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character" w:customStyle="1" w:styleId="40">
    <w:name w:val="柴_题注 Char"/>
    <w:link w:val="41"/>
    <w:qFormat/>
    <w:uiPriority w:val="0"/>
  </w:style>
  <w:style w:type="paragraph" w:customStyle="1" w:styleId="41">
    <w:name w:val="柴_题注"/>
    <w:basedOn w:val="18"/>
    <w:link w:val="40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  <w:style w:type="character" w:customStyle="1" w:styleId="42">
    <w:name w:val="font11"/>
    <w:basedOn w:val="23"/>
    <w:qFormat/>
    <w:uiPriority w:val="0"/>
    <w:rPr>
      <w:rFonts w:hint="eastAsia" w:ascii="宋体" w:hAnsi="宋体" w:eastAsia="宋体" w:cs="宋体"/>
      <w:color w:val="000000"/>
      <w:sz w:val="16"/>
      <w:szCs w:val="16"/>
      <w:u w:val="none"/>
    </w:rPr>
  </w:style>
  <w:style w:type="table" w:customStyle="1" w:styleId="43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4">
    <w:name w:val="柴_正文_无缩进"/>
    <w:basedOn w:val="1"/>
    <w:link w:val="47"/>
    <w:qFormat/>
    <w:uiPriority w:val="0"/>
    <w:rPr>
      <w:sz w:val="24"/>
      <w:lang w:eastAsia="zh-CN"/>
    </w:rPr>
  </w:style>
  <w:style w:type="paragraph" w:customStyle="1" w:styleId="45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6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character" w:customStyle="1" w:styleId="47">
    <w:name w:val="柴_正文_无缩进 Char"/>
    <w:link w:val="44"/>
    <w:qFormat/>
    <w:uiPriority w:val="0"/>
    <w:rPr>
      <w:rFonts w:ascii="Arial" w:hAnsi="Arial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2773</Words>
  <Characters>3105</Characters>
  <Lines>163</Lines>
  <Paragraphs>193</Paragraphs>
  <TotalTime>152</TotalTime>
  <ScaleCrop>false</ScaleCrop>
  <LinksUpToDate>false</LinksUpToDate>
  <CharactersWithSpaces>3171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2026-08-23T18:08:35Z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