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19167"/>
      <w:r>
        <w:rPr>
          <w:rFonts w:hint="eastAsia"/>
          <w:lang w:val="en-US" w:eastAsia="zh-CN"/>
        </w:rPr>
        <w:t>西安泽玺信息科技有限公司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5133"/>
      <w:r>
        <w:rPr>
          <w:rFonts w:hint="eastAsia"/>
          <w:lang w:val="en-US" w:eastAsia="zh-CN"/>
        </w:rPr>
        <w:t>发布管理制度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2584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丁嘉涛</w:t>
            </w:r>
          </w:p>
        </w:tc>
        <w:tc>
          <w:tcPr>
            <w:tcW w:w="2584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25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2584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_Toc19167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_Toc15133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_Toc27927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_Toc22030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_Toc27409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发布管理流程</w:t>
          </w:r>
          <w:r>
            <w:tab/>
          </w:r>
          <w:r>
            <w:fldChar w:fldCharType="begin"/>
          </w:r>
          <w:r>
            <w:instrText xml:space="preserve"> PAGEREF _Toc23537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_Toc30796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_Toc30796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构建测试环境、测试和验收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上线规划</w:t>
          </w:r>
          <w:r>
            <w:tab/>
          </w:r>
          <w:r>
            <w:fldChar w:fldCharType="begin"/>
          </w:r>
          <w:r>
            <w:instrText xml:space="preserve"> PAGEREF _Toc18009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上线审批</w:t>
          </w:r>
          <w:r>
            <w:tab/>
          </w:r>
          <w:r>
            <w:fldChar w:fldCharType="begin"/>
          </w:r>
          <w:r>
            <w:instrText xml:space="preserve"> PAGEREF _Toc9299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5.1.6. </w:t>
          </w:r>
          <w:r>
            <w:t>沟通和培训</w:t>
          </w:r>
          <w:r>
            <w:tab/>
          </w:r>
          <w:r>
            <w:fldChar w:fldCharType="begin"/>
          </w:r>
          <w:r>
            <w:instrText xml:space="preserve"> PAGEREF _Toc23329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5.1.7. </w:t>
          </w:r>
          <w:r>
            <w:t>分发和部署</w:t>
          </w:r>
          <w:r>
            <w:tab/>
          </w:r>
          <w:r>
            <w:fldChar w:fldCharType="begin"/>
          </w:r>
          <w:r>
            <w:instrText xml:space="preserve"> PAGEREF _Toc12787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5.1.8. </w:t>
          </w:r>
          <w:r>
            <w:rPr>
              <w:rFonts w:hint="eastAsia"/>
              <w:lang w:val="en-US" w:eastAsia="zh-CN"/>
            </w:rPr>
            <w:t>发布回退</w:t>
          </w:r>
          <w:r>
            <w:tab/>
          </w:r>
          <w:r>
            <w:fldChar w:fldCharType="begin"/>
          </w:r>
          <w:r>
            <w:instrText xml:space="preserve"> PAGEREF _Toc13182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5.1.9.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_Toc30153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5.1.10.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_Toc3925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_Toc16857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_Toc11976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_Toc6232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_Toc26613"/>
      <w:r>
        <w:t>目的</w:t>
      </w:r>
      <w:bookmarkEnd w:id="3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为达到规范服务组件发布流程、确保交付质量、有效控制变更风险及保障业务连续稳定运行的目的，特制定此制度。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23846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发布管理原则应遵循</w:t>
      </w:r>
      <w:r>
        <w:rPr>
          <w:rFonts w:hint="default"/>
        </w:rPr>
        <w:t>流程标准化、风险可控化、审批规范化，确保所有发布活动经充分测试、授权及备有回退方案。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5" w:name="_Toc27927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公司部署的信息系统版本升级发布，包括信息系统集成项目和软件运维项目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70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2030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负责发布流程所有具体活动的协调、监控工作；制定发布计划，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负责编写《发布报告》和《发布评估报告》；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负责发布的审批；对发布流程定期进行回顾，进行优化改善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27409"/>
      <w:r>
        <w:rPr>
          <w:rFonts w:hint="eastAsia"/>
          <w:lang w:val="en-US" w:eastAsia="zh-CN"/>
        </w:rPr>
        <w:t>运维实施工程师</w:t>
      </w:r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负责对系统的软、硬件系统功能的编译实现、产品包的制作，负责系统的安装、调试等实施工作。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  <w:r>
        <w:rPr>
          <w:rFonts w:hint="eastAsia"/>
          <w:lang w:eastAsia="zh-CN"/>
        </w:rPr>
        <w:t>、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执行单元程测试，对缺陷进行记录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3537"/>
      <w:r>
        <w:rPr>
          <w:rFonts w:hint="eastAsia"/>
          <w:lang w:val="en-US" w:eastAsia="zh-CN"/>
        </w:rPr>
        <w:t>发布管理流程</w:t>
      </w:r>
      <w:bookmarkEnd w:id="9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发布流程如5-1所示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</w:p>
    <w:p>
      <w:pPr>
        <w:pStyle w:val="a1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发布管理流程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Style w:val="2Char"/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20.15pt;width:400.8pt" o:oleicon="f" o:ole="" coordsize="21600,21600" o:preferrelative="t" filled="f" stroked="f">
            <v:stroke joinstyle="miter"/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  <w:r>
        <w:rPr>
          <w:rStyle w:val="2Char"/>
          <w:rFonts w:hint="eastAsia"/>
          <w:lang w:val="en-US" w:eastAsia="zh-CN"/>
        </w:rPr>
        <w:t>流程说明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0" w:name="_Toc3208"/>
      <w:r>
        <w:t>制定发布方案</w:t>
      </w:r>
      <w:bookmarkEnd w:id="10"/>
    </w:p>
    <w:p>
      <w:pPr>
        <w:pStyle w:val="a3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运维实施工程师</w:t>
      </w:r>
      <w:r>
        <w:t>根据变更计划制定《发布方案》，发布方案一般包括：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描述发布的目的和背景；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描述发布影响范围；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确定参与发布的部门及人员；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对客户和服务支持人员的交流、准备、备案和培训；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确定测试、培训、客服支持、现场部署等工作计划，包含上线规划；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安排部署完成的后续工作计划；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确定在发布失败情况下的退回方案；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可预见问题以及相应的解决方法；</w:t>
      </w:r>
    </w:p>
    <w:p>
      <w:pPr>
        <w:pStyle w:val="a3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hanging="425" w:leftChars="0" w:firstLineChars="0"/>
      </w:pPr>
      <w:r>
        <w:t>确定与软、硬件有关的配置基线。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1" w:name="_Toc30796"/>
      <w:bookmarkStart w:id="12" w:name="_Toc21080"/>
      <w:r>
        <w:t>发布方案评审</w:t>
      </w:r>
      <w:bookmarkEnd w:id="11"/>
      <w:bookmarkEnd w:id="12"/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由</w:t>
      </w:r>
      <w:r>
        <w:rPr>
          <w:rFonts w:hint="eastAsia"/>
          <w:lang w:val="en-US" w:eastAsia="zh-CN"/>
        </w:rPr>
        <w:t>运维实施工程师</w:t>
      </w:r>
      <w:r>
        <w:t>牵头，各发布有关部门负责人参与评审发布方案，评审通过后实施。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3" w:name="bookmark15"/>
      <w:bookmarkEnd w:id="13"/>
      <w:bookmarkStart w:id="14" w:name="_Toc26329"/>
      <w:r>
        <w:t>构建测试环境、测试和验收</w:t>
      </w:r>
      <w:bookmarkEnd w:id="14"/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hanging="425" w:leftChars="0" w:firstLineChars="0"/>
      </w:pPr>
      <w:r>
        <w:t>根据方案，在实施之前如果需要内部测试，需要</w:t>
      </w:r>
      <w:r>
        <w:rPr>
          <w:rFonts w:hint="eastAsia"/>
          <w:lang w:val="en-US" w:eastAsia="zh-CN"/>
        </w:rPr>
        <w:t>运维实施工程师</w:t>
      </w:r>
      <w:r>
        <w:t>根据发布方案搭建测试环境。内部测试，包括软件功能测试以及安装流程等方面的测试。测试完成后则完成系统程序的验收。测试和验收结果将在《发布测试报告》中体现。测试结果得到运维部</w:t>
      </w:r>
      <w:r>
        <w:rPr>
          <w:rFonts w:hint="eastAsia"/>
          <w:lang w:val="en-US" w:eastAsia="zh-CN"/>
        </w:rPr>
        <w:t>经理</w:t>
      </w:r>
      <w:r>
        <w:t>与研发部</w:t>
      </w:r>
      <w:r>
        <w:rPr>
          <w:rFonts w:hint="eastAsia"/>
          <w:lang w:val="en-US" w:eastAsia="zh-CN"/>
        </w:rPr>
        <w:t>经理</w:t>
      </w:r>
      <w:r>
        <w:t>认可后安排上线。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5" w:name="bookmark16"/>
      <w:bookmarkEnd w:id="15"/>
      <w:bookmarkStart w:id="16" w:name="_Toc18009"/>
      <w:r>
        <w:t>上线规划</w:t>
      </w:r>
      <w:bookmarkEnd w:id="16"/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通常情况下发布方案包括上线计划，即在发布方案中已经确定了上线计划，个别重大发布可对原有《发布方案》中计划的拓展，其中要说明安装和测试预期结果，并制作详细的上线时间安排、工作安排和详细的上线步骤、回退计划等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7" w:name="bookmark17"/>
      <w:bookmarkEnd w:id="17"/>
      <w:bookmarkStart w:id="18" w:name="_Toc9299"/>
      <w:r>
        <w:t>上线审批</w:t>
      </w:r>
      <w:bookmarkEnd w:id="18"/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通常情况下《发布方案》包含《上线计划》，因此在方案审批时已对《上线计划》也同时确认。</w:t>
      </w:r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若有单独制作《上线计划》的， 由</w:t>
      </w:r>
      <w:r>
        <w:rPr>
          <w:rFonts w:hint="eastAsia"/>
          <w:lang w:val="en-US" w:eastAsia="zh-CN"/>
        </w:rPr>
        <w:t>运维实施工程师</w:t>
      </w:r>
      <w:r>
        <w:t>提交运维部</w:t>
      </w:r>
      <w:r>
        <w:rPr>
          <w:rFonts w:hint="eastAsia"/>
          <w:lang w:val="en-US" w:eastAsia="zh-CN"/>
        </w:rPr>
        <w:t>经理</w:t>
      </w:r>
      <w:r>
        <w:t>审核确认后发布。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9" w:name="bookmark18"/>
      <w:bookmarkEnd w:id="19"/>
      <w:bookmarkStart w:id="20" w:name="_Toc23329"/>
      <w:r>
        <w:t>沟通和培训</w:t>
      </w:r>
      <w:bookmarkEnd w:id="20"/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系统版本升级部署前，需要对服务支持人员进行沟通、知识更新培训，保障发布后的客服支持工作；需要对企业用户相关人员进行沟通和培训，发布上线通知，使得用户明确软件上线后对其工作有何影响，必要时对用户进行培训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1" w:name="_Toc12787"/>
      <w:r>
        <w:t>分发和部署</w:t>
      </w:r>
      <w:bookmarkEnd w:id="21"/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经过环境构建、测试和试运行后，可进行软件的上线部署工作。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更新配置库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发布实施完成后，</w:t>
      </w:r>
      <w:r>
        <w:rPr>
          <w:rFonts w:hint="eastAsia"/>
          <w:lang w:val="en-US" w:eastAsia="zh-CN"/>
        </w:rPr>
        <w:t>运维实施工程师</w:t>
      </w:r>
      <w:r>
        <w:t>更新配置库的配置项信息。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hanging="425" w:leftChars="0" w:firstLineChars="0"/>
      </w:pPr>
      <w:r>
        <w:t>参照《配置管理过程》。</w:t>
      </w:r>
    </w:p>
    <w:p>
      <w:pPr>
        <w:pStyle w:val="3"/>
        <w:bidi w:val="0"/>
      </w:pPr>
      <w:bookmarkStart w:id="22" w:name="_Toc13182"/>
      <w:r>
        <w:rPr>
          <w:rFonts w:hint="eastAsia"/>
          <w:lang w:val="en-US" w:eastAsia="zh-CN"/>
        </w:rPr>
        <w:t>发布回退</w:t>
      </w:r>
      <w:bookmarkEnd w:id="22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如果发布失败，需要进行发布回退步骤</w:t>
      </w:r>
    </w:p>
    <w:p>
      <w:pPr>
        <w:pStyle w:val="a1"/>
        <w:rPr>
          <w:rFonts w:hint="eastAsia"/>
        </w:rPr>
      </w:pPr>
      <w:r>
        <w:rPr>
          <w:rFonts w:hint="eastAsia"/>
        </w:rPr>
        <w:t>应用回滚：将应用版本快速切换至上一稳定版本。</w:t>
      </w:r>
    </w:p>
    <w:p>
      <w:pPr>
        <w:pStyle w:val="a1"/>
        <w:rPr>
          <w:rFonts w:hint="eastAsia"/>
        </w:rPr>
      </w:pPr>
      <w:r>
        <w:rPr>
          <w:rFonts w:hint="eastAsia"/>
        </w:rPr>
        <w:t>数据回退：若发布涉及数据库结构或数据迁移，执行预制的数据回退脚本或恢复备份。</w:t>
      </w:r>
    </w:p>
    <w:p>
      <w:pPr>
        <w:pStyle w:val="a1"/>
        <w:rPr>
          <w:rFonts w:hint="eastAsia"/>
        </w:rPr>
      </w:pPr>
      <w:r>
        <w:rPr>
          <w:rFonts w:hint="eastAsia"/>
        </w:rPr>
        <w:t>配置还原：将所有相关配置项恢复至发布前状态。</w:t>
      </w:r>
    </w:p>
    <w:p>
      <w:pPr>
        <w:pStyle w:val="a1"/>
        <w:rPr>
          <w:rFonts w:hint="eastAsia"/>
        </w:rPr>
      </w:pPr>
      <w:r>
        <w:rPr>
          <w:rFonts w:hint="eastAsia"/>
        </w:rPr>
        <w:t>验证与恢复：验证回退后系统核心功能与数据一致性。服务台/监控确认服务恢复后，向用户发送恢复通知。</w:t>
      </w:r>
    </w:p>
    <w:p>
      <w:pPr>
        <w:pStyle w:val="a1"/>
      </w:pPr>
      <w:r>
        <w:rPr>
          <w:rFonts w:hint="eastAsia"/>
        </w:rPr>
        <w:t>复盘与改进：发布后 24小时内 进行复盘，分析失败原因，优化发布与回退方案。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3" w:name="bookmark20"/>
      <w:bookmarkEnd w:id="23"/>
      <w:bookmarkStart w:id="24" w:name="_Toc30153"/>
      <w:r>
        <w:t>发布关闭</w:t>
      </w:r>
      <w:bookmarkEnd w:id="24"/>
    </w:p>
    <w:p>
      <w:pPr>
        <w:pStyle w:val="a3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运维实施工程师</w:t>
      </w:r>
      <w:r>
        <w:t>整理发布资料，对资料归档，最后关闭。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5" w:name="bookmark21"/>
      <w:bookmarkEnd w:id="25"/>
      <w:bookmarkStart w:id="26" w:name="_Toc3925"/>
      <w:r>
        <w:t>发布报告</w:t>
      </w:r>
      <w:bookmarkEnd w:id="26"/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发布完成后，每季度对用户提出的因为升级导致的错误或问题，由技术人员收集如下的信息：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发布引起的事件或问题数量；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发布成功率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hanging="425" w:leftChars="0" w:firstLineChars="0"/>
      </w:pPr>
      <w:r>
        <w:t>对发布数据进行分析，找出存在的问题，并提出纠正或预防措施，编写出《发布报告》，成为服务报告的一部分。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7" w:name="_Toc6088"/>
      <w:bookmarkStart w:id="28" w:name="_Toc16857"/>
      <w:r>
        <w:t>考核指标</w:t>
      </w:r>
      <w:bookmarkEnd w:id="27"/>
      <w:bookmarkEnd w:id="28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77"/>
        <w:gridCol w:w="882"/>
        <w:gridCol w:w="12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377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882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260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指标要求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/>
        </w:trPr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发布实施成功率</w:t>
            </w:r>
          </w:p>
        </w:tc>
        <w:tc>
          <w:tcPr>
            <w:tcW w:w="3377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发布实施成功总数/发布实施总数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882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260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9" w:name="bookmark3"/>
      <w:bookmarkEnd w:id="29"/>
      <w:bookmarkStart w:id="30" w:name="_Toc2949"/>
      <w:bookmarkStart w:id="31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0"/>
      <w:bookmarkEnd w:id="31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2" w:name="bookmark14"/>
      <w:bookmarkEnd w:id="32"/>
      <w:bookmarkStart w:id="33" w:name="_Toc3099"/>
      <w:bookmarkStart w:id="34" w:name="_Toc11976"/>
      <w:r>
        <w:rPr>
          <w:rFonts w:hint="eastAsia"/>
          <w:lang w:val="en-US" w:eastAsia="zh-CN"/>
        </w:rPr>
        <w:t>附件</w:t>
      </w:r>
      <w:bookmarkEnd w:id="33"/>
      <w:bookmarkEnd w:id="34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5" w:name="_Toc6232"/>
      <w:r>
        <w:rPr>
          <w:rFonts w:hint="eastAsia"/>
          <w:lang w:val="en-US" w:eastAsia="zh-CN"/>
        </w:rPr>
        <w:t>记录</w:t>
      </w:r>
      <w:bookmarkEnd w:id="35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《发布方案》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《发布测试报告》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《发布报告》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AE75FF"/>
    <w:multiLevelType w:val="singleLevel"/>
    <w:tmpl w:val="A1AE75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0D46BF"/>
    <w:multiLevelType w:val="singleLevel"/>
    <w:tmpl w:val="A50D46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449EA3"/>
    <w:multiLevelType w:val="singleLevel"/>
    <w:tmpl w:val="AC449E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978E7DE"/>
    <w:multiLevelType w:val="singleLevel"/>
    <w:tmpl w:val="B978E7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167C790"/>
    <w:multiLevelType w:val="singleLevel"/>
    <w:tmpl w:val="D167C7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64392B3"/>
    <w:multiLevelType w:val="singleLevel"/>
    <w:tmpl w:val="164392B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6EE4F22"/>
    <w:multiLevelType w:val="singleLevel"/>
    <w:tmpl w:val="26EE4F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2688B41"/>
    <w:multiLevelType w:val="singleLevel"/>
    <w:tmpl w:val="52688B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4EE5127"/>
    <w:multiLevelType w:val="singleLevel"/>
    <w:tmpl w:val="64EE51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985D86A"/>
    <w:multiLevelType w:val="singleLevel"/>
    <w:tmpl w:val="6985D8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1828</Words>
  <Characters>1956</Characters>
  <Application>Microsoft Office Word</Application>
  <DocSecurity>0</DocSecurity>
  <Lines>0</Lines>
  <Paragraphs>0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2026-06-03T13:46:04Z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