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DDCB5">
      <w:pPr>
        <w:keepNext w:val="0"/>
        <w:keepLines w:val="0"/>
        <w:pageBreakBefore w:val="0"/>
        <w:widowControl w:val="0"/>
        <w:kinsoku/>
        <w:wordWrap/>
        <w:overflowPunct/>
        <w:topLinePunct/>
        <w:bidi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2-07</w:t>
      </w:r>
    </w:p>
    <w:p w14:paraId="001A0BD3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5DBBE087">
      <w:pPr>
        <w:pStyle w:val="24"/>
        <w:keepNext w:val="0"/>
        <w:keepLines w:val="0"/>
        <w:pageBreakBefore w:val="0"/>
        <w:widowControl w:val="0"/>
        <w:kinsoku/>
        <w:wordWrap/>
        <w:overflowPunct/>
        <w:topLinePunct/>
        <w:bidi w:val="0"/>
        <w:spacing w:after="1872"/>
        <w:rPr>
          <w:lang w:eastAsia="zh-CN"/>
        </w:rPr>
      </w:pPr>
      <w:bookmarkStart w:id="0" w:name="_Toc22278"/>
      <w:bookmarkStart w:id="1" w:name="_Toc16086"/>
      <w:r>
        <w:rPr>
          <w:lang w:eastAsia="zh-CN"/>
        </w:rPr>
        <w:t>西安泽玺信息科技有限公司</w:t>
      </w:r>
      <w:bookmarkEnd w:id="0"/>
      <w:bookmarkEnd w:id="1"/>
    </w:p>
    <w:p w14:paraId="6F3BC80E">
      <w:pPr>
        <w:pStyle w:val="25"/>
        <w:keepNext w:val="0"/>
        <w:keepLines w:val="0"/>
        <w:pageBreakBefore w:val="0"/>
        <w:widowControl w:val="0"/>
        <w:kinsoku/>
        <w:wordWrap/>
        <w:overflowPunct/>
        <w:topLinePunct/>
        <w:bidi w:val="0"/>
        <w:spacing w:after="2808"/>
        <w:rPr>
          <w:rFonts w:hint="eastAsia"/>
          <w:sz w:val="44"/>
          <w:szCs w:val="44"/>
          <w:lang w:eastAsia="zh-CN"/>
        </w:rPr>
      </w:pPr>
      <w:bookmarkStart w:id="2" w:name="_Toc28522"/>
      <w:r>
        <w:rPr>
          <w:rFonts w:hint="eastAsia"/>
          <w:sz w:val="44"/>
          <w:szCs w:val="44"/>
          <w:lang w:eastAsia="zh-CN"/>
        </w:rPr>
        <w:t>银川输油气分公司2026年度桌面及信息网络综合运维技术服务项目信息安全管理报告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4080"/>
      </w:tblGrid>
      <w:tr w14:paraId="13398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B504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428040180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563C0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14:paraId="5FE81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7A56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28FB3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14:paraId="46327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8AA0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5EF88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</w:tbl>
    <w:p w14:paraId="0898E909">
      <w:pPr>
        <w:keepNext w:val="0"/>
        <w:keepLines w:val="0"/>
        <w:pageBreakBefore w:val="0"/>
        <w:widowControl w:val="0"/>
        <w:kinsoku/>
        <w:wordWrap/>
        <w:overflowPunct/>
        <w:topLinePunct/>
        <w:bidi w:val="0"/>
      </w:pPr>
      <w:r>
        <w:br w:type="page"/>
      </w:r>
    </w:p>
    <w:p w14:paraId="37155272">
      <w:pPr>
        <w:keepNext w:val="0"/>
        <w:keepLines w:val="0"/>
        <w:pageBreakBefore w:val="0"/>
        <w:widowControl w:val="0"/>
        <w:kinsoku/>
        <w:wordWrap/>
        <w:overflowPunct/>
        <w:topLinePunct/>
        <w:bidi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FC246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44D06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289D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C6A0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36920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D22F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28B6D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6B189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FD9A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7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3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4EC090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BF8E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A1F41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58440C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01142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3B6CB7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CFE56CC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2F8E1B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2626AB5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2BA66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489F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22E65B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</w:tr>
      <w:tr w14:paraId="3F334C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476742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F04199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1EA6D6D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A89B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1C9F2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7FDC48D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</w:tr>
      <w:tr w14:paraId="0A9268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1D995C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ECF30C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CE9F41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9D1B50C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DB8CBF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2C51B4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</w:tr>
      <w:tr w14:paraId="3BC90B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7CBBF6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1E6F0A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0C9D440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AC52E4C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0528B0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A432C3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</w:tr>
      <w:tr w14:paraId="54BB4C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1AB88E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49D34B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505F8A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A2351F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A48F2C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C22EAE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rPr>
                <w:rFonts w:hint="eastAsia"/>
              </w:rPr>
            </w:pPr>
          </w:p>
        </w:tc>
      </w:tr>
    </w:tbl>
    <w:p w14:paraId="4202093C">
      <w:pPr>
        <w:keepNext w:val="0"/>
        <w:keepLines w:val="0"/>
        <w:pageBreakBefore w:val="0"/>
        <w:widowControl w:val="0"/>
        <w:kinsoku/>
        <w:wordWrap/>
        <w:overflowPunct/>
        <w:topLinePunct/>
        <w:bidi w:val="0"/>
      </w:pPr>
      <w:r>
        <w:br w:type="page"/>
      </w:r>
    </w:p>
    <w:sdt>
      <w:sdtPr>
        <w:rPr>
          <w:rFonts w:ascii="宋体" w:hAnsi="宋体"/>
        </w:rPr>
        <w:id w:val="147475884"/>
        <w:docPartObj>
          <w:docPartGallery w:val="Table of Contents"/>
          <w:docPartUnique/>
        </w:docPartObj>
      </w:sdtPr>
      <w:sdtEndPr>
        <w:rPr>
          <w:rFonts w:ascii="宋体" w:hAnsi="宋体"/>
        </w:rPr>
      </w:sdtEndPr>
      <w:sdtContent>
        <w:p w14:paraId="6D6E09F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/>
            <w:bidi w:val="0"/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6D02F4E7">
          <w:pPr>
            <w:pStyle w:val="16"/>
            <w:tabs>
              <w:tab w:val="right" w:leader="dot" w:pos="8306"/>
            </w:tabs>
          </w:pPr>
          <w:bookmarkStart w:id="18" w:name="_GoBack"/>
          <w:bookmarkEnd w:id="18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_Toc16086 </w:instrText>
          </w:r>
          <w: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_Toc16086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CF0AB4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_Toc28522 </w:instrText>
          </w:r>
          <w:r>
            <w:fldChar w:fldCharType="separate"/>
          </w:r>
          <w:r>
            <w:rPr>
              <w:rFonts w:hint="eastAsia"/>
              <w:szCs w:val="44"/>
              <w:lang w:eastAsia="zh-CN"/>
            </w:rPr>
            <w:t>银川输油气分公司2026年度桌面及信息网络综合运维技术服务项目信息安全管理报告</w:t>
          </w:r>
          <w:r>
            <w:tab/>
          </w:r>
          <w:r>
            <w:fldChar w:fldCharType="begin"/>
          </w:r>
          <w:r>
            <w:instrText xml:space="preserve"> PAGEREF _Toc28522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7D158C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_Toc17862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lang w:eastAsia="zh-CN"/>
            </w:rPr>
            <w:t>报告摘要</w:t>
          </w:r>
          <w:r>
            <w:tab/>
          </w:r>
          <w:r>
            <w:fldChar w:fldCharType="begin"/>
          </w:r>
          <w:r>
            <w:instrText xml:space="preserve"> PAGEREF _Toc17862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5D9267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_Toc4507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lang w:eastAsia="zh-CN"/>
            </w:rPr>
            <w:t>安全治理与组织效能</w:t>
          </w:r>
          <w:r>
            <w:tab/>
          </w:r>
          <w:r>
            <w:fldChar w:fldCharType="begin"/>
          </w:r>
          <w:r>
            <w:instrText xml:space="preserve"> PAGEREF _Toc4507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ED263B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_Toc27603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lang w:eastAsia="zh-CN"/>
            </w:rPr>
            <w:t>各领域安全措施实施成果</w:t>
          </w:r>
          <w:r>
            <w:tab/>
          </w:r>
          <w:r>
            <w:fldChar w:fldCharType="begin"/>
          </w:r>
          <w:r>
            <w:instrText xml:space="preserve"> PAGEREF _Toc27603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DEE80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_Toc25777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lang w:eastAsia="zh-CN"/>
            </w:rPr>
            <w:t>物理与环境安全</w:t>
          </w:r>
          <w:r>
            <w:tab/>
          </w:r>
          <w:r>
            <w:fldChar w:fldCharType="begin"/>
          </w:r>
          <w:r>
            <w:instrText xml:space="preserve"> PAGEREF _Toc25777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FA54C5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_Toc24948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lang w:eastAsia="zh-CN"/>
            </w:rPr>
            <w:t>网络安全</w:t>
          </w:r>
          <w:r>
            <w:tab/>
          </w:r>
          <w:r>
            <w:fldChar w:fldCharType="begin"/>
          </w:r>
          <w:r>
            <w:instrText xml:space="preserve"> PAGEREF _Toc24948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0AC2C1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_Toc31560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3.3. </w:t>
          </w:r>
          <w:r>
            <w:rPr>
              <w:lang w:eastAsia="zh-CN"/>
            </w:rPr>
            <w:t>系统与应用安全</w:t>
          </w:r>
          <w:r>
            <w:tab/>
          </w:r>
          <w:r>
            <w:fldChar w:fldCharType="begin"/>
          </w:r>
          <w:r>
            <w:instrText xml:space="preserve"> PAGEREF _Toc31560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487AB4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_Toc27365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3.4. </w:t>
          </w:r>
          <w:r>
            <w:rPr>
              <w:lang w:eastAsia="zh-CN"/>
            </w:rPr>
            <w:t>数据安全</w:t>
          </w:r>
          <w:r>
            <w:tab/>
          </w:r>
          <w:r>
            <w:fldChar w:fldCharType="begin"/>
          </w:r>
          <w:r>
            <w:instrText xml:space="preserve"> PAGEREF _Toc27365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79FBC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_Toc23663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3.5. </w:t>
          </w:r>
          <w:r>
            <w:rPr>
              <w:lang w:eastAsia="zh-CN"/>
            </w:rPr>
            <w:t>供应链与知识产权安全</w:t>
          </w:r>
          <w:r>
            <w:tab/>
          </w:r>
          <w:r>
            <w:fldChar w:fldCharType="begin"/>
          </w:r>
          <w:r>
            <w:instrText xml:space="preserve"> PAGEREF _Toc23663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A0A82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_Toc8094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lang w:eastAsia="zh-CN"/>
            </w:rPr>
            <w:t>风险评估与动态管理</w:t>
          </w:r>
          <w:r>
            <w:tab/>
          </w:r>
          <w:r>
            <w:fldChar w:fldCharType="begin"/>
          </w:r>
          <w:r>
            <w:instrText xml:space="preserve"> PAGEREF _Toc8094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580ED2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_Toc17374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lang w:eastAsia="zh-CN"/>
            </w:rPr>
            <w:t>安全事件与应急响应</w:t>
          </w:r>
          <w:r>
            <w:tab/>
          </w:r>
          <w:r>
            <w:fldChar w:fldCharType="begin"/>
          </w:r>
          <w:r>
            <w:instrText xml:space="preserve"> PAGEREF _Toc17374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2C559F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_Toc11813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lang w:eastAsia="zh-CN"/>
            </w:rPr>
            <w:t>符合性审计与验收准备</w:t>
          </w:r>
          <w:r>
            <w:tab/>
          </w:r>
          <w:r>
            <w:fldChar w:fldCharType="begin"/>
          </w:r>
          <w:r>
            <w:instrText xml:space="preserve"> PAGEREF _Toc11813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0EC64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_Toc18665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7. </w:t>
          </w:r>
          <w:r>
            <w:rPr>
              <w:lang w:eastAsia="zh-CN"/>
            </w:rPr>
            <w:t>总结与运维期安全过渡计划</w:t>
          </w:r>
          <w:r>
            <w:tab/>
          </w:r>
          <w:r>
            <w:fldChar w:fldCharType="begin"/>
          </w:r>
          <w:r>
            <w:instrText xml:space="preserve"> PAGEREF _Toc18665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F503AA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_Toc4036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7.1. </w:t>
          </w:r>
          <w:r>
            <w:rPr>
              <w:lang w:eastAsia="zh-CN"/>
            </w:rPr>
            <w:t>总体评价</w:t>
          </w:r>
          <w:r>
            <w:tab/>
          </w:r>
          <w:r>
            <w:fldChar w:fldCharType="begin"/>
          </w:r>
          <w:r>
            <w:instrText xml:space="preserve"> PAGEREF _Toc4036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F631E1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_Toc18926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7.2. </w:t>
          </w:r>
          <w:r>
            <w:rPr>
              <w:lang w:eastAsia="zh-CN"/>
            </w:rPr>
            <w:t>后续重点工作（运维服务期）</w:t>
          </w:r>
          <w:r>
            <w:tab/>
          </w:r>
          <w:r>
            <w:fldChar w:fldCharType="begin"/>
          </w:r>
          <w:r>
            <w:instrText xml:space="preserve"> PAGEREF _Toc18926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F16C98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/>
            <w:bidi w:val="0"/>
          </w:pPr>
          <w:r>
            <w:fldChar w:fldCharType="end"/>
          </w:r>
        </w:p>
      </w:sdtContent>
    </w:sdt>
    <w:p w14:paraId="0321418F">
      <w:pPr>
        <w:keepNext w:val="0"/>
        <w:keepLines w:val="0"/>
        <w:pageBreakBefore w:val="0"/>
        <w:widowControl w:val="0"/>
        <w:kinsoku/>
        <w:wordWrap/>
        <w:overflowPunct/>
        <w:topLinePunct/>
        <w:bidi w:val="0"/>
      </w:pPr>
    </w:p>
    <w:p w14:paraId="77F1D277">
      <w:pPr>
        <w:keepNext w:val="0"/>
        <w:keepLines w:val="0"/>
        <w:pageBreakBefore w:val="0"/>
        <w:widowControl w:val="0"/>
        <w:kinsoku/>
        <w:wordWrap/>
        <w:overflowPunct/>
        <w:topLinePunct/>
        <w:bidi w:val="0"/>
        <w:rPr>
          <w:lang w:eastAsia="zh-CN"/>
        </w:rPr>
      </w:pPr>
      <w:r>
        <w:rPr>
          <w:rFonts w:eastAsia="Arial"/>
        </w:rPr>
        <w:br w:type="page"/>
      </w:r>
    </w:p>
    <w:p w14:paraId="47593148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/>
        <w:bidi w:val="0"/>
        <w:rPr>
          <w:lang w:eastAsia="zh-CN"/>
        </w:rPr>
      </w:pPr>
      <w:bookmarkStart w:id="3" w:name="bookmark14"/>
      <w:bookmarkEnd w:id="3"/>
      <w:bookmarkStart w:id="4" w:name="_Toc17862"/>
      <w:r>
        <w:rPr>
          <w:lang w:eastAsia="zh-CN"/>
        </w:rPr>
        <w:t>报告摘要</w:t>
      </w:r>
      <w:bookmarkEnd w:id="4"/>
    </w:p>
    <w:p w14:paraId="4EB22307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本报告全面总结“</w:t>
      </w:r>
      <w:r>
        <w:rPr>
          <w:rFonts w:hint="eastAsia"/>
          <w:lang w:eastAsia="zh-CN"/>
        </w:rPr>
        <w:t>银川输油气分公司2026年度桌面及信息网络综合运维技术服务项目</w:t>
      </w:r>
      <w:r>
        <w:t>”自2026年</w:t>
      </w:r>
      <w:r>
        <w:rPr>
          <w:rFonts w:hint="eastAsia"/>
          <w:lang w:val="en-US" w:eastAsia="zh-CN"/>
        </w:rPr>
        <w:t>1</w:t>
      </w:r>
      <w:r>
        <w:t>月启动至202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7</w:t>
      </w:r>
      <w:r>
        <w:t>月底，为期</w:t>
      </w:r>
      <w:r>
        <w:rPr>
          <w:rFonts w:hint="eastAsia"/>
          <w:lang w:val="en-US" w:eastAsia="zh-CN"/>
        </w:rPr>
        <w:t>7</w:t>
      </w:r>
      <w:r>
        <w:t>个月的信息安全管理工作。项目组严格遵循既定《信息安全管理计划》及合同相关条款，系统性地构建并持续优化了项目信息安全体系。截至报告期末，项目已顺利完成系统部署、集成测试及初步试运行，所有关键安全控制措施均已落地并验证有效，未发生任何重大信息安全事件，全面满足项目验收的安全前提条件，并为即将开始的三年运维服务期奠定了坚实的安全运维基础。</w:t>
      </w:r>
    </w:p>
    <w:p w14:paraId="2C385D96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/>
        <w:bidi w:val="0"/>
        <w:rPr>
          <w:lang w:eastAsia="zh-CN"/>
        </w:rPr>
      </w:pPr>
      <w:bookmarkStart w:id="5" w:name="_Toc4507"/>
      <w:r>
        <w:rPr>
          <w:lang w:eastAsia="zh-CN"/>
        </w:rPr>
        <w:t>安全治理与组织效能</w:t>
      </w:r>
      <w:bookmarkEnd w:id="5"/>
    </w:p>
    <w:p w14:paraId="73CF0E0B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项目建立了高效、权责清晰的安全管理组织，并随项目阶段动态调整重心</w:t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3"/>
        <w:gridCol w:w="7481"/>
      </w:tblGrid>
      <w:tr w14:paraId="1CE12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BB5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角色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8560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履行情况总结（截至</w:t>
            </w:r>
            <w:r>
              <w:rPr>
                <w:rFonts w:hint="eastAsia" w:ascii="Segoe UI" w:hAnsi="Segoe UI" w:eastAsia="Segoe UI" w:cs="Segoe UI"/>
                <w:sz w:val="18"/>
                <w:szCs w:val="18"/>
                <w:lang w:val="en-US" w:eastAsia="zh-CN"/>
              </w:rPr>
              <w:t>2026年7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月）</w:t>
            </w:r>
          </w:p>
        </w:tc>
      </w:tr>
      <w:tr w14:paraId="5BB05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C5D6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Cs/>
                <w:sz w:val="18"/>
                <w:szCs w:val="18"/>
                <w:lang w:eastAsia="zh-CN"/>
              </w:rPr>
              <w:t>运维项目经理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F3B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全程主持安全战略，组织召开季度安全评审会2次，月度安全检查</w:t>
            </w:r>
            <w:r>
              <w:rPr>
                <w:rFonts w:hint="eastAsia" w:ascii="Segoe UI" w:hAnsi="Segoe UI" w:eastAsia="Segoe UI" w:cs="Segoe UI"/>
                <w:sz w:val="18"/>
                <w:szCs w:val="18"/>
                <w:lang w:val="en-US" w:eastAsia="zh-CN"/>
              </w:rPr>
              <w:t>6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次，成功协调处理所有跨部门安全问题，确保安全与项目进度同步。</w:t>
            </w:r>
          </w:p>
        </w:tc>
      </w:tr>
      <w:tr w14:paraId="4C177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F47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Cs/>
                <w:sz w:val="18"/>
                <w:szCs w:val="18"/>
                <w:lang w:eastAsia="zh-CN"/>
              </w:rPr>
              <w:t>运维工程师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4F1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完成了从架构设计、实施加固到最终渗透测试的全周期技术安全保障。累计输出安全配置文档12份，漏洞修复报告5份，是技术防线的核心力量。</w:t>
            </w:r>
          </w:p>
        </w:tc>
      </w:tr>
      <w:tr w14:paraId="3FA0C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8637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现场实施</w:t>
            </w:r>
            <w:r>
              <w:rPr>
                <w:rStyle w:val="23"/>
                <w:rFonts w:hint="eastAsia" w:ascii="Segoe UI" w:hAnsi="Segoe UI" w:eastAsia="Segoe UI" w:cs="Segoe UI"/>
                <w:bCs/>
                <w:sz w:val="18"/>
                <w:szCs w:val="18"/>
                <w:lang w:eastAsia="zh-CN"/>
              </w:rPr>
              <w:t>人员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631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在设备安装、线缆铺设、机房建设等高峰期，严格落实物理安全管控，实现了施工期间“零物理安全事故、零设备遗失”的目标。</w:t>
            </w:r>
          </w:p>
        </w:tc>
      </w:tr>
      <w:tr w14:paraId="23C6F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FBB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甲方安全对接人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9ED1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深度参与了安全方案评审、中期安全检查（</w:t>
            </w:r>
            <w:r>
              <w:rPr>
                <w:rFonts w:hint="eastAsia" w:ascii="Segoe UI" w:hAnsi="Segoe UI" w:eastAsia="Segoe UI" w:cs="Segoe UI"/>
                <w:sz w:val="18"/>
                <w:szCs w:val="18"/>
                <w:lang w:val="en-US" w:eastAsia="zh-CN"/>
              </w:rPr>
              <w:t>4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月）及验收前安全审计（</w:t>
            </w:r>
            <w:r>
              <w:rPr>
                <w:rFonts w:hint="eastAsia" w:ascii="Segoe UI" w:hAnsi="Segoe UI" w:eastAsia="Segoe UI" w:cs="Segoe UI"/>
                <w:sz w:val="18"/>
                <w:szCs w:val="18"/>
                <w:lang w:val="en-US" w:eastAsia="zh-CN"/>
              </w:rPr>
              <w:t>6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月），提供了关键的业务安全需求输入，协作顺畅。</w:t>
            </w:r>
          </w:p>
        </w:tc>
      </w:tr>
      <w:tr w14:paraId="3C38F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AD83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全体项目成员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C389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安全意识已融入日常工作习惯，累计开展专项安全培训3次，保密协议签署率与考核通过率均达100%。</w:t>
            </w:r>
          </w:p>
        </w:tc>
      </w:tr>
    </w:tbl>
    <w:p w14:paraId="2BB510E9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/>
        <w:bidi w:val="0"/>
        <w:rPr>
          <w:lang w:eastAsia="zh-CN"/>
        </w:rPr>
      </w:pPr>
      <w:bookmarkStart w:id="6" w:name="_Toc27603"/>
      <w:r>
        <w:rPr>
          <w:lang w:eastAsia="zh-CN"/>
        </w:rPr>
        <w:t>各领域安全措施实施成果</w:t>
      </w:r>
      <w:bookmarkEnd w:id="6"/>
    </w:p>
    <w:p w14:paraId="774AA8D5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/>
        <w:bidi w:val="0"/>
        <w:rPr>
          <w:lang w:eastAsia="zh-CN"/>
        </w:rPr>
      </w:pPr>
      <w:bookmarkStart w:id="7" w:name="_Toc25777"/>
      <w:r>
        <w:rPr>
          <w:lang w:eastAsia="zh-CN"/>
        </w:rPr>
        <w:t>物理与环境安全</w:t>
      </w:r>
      <w:bookmarkEnd w:id="7"/>
    </w:p>
    <w:p w14:paraId="2E0DA89F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资产全流程可控：对合同清单中所有硬件设备建立了完整的资产台账，实现了从入库、领用、安装到最终位置的全程跟踪。</w:t>
      </w:r>
    </w:p>
    <w:p w14:paraId="575FD470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核心区域安全就绪： 数据中心、网络机房及主要设备间已按照设计完成标准化建设，配备了永久的门禁、监控、消防及环境控制系统，符合国家相关标准。</w:t>
      </w:r>
    </w:p>
    <w:p w14:paraId="7BA2981B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/>
        <w:bidi w:val="0"/>
        <w:rPr>
          <w:lang w:eastAsia="zh-CN"/>
        </w:rPr>
      </w:pPr>
      <w:bookmarkStart w:id="8" w:name="_Toc24948"/>
      <w:r>
        <w:rPr>
          <w:lang w:eastAsia="zh-CN"/>
        </w:rPr>
        <w:t>网络安全</w:t>
      </w:r>
      <w:bookmarkEnd w:id="8"/>
    </w:p>
    <w:p w14:paraId="3A8ED827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安全架构稳定运行：基于VLAN、防火墙策略及访问控制列表构建的“分区隔离、纵深防御”网络架构已稳定运行超过四个月。关键网络设备配置均已备份并归档。</w:t>
      </w:r>
    </w:p>
    <w:p w14:paraId="14FFCDC5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高级威胁防护引入： 在试运行阶段，于网络边界部署了入侵防御系统（IPS），并对核心交换机的安全策略进行了优化，增强了对新型网络攻击的检测与防御能力。</w:t>
      </w:r>
    </w:p>
    <w:p w14:paraId="63B5E695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/>
        <w:bidi w:val="0"/>
        <w:rPr>
          <w:lang w:eastAsia="zh-CN"/>
        </w:rPr>
      </w:pPr>
      <w:bookmarkStart w:id="9" w:name="_Toc31560"/>
      <w:r>
        <w:rPr>
          <w:lang w:eastAsia="zh-CN"/>
        </w:rPr>
        <w:t>系统与应用安全</w:t>
      </w:r>
      <w:bookmarkEnd w:id="9"/>
    </w:p>
    <w:p w14:paraId="6DE03906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安全基线全面固化：所有服务器、操作系统、数据库及业务应用均已完成安全加固，并形成标准化配置手册。</w:t>
      </w:r>
    </w:p>
    <w:p w14:paraId="6ACB554C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深度安全测试通过：于2026年3月委托第三方独立机构进行了渗透测试与源代码安全审计（针对定制开发部分）。发现的</w:t>
      </w:r>
      <w:r>
        <w:rPr>
          <w:rFonts w:hint="eastAsia"/>
        </w:rPr>
        <w:t>1</w:t>
      </w:r>
      <w:r>
        <w:t>个中低风险漏洞均在</w:t>
      </w:r>
      <w:r>
        <w:rPr>
          <w:rFonts w:hint="eastAsia"/>
          <w:lang w:val="en-US" w:eastAsia="zh-CN"/>
        </w:rPr>
        <w:t>3</w:t>
      </w:r>
      <w:r>
        <w:t>月中旬前完成修复，并提交了详细的《安全测试与修复报告》，满足合同及验收要求。</w:t>
      </w:r>
    </w:p>
    <w:p w14:paraId="034A4797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/>
        <w:bidi w:val="0"/>
        <w:rPr>
          <w:lang w:eastAsia="zh-CN"/>
        </w:rPr>
      </w:pPr>
      <w:bookmarkStart w:id="10" w:name="_Toc27365"/>
      <w:r>
        <w:rPr>
          <w:lang w:eastAsia="zh-CN"/>
        </w:rPr>
        <w:t>数据安全</w:t>
      </w:r>
      <w:bookmarkEnd w:id="10"/>
    </w:p>
    <w:p w14:paraId="49516365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数据治理框架建立： 与甲方共同完成了项目数据资产的分类分级，明确了“</w:t>
      </w:r>
      <w:r>
        <w:rPr>
          <w:rFonts w:hint="eastAsia"/>
          <w:lang w:val="en-US" w:eastAsia="zh-CN"/>
        </w:rPr>
        <w:t>运维数据</w:t>
      </w:r>
      <w:r>
        <w:t>”、“视频人脸数据”等为敏感数据，并制定了相应的加密、脱敏和访问审批流程。</w:t>
      </w:r>
    </w:p>
    <w:p w14:paraId="57465D53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全生命周期保护落地：敏感数据在传输（TLS）、存储（数据库加密）及备份（加密备份）环节均实现了加密保护。建立了完整的备份与恢复演练记录，RTO与RPO目标得到验证。</w:t>
      </w:r>
    </w:p>
    <w:p w14:paraId="695ABC80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/>
        <w:bidi w:val="0"/>
        <w:rPr>
          <w:lang w:eastAsia="zh-CN"/>
        </w:rPr>
      </w:pPr>
      <w:bookmarkStart w:id="11" w:name="_Toc23663"/>
      <w:r>
        <w:rPr>
          <w:lang w:eastAsia="zh-CN"/>
        </w:rPr>
        <w:t>供应链与知识产权安全</w:t>
      </w:r>
      <w:bookmarkEnd w:id="11"/>
    </w:p>
    <w:p w14:paraId="1FA8F975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合规性保障：确保所有采购的软硬件产品来源合法，提供了必要的授权证书与合规证明，履行了合同第9条责任。</w:t>
      </w:r>
    </w:p>
    <w:p w14:paraId="7DBF803F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知识产权明晰：严格遵循合同</w:t>
      </w:r>
      <w:r>
        <w:rPr>
          <w:rFonts w:hint="eastAsia"/>
        </w:rPr>
        <w:t>规定</w:t>
      </w:r>
      <w:r>
        <w:t>，本项目产生的所有开发成果知识产权已按约定归属甲方。我方使用的自有或第三方知识产权均已披露，无潜在纠纷。</w:t>
      </w:r>
    </w:p>
    <w:p w14:paraId="0527D508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/>
        <w:bidi w:val="0"/>
        <w:rPr>
          <w:lang w:eastAsia="zh-CN"/>
        </w:rPr>
      </w:pPr>
      <w:bookmarkStart w:id="12" w:name="_Toc8094"/>
      <w:r>
        <w:rPr>
          <w:lang w:eastAsia="zh-CN"/>
        </w:rPr>
        <w:t>风险评估与动态管理</w:t>
      </w:r>
      <w:bookmarkEnd w:id="12"/>
    </w:p>
    <w:p w14:paraId="0E33ED54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风险演进跟踪：项目初期识别的5项高风险已全部通过工程与管理措施降至“低”或“可接受”级别。随着系统上线，新增了“业务逻辑漏洞”和“供应链软件漏洞”两项中风险，并已纳入常态化监控。</w:t>
      </w:r>
    </w:p>
    <w:p w14:paraId="33BBB815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定期评估机制：建立了季度风险评估机制，分别在</w:t>
      </w:r>
      <w:r>
        <w:rPr>
          <w:rFonts w:hint="eastAsia"/>
          <w:lang w:val="en-US" w:eastAsia="zh-CN"/>
        </w:rPr>
        <w:t>2026年3月和2026年5月</w:t>
      </w:r>
      <w:r>
        <w:t>进行了</w:t>
      </w:r>
      <w:r>
        <w:rPr>
          <w:rFonts w:hint="eastAsia"/>
          <w:lang w:val="en-US" w:eastAsia="zh-CN"/>
        </w:rPr>
        <w:t>两</w:t>
      </w:r>
      <w:r>
        <w:t>次正式评估，确保风险管理与项目实际进展同步。</w:t>
      </w:r>
    </w:p>
    <w:p w14:paraId="45613238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/>
        <w:bidi w:val="0"/>
        <w:rPr>
          <w:lang w:eastAsia="zh-CN"/>
        </w:rPr>
      </w:pPr>
      <w:bookmarkStart w:id="13" w:name="_Toc17374"/>
      <w:r>
        <w:rPr>
          <w:lang w:eastAsia="zh-CN"/>
        </w:rPr>
        <w:t>安全事件与应急响应</w:t>
      </w:r>
      <w:bookmarkEnd w:id="13"/>
    </w:p>
    <w:p w14:paraId="3248126C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报告期内，共记录并处置安全相关事件与告警15起，其中：</w:t>
      </w:r>
    </w:p>
    <w:p w14:paraId="68375DF5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14起为网络扫描、误报等低威胁事件，均通过自动化监控系统发现并处置。</w:t>
      </w:r>
    </w:p>
    <w:p w14:paraId="33B3B95F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1起为试运行期间发生的可疑暴力破解攻击尝试，被IPS成功阻断，未造成影响。该事件触发了完整的应急响应流程，并进行了事后溯源分析，提升了系统账号策略强度。</w:t>
      </w:r>
    </w:p>
    <w:p w14:paraId="3C24CE9A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上述事件处理证实了项目安全监测与响应体系的有效性，并为运维期积累了宝贵经验。</w:t>
      </w:r>
    </w:p>
    <w:p w14:paraId="203792B2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/>
        <w:bidi w:val="0"/>
        <w:rPr>
          <w:lang w:eastAsia="zh-CN"/>
        </w:rPr>
      </w:pPr>
      <w:bookmarkStart w:id="14" w:name="_Toc11813"/>
      <w:r>
        <w:rPr>
          <w:lang w:eastAsia="zh-CN"/>
        </w:rPr>
        <w:t>符合性审计与验收准备</w:t>
      </w:r>
      <w:bookmarkEnd w:id="14"/>
    </w:p>
    <w:p w14:paraId="698B50FD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内部审计：严格执行月度检查，共发现并闭环整改问题</w:t>
      </w:r>
      <w:r>
        <w:rPr>
          <w:rFonts w:hint="eastAsia"/>
          <w:lang w:val="en-US" w:eastAsia="zh-CN"/>
        </w:rPr>
        <w:t>6</w:t>
      </w:r>
      <w:r>
        <w:t>项，形成检查记录8份。</w:t>
      </w:r>
    </w:p>
    <w:p w14:paraId="040F9DDA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甲方协同审计：于</w:t>
      </w:r>
      <w:r>
        <w:rPr>
          <w:rFonts w:hint="eastAsia"/>
          <w:lang w:val="en-US" w:eastAsia="zh-CN"/>
        </w:rPr>
        <w:t>2026</w:t>
      </w:r>
      <w:r>
        <w:t>年</w:t>
      </w:r>
      <w:r>
        <w:rPr>
          <w:rFonts w:hint="eastAsia"/>
          <w:lang w:val="en-US" w:eastAsia="zh-CN"/>
        </w:rPr>
        <w:t>5</w:t>
      </w:r>
      <w:r>
        <w:t>月下旬，积极配合甲方完成专项安全审计。审计范围覆盖管理、技术、数据各层面，审计结论表明项目信息安全建设符合合同及管理计划要求，具备验收条件。</w:t>
      </w:r>
    </w:p>
    <w:p w14:paraId="3D42077A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文档交付物就绪：已整理并准备好全套安全交付文档，包括但不限于：《安全架构设计文档》、《系统安全配置清单》、《渗透测试报告》、《应急响应预案》、《安全培训记录》等，可供最终项目验收时提交。</w:t>
      </w:r>
    </w:p>
    <w:p w14:paraId="29328DAF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/>
        <w:bidi w:val="0"/>
        <w:rPr>
          <w:lang w:eastAsia="zh-CN"/>
        </w:rPr>
      </w:pPr>
      <w:bookmarkStart w:id="15" w:name="_Toc18665"/>
      <w:r>
        <w:rPr>
          <w:lang w:eastAsia="zh-CN"/>
        </w:rPr>
        <w:t>总结与运维期安全过渡计划</w:t>
      </w:r>
      <w:bookmarkEnd w:id="15"/>
    </w:p>
    <w:p w14:paraId="49905C8C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/>
        <w:bidi w:val="0"/>
        <w:rPr>
          <w:lang w:eastAsia="zh-CN"/>
        </w:rPr>
      </w:pPr>
      <w:bookmarkStart w:id="16" w:name="_Toc4036"/>
      <w:r>
        <w:rPr>
          <w:lang w:eastAsia="zh-CN"/>
        </w:rPr>
        <w:t>总体评价</w:t>
      </w:r>
      <w:bookmarkEnd w:id="16"/>
    </w:p>
    <w:p w14:paraId="7606D318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本项目信息安全管理工作实现了从“规划建设”到“稳定运行”的平稳过渡，</w:t>
      </w:r>
      <w:r>
        <w:rPr>
          <w:rFonts w:hint="eastAsia"/>
        </w:rPr>
        <w:t>建立了一套贴合作业区运维服务业务特点、有效可控的安全防护体系</w:t>
      </w:r>
      <w:r>
        <w:t>，完全达到了项目初期设定的安全目标，并满足了国家法律法规及合同的强制性要求。</w:t>
      </w:r>
    </w:p>
    <w:p w14:paraId="3EDD4C22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/>
        <w:bidi w:val="0"/>
        <w:rPr>
          <w:lang w:eastAsia="zh-CN"/>
        </w:rPr>
      </w:pPr>
      <w:bookmarkStart w:id="17" w:name="_Toc18926"/>
      <w:r>
        <w:rPr>
          <w:lang w:eastAsia="zh-CN"/>
        </w:rPr>
        <w:t>后续重点工作（运维服务期）</w:t>
      </w:r>
      <w:bookmarkEnd w:id="17"/>
    </w:p>
    <w:p w14:paraId="46C9737D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根据合同</w:t>
      </w:r>
      <w:r>
        <w:rPr>
          <w:rFonts w:hint="eastAsia"/>
        </w:rPr>
        <w:t>规定</w:t>
      </w:r>
      <w:r>
        <w:t>，项目</w:t>
      </w:r>
      <w:r>
        <w:rPr>
          <w:rFonts w:hint="eastAsia"/>
          <w:lang w:val="en-US" w:eastAsia="zh-CN"/>
        </w:rPr>
        <w:t>处于运维期内，半年后</w:t>
      </w:r>
      <w:r>
        <w:t>进入为期三年的质量保证与运维服务期。信息安全工作的重心将实现以下转移：</w:t>
      </w:r>
    </w:p>
    <w:p w14:paraId="2ABCEB42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从“项目制”转向“服务化”： 制定《运维期信息安全管理规程》，将现有安全控制措施纳入日常运维流程。</w:t>
      </w:r>
    </w:p>
    <w:p w14:paraId="5709CD31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持续监控与改进：利用已部署的安全工具进行7x24小时安全监控，定期（每半年）进行安全评估与渗透测试。</w:t>
      </w:r>
    </w:p>
    <w:p w14:paraId="0EFEBF5F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事件响应常态化： 将项目期验证有效的应急响应预案固化，并定期对甲方运维团队进行培训与联合演练。</w:t>
      </w:r>
    </w:p>
    <w:p w14:paraId="4E4E5CDC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/>
        <w:bidi w:val="0"/>
        <w:ind w:firstLine="480"/>
      </w:pPr>
      <w:r>
        <w:t>知识转移：向甲方指定的运维人员全面移交安全配置文档、管理权限和运维技能，确保安全运维能力的平稳传承。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E85C9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8A641F"/>
    <w:rsid w:val="0C820C57"/>
    <w:rsid w:val="14E65063"/>
    <w:rsid w:val="19C9617A"/>
    <w:rsid w:val="1A5346E2"/>
    <w:rsid w:val="27EC0DC9"/>
    <w:rsid w:val="2F553234"/>
    <w:rsid w:val="340024B6"/>
    <w:rsid w:val="3927473B"/>
    <w:rsid w:val="3CF01002"/>
    <w:rsid w:val="3F5E5951"/>
    <w:rsid w:val="5082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672</Words>
  <Characters>774</Characters>
  <Lines>131</Lines>
  <Paragraphs>123</Paragraphs>
  <TotalTime>0</TotalTime>
  <ScaleCrop>false</ScaleCrop>
  <LinksUpToDate>false</LinksUpToDate>
  <CharactersWithSpaces>836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2026-08-24T04:58:09Z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