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6139"/>
      <w:r>
        <w:rPr>
          <w:rFonts w:hint="eastAsia"/>
          <w:lang w:val="en-US" w:eastAsia="zh-CN"/>
        </w:rPr>
        <w:t>西安泽玺信息科技有限公司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3989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09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丁嘉涛</w:t>
            </w:r>
          </w:p>
        </w:tc>
        <w:tc>
          <w:tcPr>
            <w:tcW w:w="39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09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3989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09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39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_Toc26139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西安泽玺信息科技有限公司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_Toc25116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_Toc6014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_Toc13591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_Toc13147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_Toc24824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_Toc25148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运维部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_Toc23101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_Toc16402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_Toc1277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_Toc29485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_Toc20793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_Toc24303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_Toc6446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_Toc28540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_Toc4068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_Toc24236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_Toc23474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_Toc26483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_Toc7012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_Toc6887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_Toc10125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_Toc2171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_Toc6075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eastAsia="宋体" w:hint="default"/>
              <w:sz w:val="21"/>
              <w:szCs w:val="21"/>
              <w:lang w:val="en-US" w:eastAsia="zh-CN"/>
            </w:rPr>
            <w:t xml:space="preserve">6. </w:t>
          </w:r>
          <w:r>
            <w:rPr>
              <w:rFonts w:eastAsia="宋体" w:hint="eastAsia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_Toc16333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6014"/>
      <w:r>
        <w:t>目的</w:t>
      </w:r>
      <w:bookmarkEnd w:id="3"/>
    </w:p>
    <w:p>
      <w:pPr>
        <w:pStyle w:val="a1"/>
        <w:bidi w:val="0"/>
      </w:pPr>
      <w:r>
        <w:t>为规范公司软件库的管理，确保软件资产的安全、完整、可用，提高软件资源的利用效率，防范软件使用风险，特制定本制度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13631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3591"/>
      <w:r>
        <w:rPr>
          <w:rFonts w:hint="eastAsia"/>
          <w:lang w:val="en-US" w:eastAsia="zh-CN"/>
        </w:rPr>
        <w:t>术语和定义</w:t>
      </w:r>
      <w:bookmarkEnd w:id="5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软件库：指用于集中存储、管理公司各类软件的仓库，包括物理存储介质和电子存储系统。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系统软件：指控制和协调计算机及外部设备，支持应用软件开发和运行的系统，如操作系统、数据库管理系统等。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应用软件：指为满足特定业务需求而开发或购买的软件，如办公软件、业务管理系统等。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工具软件：指用于辅助软件开发、测试、运维等工作的软件，如编译工具、测试工具、监控工具等。</w:t>
      </w:r>
    </w:p>
    <w:p>
      <w:pPr>
        <w:pStyle w:val="1"/>
        <w:bidi w:val="0"/>
      </w:pPr>
      <w:bookmarkStart w:id="6" w:name="_Toc13147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>
      <w:pPr>
        <w:pStyle w:val="a1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482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bidi w:val="0"/>
      </w:pPr>
      <w:bookmarkStart w:id="8" w:name="_Toc13632"/>
      <w:r>
        <w:rPr>
          <w:rFonts w:hint="eastAsia"/>
          <w:lang w:val="en-US" w:eastAsia="zh-CN"/>
        </w:rPr>
        <w:t>研发部</w:t>
      </w:r>
      <w:bookmarkEnd w:id="8"/>
    </w:p>
    <w:p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>
      <w:pPr>
        <w:pStyle w:val="2"/>
        <w:bidi w:val="0"/>
      </w:pPr>
      <w:bookmarkStart w:id="9" w:name="bookmark7"/>
      <w:bookmarkEnd w:id="9"/>
      <w:bookmarkStart w:id="10" w:name="_Toc25148"/>
      <w:r>
        <w:rPr>
          <w:rFonts w:hint="eastAsia"/>
          <w:lang w:val="en-US" w:eastAsia="zh-CN"/>
        </w:rPr>
        <w:t>运维部</w:t>
      </w:r>
      <w:bookmarkEnd w:id="10"/>
    </w:p>
    <w:p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>
      <w:pPr>
        <w:numPr>
          <w:ilvl w:val="0"/>
          <w:numId w:val="4"/>
        </w:numPr>
        <w:bidi w:val="0"/>
      </w:pPr>
      <w:r>
        <w:t>配合运维部进行软件的测试、验收和入库工作。</w:t>
      </w:r>
    </w:p>
    <w:p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>
      <w:pPr>
        <w:numPr>
          <w:ilvl w:val="0"/>
          <w:numId w:val="4"/>
        </w:numPr>
        <w:bidi w:val="0"/>
      </w:pPr>
      <w:r>
        <w:t>及时向运维部反馈软件使用过程中出现的问题和需求。</w:t>
      </w:r>
    </w:p>
    <w:p>
      <w:pPr>
        <w:pStyle w:val="2"/>
        <w:bidi w:val="0"/>
      </w:pPr>
      <w:bookmarkStart w:id="11" w:name="bookmark8"/>
      <w:bookmarkEnd w:id="11"/>
      <w:bookmarkStart w:id="12" w:name="_Toc23101"/>
      <w:r>
        <w:t>采购部</w:t>
      </w:r>
      <w:bookmarkEnd w:id="12"/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根据审批通过的软件采购申请，负责软件的采购工作，确保采购的软件符合相关要求。</w:t>
      </w:r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索取软件的合法授权证明、安装介质、使用手册等，并及时移交运维部。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402"/>
      <w:r>
        <w:rPr>
          <w:rFonts w:hint="eastAsia"/>
          <w:lang w:val="en-US" w:eastAsia="zh-CN"/>
        </w:rPr>
        <w:t>最终软件库管理</w:t>
      </w:r>
      <w:bookmarkEnd w:id="13"/>
      <w:r>
        <w:rPr>
          <w:rFonts w:hint="eastAsia"/>
          <w:lang w:val="en-US" w:eastAsia="zh-CN"/>
        </w:rPr>
        <w:t>流程</w:t>
      </w:r>
    </w:p>
    <w:p>
      <w:pPr>
        <w:pStyle w:val="2"/>
        <w:bidi w:val="0"/>
      </w:pPr>
      <w:bookmarkStart w:id="14" w:name="_Toc1277"/>
      <w:r>
        <w:t>软件入库管理</w:t>
      </w:r>
      <w:bookmarkEnd w:id="14"/>
    </w:p>
    <w:p>
      <w:pPr>
        <w:pStyle w:val="3"/>
        <w:bidi w:val="0"/>
      </w:pPr>
      <w:bookmarkStart w:id="15" w:name="bookmark10"/>
      <w:bookmarkEnd w:id="15"/>
      <w:bookmarkStart w:id="16" w:name="_Toc29485"/>
      <w:r>
        <w:t>入库申请</w:t>
      </w:r>
      <w:bookmarkEnd w:id="16"/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运维部</w:t>
      </w:r>
      <w:r>
        <w:t>向</w:t>
      </w:r>
      <w:r>
        <w:rPr>
          <w:rFonts w:hint="eastAsia"/>
          <w:lang w:val="en-US" w:eastAsia="zh-CN"/>
        </w:rPr>
        <w:t>研发部</w:t>
      </w:r>
      <w:r>
        <w:t>提交软件入库申请，并附上相关资料，如软件授权证明、安装程序、测试报告、验收报告等。</w:t>
      </w:r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申请资料应真实、完整、准确，确保软件的合法性和可用性。</w:t>
      </w:r>
    </w:p>
    <w:p>
      <w:pPr>
        <w:pStyle w:val="3"/>
        <w:bidi w:val="0"/>
      </w:pPr>
      <w:bookmarkStart w:id="17" w:name="bookmark11"/>
      <w:bookmarkEnd w:id="17"/>
      <w:bookmarkStart w:id="18" w:name="_Toc20793"/>
      <w:r>
        <w:t>入库审核</w:t>
      </w:r>
      <w:bookmarkEnd w:id="18"/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收到入库申请后，对软件的合法性、完整性、安全性等进行审核。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在《软件入库登记表》中进行登记；审核不通过的，退回申请部门，并说明原因。</w:t>
      </w:r>
    </w:p>
    <w:p>
      <w:pPr>
        <w:pStyle w:val="3"/>
        <w:bidi w:val="0"/>
      </w:pPr>
      <w:bookmarkStart w:id="19" w:name="bookmark12"/>
      <w:bookmarkEnd w:id="19"/>
      <w:bookmarkStart w:id="20" w:name="_Toc24303"/>
      <w:r>
        <w:t>入库登记与分类存储</w:t>
      </w:r>
      <w:bookmarkEnd w:id="20"/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审核通过的软件，</w:t>
      </w:r>
      <w:r>
        <w:rPr>
          <w:rFonts w:hint="eastAsia"/>
          <w:lang w:val="en-US" w:eastAsia="zh-CN"/>
        </w:rPr>
        <w:t>研发部</w:t>
      </w:r>
      <w:r>
        <w:t>应及时进行入库登记，登记内容包括软件名称、版本号、供应商、采购日期、授权期限、介质类型、存储位置、入库日期、经办人等信息。</w:t>
      </w:r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>
      <w:pPr>
        <w:pStyle w:val="2"/>
        <w:bidi w:val="0"/>
      </w:pPr>
      <w:bookmarkStart w:id="21" w:name="bookmark13"/>
      <w:bookmarkEnd w:id="21"/>
      <w:bookmarkStart w:id="22" w:name="_Toc6446"/>
      <w:r>
        <w:t>软件出库管理</w:t>
      </w:r>
      <w:bookmarkEnd w:id="22"/>
    </w:p>
    <w:p>
      <w:pPr>
        <w:pStyle w:val="3"/>
        <w:bidi w:val="0"/>
      </w:pPr>
      <w:bookmarkStart w:id="23" w:name="_Toc28540"/>
      <w:r>
        <w:t>出库申请</w:t>
      </w:r>
      <w:bookmarkEnd w:id="23"/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研发部</w:t>
      </w:r>
      <w:r>
        <w:t>提交软件出库申请，说明软件名称、版本号、用途、使用部门、使用人等信息。</w:t>
      </w:r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对于需要授权使用的软件，申请部门还需提供使用授权证明。</w:t>
      </w:r>
    </w:p>
    <w:p>
      <w:pPr>
        <w:pStyle w:val="3"/>
        <w:bidi w:val="0"/>
      </w:pPr>
      <w:bookmarkStart w:id="24" w:name="bookmark15"/>
      <w:bookmarkEnd w:id="24"/>
      <w:bookmarkStart w:id="25" w:name="_Toc4068"/>
      <w:r>
        <w:t>出库审核与授权</w:t>
      </w:r>
      <w:bookmarkEnd w:id="25"/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对出库申请进行审核，确认申请的软件是否符合使用需求，使用人是否具备相应的使用权限。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对软件进行出库登记，并根据软件的授权情况进行使用授权设置。对于有数量限制或期限限制的软件，应严格控制授权范围和使用期限。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出库登记内容包括软件名称、版本号、出库日期、使用部门、使用人、授权期限、经办人等信息。</w:t>
      </w:r>
    </w:p>
    <w:p>
      <w:pPr>
        <w:pStyle w:val="3"/>
        <w:bidi w:val="0"/>
      </w:pPr>
      <w:bookmarkStart w:id="26" w:name="_Toc28004"/>
      <w:r>
        <w:t>软件分发</w:t>
      </w:r>
      <w:bookmarkEnd w:id="26"/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根据出库申请和授权情况，将软件分发给使用部门或使用人。分发方式可采用网络传输、物理介质拷贝等，确保软件的安全传递。</w:t>
      </w:r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t>软件分发后，使用部门或使用人应在《软件出库签收表》上签字确认，表明已收到软件。</w:t>
      </w:r>
    </w:p>
    <w:p>
      <w:pPr>
        <w:pStyle w:val="2"/>
        <w:bidi w:val="0"/>
      </w:pPr>
      <w:bookmarkStart w:id="27" w:name="_Toc24236"/>
      <w:r>
        <w:t>软件版本管理</w:t>
      </w:r>
      <w:bookmarkEnd w:id="27"/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应建立软件版本管理机制，对软件的各个版本进行跟踪和管理。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当软件出现新版本时，由</w:t>
      </w:r>
      <w:r>
        <w:rPr>
          <w:rFonts w:hint="eastAsia"/>
          <w:lang w:val="en-US" w:eastAsia="zh-CN"/>
        </w:rPr>
        <w:t>研发部</w:t>
      </w:r>
      <w:r>
        <w:t>组织相关部门对新版本进行评估和测试，确定是否需要升级。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记录软件版本的变更历史，包括版本号、变更内容、变更日期、变更原因等信息，便于追溯和管理。</w:t>
      </w:r>
    </w:p>
    <w:p>
      <w:pPr>
        <w:pStyle w:val="2"/>
        <w:bidi w:val="0"/>
      </w:pPr>
      <w:bookmarkStart w:id="28" w:name="bookmark18"/>
      <w:bookmarkEnd w:id="28"/>
      <w:bookmarkStart w:id="29" w:name="_Toc23474"/>
      <w:r>
        <w:t>软件存储与备份管理</w:t>
      </w:r>
      <w:bookmarkEnd w:id="29"/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>
      <w:pPr>
        <w:pStyle w:val="2"/>
        <w:bidi w:val="0"/>
      </w:pPr>
      <w:bookmarkStart w:id="30" w:name="bookmark19"/>
      <w:bookmarkEnd w:id="30"/>
      <w:bookmarkStart w:id="31" w:name="_Toc26483"/>
      <w:r>
        <w:t>软件使用管理</w:t>
      </w:r>
      <w:bookmarkEnd w:id="31"/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在使用软件过程中，如发现软件存在安全漏洞或异常情况，应及时向运维部报告，不得擅自处理。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 w:hint="eastAsia"/>
          <w:lang w:val="en-US" w:eastAsia="zh-CN"/>
        </w:rPr>
        <w:t>研发部</w:t>
      </w:r>
      <w:r>
        <w:rPr>
          <w:rFonts w:ascii="Arial" w:hAnsi="Arial"/>
        </w:rPr>
        <w:t>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>
      <w:pPr>
        <w:pStyle w:val="2"/>
        <w:bidi w:val="0"/>
      </w:pPr>
      <w:bookmarkStart w:id="32" w:name="bookmark20"/>
      <w:bookmarkEnd w:id="32"/>
      <w:bookmarkStart w:id="33" w:name="_Toc7012"/>
      <w:r>
        <w:t>软件报废与清理管理</w:t>
      </w:r>
      <w:bookmarkEnd w:id="33"/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研发部</w:t>
      </w:r>
      <w:r>
        <w:t>提出报废申请，经相关领导审批后，进行报废处理。</w:t>
      </w:r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>
      <w:pPr>
        <w:pStyle w:val="2"/>
        <w:bidi w:val="0"/>
      </w:pPr>
      <w:bookmarkStart w:id="34" w:name="_Toc6887"/>
      <w:r>
        <w:t>安全管理</w:t>
      </w:r>
      <w:bookmarkEnd w:id="34"/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应建立软件库安全管理制度，采取必要的安全措施，如安装防火墙、杀毒软件、入侵检测系统等，防范病毒、恶意代码、网络攻击等安全威胁。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定期对软件库进行安全扫描和漏洞检测，及时发现和修复安全漏洞。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加强对软件库管理人员和使用人员的安全意识培训，提高安全防范意识和能力。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建立安全事件应急响应机制，一旦发生软件库安全事件，应及时采取措施进行处置，防止事态扩大。</w:t>
      </w:r>
    </w:p>
    <w:p>
      <w:pPr>
        <w:pStyle w:val="2"/>
        <w:bidi w:val="0"/>
      </w:pPr>
      <w:bookmarkStart w:id="35" w:name="bookmark22"/>
      <w:bookmarkEnd w:id="35"/>
      <w:bookmarkStart w:id="36" w:name="_Toc10125"/>
      <w:r>
        <w:t>监督与检查</w:t>
      </w:r>
      <w:bookmarkEnd w:id="36"/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定期对软件库管理情况进行内部审计和检查，包括软件入库、出库、版本管理、存储备份、使用情况等，确保制度的有效执行。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检查结果应形成报告，及时向公司管理层汇报，对发现的问题及时下达整改通知，跟踪整改情况。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鼓励员工对软件库管理中的违规行为进行举报，对举报属实的给予奖励。</w:t>
      </w:r>
    </w:p>
    <w:p>
      <w: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访问控制策略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为保障最终软件库中软件资产的安全，防止未经授权的访问、使用和泄露，建立严格的访问控制策略，明确不同角色和人员的访问权限。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访问权限分级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根据岗位职责和业务需求，将软件库访问权限分为以下三级：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2480"/>
        <w:gridCol w:w="468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权限级别</w:t>
            </w:r>
          </w:p>
        </w:tc>
        <w:tc>
          <w:tcPr>
            <w:tcW w:w="24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适用岗位</w:t>
            </w:r>
          </w:p>
        </w:tc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可操作范围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管理员权限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研发部经理、软件库管理员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软件入库、出库审核、权限分配、版本管理、备份恢复、报废清理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读写权限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研发工程师、运维实施工程师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软件下载、安装、使用、查阅文档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只读权限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测试工程师、其他相关人员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仅可查阅软件清单和基本信息，不可下载安装包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权限申请与审批流程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权限申请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需要访问软件库的人员，填写《软件库访问权限申请表》，说明申请权限级别、使用事由、使用期限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由申请人所在部门负责人初审确认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只读权限：由部门负责人审批，报研发部备案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读写权限：经部门负责人审核后，报研发部经理审批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管理员权限：经研发部经理审核后，报总经理审批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权限开通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审批通过后，软件库管理员在2个工作日内完成权限配置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通知申请人权限已开通及相关使用规范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权限使用规范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仅为用户分配完成工作任务所需的最小权限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权限有效期原则上不超过1年，到期后需重新申请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一人一账号，严禁共享账号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首次登录必须修改初始密码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密码应符合复杂度要求（至少8位，含大小写字母、数字、特殊字符）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软件库管理员每月导出权限操作日志备查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日志内容包括：操作人、操作时间、操作类型、访问的软件信息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审计日志保存期限不少于2年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权限定期审计</w:t>
      </w:r>
    </w:p>
    <w:p>
      <w:pPr>
        <w:pStyle w:val="a1"/>
        <w:numPr>
          <w:ilvl w:val="0"/>
          <w:numId w:val="2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季度审计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软件库管理员每季度对现有权限进行盘点，检查权限与实际岗位是否匹配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对离职、转岗人员，应在3个工作日内回收权限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审计结果形成《权限审计报告》报研发部经理</w:t>
      </w:r>
    </w:p>
    <w:p>
      <w:pPr>
        <w:pStyle w:val="a1"/>
        <w:numPr>
          <w:ilvl w:val="0"/>
          <w:numId w:val="2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年度复核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研发部每年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月组织一次全面的权限复核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复核内容包括：权限分配的合理性、是否存在闲置账号、权限使用规范性等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根据复核结果优化权限分配策略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一般违规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未按规定申请权限、密码设置不符合要求等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首次违规予以警告，再次违规暂停权限1个月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严重违规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擅自泄露账号密码、私自复制分发软件、越权访问等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视情节严重程度，暂停权限3-6个月，并按照公司相关规定进行处理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造成严重后果的，追究相关法律责任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2171"/>
      <w:r>
        <w:rPr>
          <w:rFonts w:hint="eastAsia"/>
          <w:lang w:val="en-US" w:eastAsia="zh-CN"/>
        </w:rPr>
        <w:t>考核指标</w:t>
      </w:r>
      <w:bookmarkEnd w:id="37"/>
    </w:p>
    <w:tbl>
      <w:tblPr>
        <w:tblStyle w:val="TableGrid"/>
        <w:tblW w:w="874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>
        <w:tblPrEx>
          <w:tblW w:w="874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8" w:name="bookmark3"/>
            <w:bookmarkEnd w:id="38"/>
            <w:bookmarkStart w:id="39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74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1964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每年度</w:t>
            </w:r>
          </w:p>
        </w:tc>
        <w:tc>
          <w:tcPr>
            <w:tcW w:w="1583" w:type="dxa"/>
          </w:tcPr>
          <w:p>
            <w:pPr>
              <w:pStyle w:val="a1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≥9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0" w:name="_Toc6075"/>
      <w:r>
        <w:rPr>
          <w:rStyle w:val="1Char"/>
          <w:rFonts w:eastAsia="宋体" w:hint="eastAsia"/>
          <w:lang w:val="en-US" w:eastAsia="zh-CN"/>
        </w:rPr>
        <w:t>附则</w:t>
      </w:r>
      <w:bookmarkEnd w:id="39"/>
      <w:bookmarkEnd w:id="40"/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1" w:name="bookmark14"/>
      <w:bookmarkEnd w:id="41"/>
      <w:bookmarkStart w:id="42" w:name="_Toc16333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3" w:name="_Toc16980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B047AAB"/>
    <w:multiLevelType w:val="singleLevel"/>
    <w:tmpl w:val="AB047A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C7EA055"/>
    <w:multiLevelType w:val="singleLevel"/>
    <w:tmpl w:val="AC7EA0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D924496"/>
    <w:multiLevelType w:val="singleLevel"/>
    <w:tmpl w:val="AD9244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523902C"/>
    <w:multiLevelType w:val="singleLevel"/>
    <w:tmpl w:val="B52390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434B4C1"/>
    <w:multiLevelType w:val="singleLevel"/>
    <w:tmpl w:val="C434B4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6622DAE"/>
    <w:multiLevelType w:val="singleLevel"/>
    <w:tmpl w:val="C6622D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C609F98"/>
    <w:multiLevelType w:val="singleLevel"/>
    <w:tmpl w:val="CC609F9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AD51C1"/>
    <w:multiLevelType w:val="singleLevel"/>
    <w:tmpl w:val="EBAD51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E97E541"/>
    <w:multiLevelType w:val="singleLevel"/>
    <w:tmpl w:val="EE97E5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EEF7102F"/>
    <w:multiLevelType w:val="singleLevel"/>
    <w:tmpl w:val="EEF71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16B1CD30"/>
    <w:multiLevelType w:val="singleLevel"/>
    <w:tmpl w:val="16B1CD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1A30EC5"/>
    <w:multiLevelType w:val="singleLevel"/>
    <w:tmpl w:val="21A30E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8941241"/>
    <w:multiLevelType w:val="singleLevel"/>
    <w:tmpl w:val="289412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DCF5E74"/>
    <w:multiLevelType w:val="singleLevel"/>
    <w:tmpl w:val="3DCF5E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CB0D990"/>
    <w:multiLevelType w:val="singleLevel"/>
    <w:tmpl w:val="5CB0D9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65F9FC22"/>
    <w:multiLevelType w:val="singleLevel"/>
    <w:tmpl w:val="65F9FC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11F0BF8"/>
    <w:multiLevelType w:val="singleLevel"/>
    <w:tmpl w:val="711F0B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7"/>
  </w:num>
  <w:num w:numId="5">
    <w:abstractNumId w:val="19"/>
  </w:num>
  <w:num w:numId="6">
    <w:abstractNumId w:val="7"/>
  </w:num>
  <w:num w:numId="7">
    <w:abstractNumId w:val="11"/>
  </w:num>
  <w:num w:numId="8">
    <w:abstractNumId w:val="21"/>
  </w:num>
  <w:num w:numId="9">
    <w:abstractNumId w:val="16"/>
  </w:num>
  <w:num w:numId="10">
    <w:abstractNumId w:val="13"/>
  </w:num>
  <w:num w:numId="11">
    <w:abstractNumId w:val="1"/>
  </w:num>
  <w:num w:numId="12">
    <w:abstractNumId w:val="2"/>
  </w:num>
  <w:num w:numId="13">
    <w:abstractNumId w:val="8"/>
  </w:num>
  <w:num w:numId="14">
    <w:abstractNumId w:val="6"/>
  </w:num>
  <w:num w:numId="15">
    <w:abstractNumId w:val="20"/>
  </w:num>
  <w:num w:numId="16">
    <w:abstractNumId w:val="18"/>
  </w:num>
  <w:num w:numId="17">
    <w:abstractNumId w:val="9"/>
  </w:num>
  <w:num w:numId="18">
    <w:abstractNumId w:val="12"/>
  </w:num>
  <w:num w:numId="19">
    <w:abstractNumId w:val="15"/>
  </w:num>
  <w:num w:numId="20">
    <w:abstractNumId w:val="10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3792</Words>
  <Characters>3930</Characters>
  <Application>Microsoft Office Word</Application>
  <DocSecurity>0</DocSecurity>
  <Lines>0</Lines>
  <Paragraphs>0</Paragraphs>
  <ScaleCrop>false</ScaleCrop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2026-06-03T13:48:59Z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