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9F18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p w14:paraId="44333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31CBD24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412"/>
      <w:r>
        <w:rPr>
          <w:rFonts w:hint="eastAsia"/>
          <w:lang w:val="en-US" w:eastAsia="zh-CN"/>
        </w:rPr>
        <w:t>西安泽玺信息科技有限公司</w:t>
      </w:r>
      <w:bookmarkEnd w:id="0"/>
    </w:p>
    <w:p w14:paraId="4479A259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2300"/>
      <w:r>
        <w:rPr>
          <w:rFonts w:hint="eastAsia"/>
          <w:lang w:val="en-US" w:eastAsia="zh-CN"/>
        </w:rPr>
        <w:t>供应商管理制度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65544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F8E9BD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414803796"/>
                <w:vertAlign w:val="baselin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3CD2741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1D361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181110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1EB92BE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1D81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AF918B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2542CE4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0E696ED0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5D73CD7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F2AED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EF5FC1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673056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6D65A1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A72796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E301C2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74FEA2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3F83E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C23D05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24A59C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130D6A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3F7C92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color="auto" w:fill="FFFFFF"/>
              </w:rPr>
              <w:t>门倩</w:t>
            </w:r>
          </w:p>
        </w:tc>
        <w:tc>
          <w:tcPr>
            <w:tcW w:w="1150" w:type="dxa"/>
          </w:tcPr>
          <w:p w14:paraId="399C6E0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0C15E3B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39DF55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45742A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BEBB2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38E07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C48DDE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65CF0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00BDAA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3E454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CAA8C8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9B95BA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6E443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4CA133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AAB87A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A78F42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3B2EA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CC1010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73D043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7E2D5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407FA8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6FA97A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A7D973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21B8A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45791E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C54AA0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9A2C9D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C6769F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4B8F19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64C164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E57E7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B0816B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1D9F0E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5A8A9D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5DEE31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309E94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B80639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083B4C57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852B18A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9A16CB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A1D0C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_Toc22300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75A6F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CF69A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B34FB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A9F3E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651B6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D541B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供应商管理实施</w:t>
          </w:r>
          <w:r>
            <w:tab/>
          </w:r>
          <w:r>
            <w:fldChar w:fldCharType="begin"/>
          </w:r>
          <w:r>
            <w:instrText xml:space="preserve"> PAGEREF _Toc902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C45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供应商准入标准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0A497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供应商资格审查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21C960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信息安全要求</w:t>
          </w:r>
          <w:r>
            <w:tab/>
          </w:r>
          <w:r>
            <w:fldChar w:fldCharType="begin"/>
          </w:r>
          <w:r>
            <w:instrText xml:space="preserve"> PAGEREF _Toc30445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B9EFA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合同管理</w:t>
          </w:r>
          <w:r>
            <w:tab/>
          </w:r>
          <w:r>
            <w:fldChar w:fldCharType="begin"/>
          </w:r>
          <w:r>
            <w:instrText xml:space="preserve"> PAGEREF _Toc17891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3803B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供应商评价</w:t>
          </w:r>
          <w:r>
            <w:tab/>
          </w:r>
          <w:r>
            <w:fldChar w:fldCharType="begin"/>
          </w:r>
          <w:r>
            <w:instrText xml:space="preserve"> PAGEREF _Toc13219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8273B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5.6. 质量异常处理</w:t>
          </w:r>
          <w:r>
            <w:tab/>
          </w:r>
          <w:r>
            <w:fldChar w:fldCharType="begin"/>
          </w:r>
          <w:r>
            <w:instrText xml:space="preserve"> PAGEREF _Toc11180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251B5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5.7. 供应商变更</w:t>
          </w:r>
          <w:r>
            <w:tab/>
          </w:r>
          <w:r>
            <w:fldChar w:fldCharType="begin"/>
          </w:r>
          <w:r>
            <w:instrText xml:space="preserve"> PAGEREF _Toc19495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9FBBC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CB5B2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C34CC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_Toc30419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E7215C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EBCAD9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5B60E02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15534"/>
      <w:r>
        <w:t>目的</w:t>
      </w:r>
      <w:bookmarkEnd w:id="2"/>
    </w:p>
    <w:p w14:paraId="68772D2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为优化供应体系，需建立</w:t>
      </w:r>
      <w:r>
        <w:rPr>
          <w:rFonts w:hint="default"/>
        </w:rPr>
        <w:t>严格的供应商准入机制，实施持续的绩效动态评估（质量、价格、交付、服务），并依据评估结果进行分级管理（激励、优化、淘汰），形成闭环，以确保供应链的稳定、高效与竞争力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 w14:paraId="02AF61CD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5572"/>
      <w:r>
        <w:rPr>
          <w:rFonts w:hint="eastAsia"/>
          <w:lang w:val="en-US" w:eastAsia="zh-CN"/>
        </w:rPr>
        <w:t>原则</w:t>
      </w:r>
      <w:bookmarkEnd w:id="3"/>
    </w:p>
    <w:p w14:paraId="66648A1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战略匹配原则：供应商选择与管理必须支持公司的整体战略和目标。</w:t>
      </w:r>
    </w:p>
    <w:p w14:paraId="0124559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质量优先原则：确保供应商提供的产品和服务质量持续稳定可靠，是管理的首要目标。</w:t>
      </w:r>
    </w:p>
    <w:p w14:paraId="4345856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公平竞争与公开透明原则：引入竞争机制，流程公开、公平、公正，选择最优合作伙伴。</w:t>
      </w:r>
    </w:p>
    <w:p w14:paraId="1F9C674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风险控制原则：主动识别和评估供应链中的潜在风险（如断供、价格波动、质量事故），并制定应对措施。</w:t>
      </w:r>
    </w:p>
    <w:p w14:paraId="440D9C4B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19473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242BC39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本制度规定了企业在采购、开发供应商时，对供应商的日常管理考核的工作程序、规范。</w:t>
      </w:r>
    </w:p>
    <w:p w14:paraId="3695C5E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966"/>
      <w:r>
        <w:rPr>
          <w:rFonts w:hint="eastAsia"/>
          <w:lang w:val="en-US" w:eastAsia="zh-CN"/>
        </w:rPr>
        <w:t>岗位职责</w:t>
      </w:r>
      <w:bookmarkEnd w:id="5"/>
    </w:p>
    <w:p w14:paraId="14F9DF95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4030"/>
      <w:r>
        <w:rPr>
          <w:rFonts w:hint="eastAsia"/>
          <w:lang w:val="en-US" w:eastAsia="zh-CN"/>
        </w:rPr>
        <w:t>采购部</w:t>
      </w:r>
      <w:bookmarkEnd w:id="6"/>
    </w:p>
    <w:p w14:paraId="65BEC168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参与供应商资质评定、样品验证、供货质量管理及考核。</w:t>
      </w:r>
    </w:p>
    <w:p w14:paraId="5883394F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采集供应商的资料和查证合格供应商的日常管理考核；对供应商的交货能力、价格、售后服务的资质的准确性、真实性负责</w:t>
      </w:r>
    </w:p>
    <w:p w14:paraId="416CFC30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902"/>
      <w:r>
        <w:rPr>
          <w:rFonts w:hint="eastAsia"/>
          <w:lang w:val="en-US" w:eastAsia="zh-CN"/>
        </w:rPr>
        <w:t>供应商管理实施</w:t>
      </w:r>
      <w:bookmarkEnd w:id="7"/>
      <w:bookmarkStart w:id="21" w:name="_GoBack"/>
      <w:bookmarkEnd w:id="21"/>
    </w:p>
    <w:p w14:paraId="5567E640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3635"/>
      <w:r>
        <w:rPr>
          <w:rFonts w:hint="default"/>
          <w:lang w:val="en-US" w:eastAsia="zh-CN"/>
        </w:rPr>
        <w:t>供应商准入标准</w:t>
      </w:r>
      <w:bookmarkEnd w:id="8"/>
    </w:p>
    <w:p w14:paraId="095274B8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负责不定期收集潜在供应商信息，并通过多种渠道主动寻源。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可根据规划与项目需要，向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推荐潜在供应商。选择时应综合评估其主营业务、地理位置、公司规模及行业口碑等因素。</w:t>
      </w:r>
    </w:p>
    <w:p w14:paraId="1BB22960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4147"/>
      <w:r>
        <w:rPr>
          <w:rFonts w:hint="default"/>
          <w:lang w:val="en-US" w:eastAsia="zh-CN"/>
        </w:rPr>
        <w:t>供应商资格审查</w:t>
      </w:r>
      <w:bookmarkEnd w:id="9"/>
    </w:p>
    <w:p w14:paraId="7387601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潜在供应商资料收集齐全后，由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组织相关部门进行资格审查。审查时应调查其主体资格、资信状况与履约能力，且对方当事人须满足以下基本条件：</w:t>
      </w:r>
    </w:p>
    <w:p w14:paraId="72C8501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为依法成立的法人或其他组织；</w:t>
      </w:r>
    </w:p>
    <w:p w14:paraId="7859133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原则上成立时间不少于三年；</w:t>
      </w:r>
    </w:p>
    <w:p w14:paraId="2B72A4F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在经营范围内开展业务，若属特殊行业须持有相应经营许可证；</w:t>
      </w:r>
    </w:p>
    <w:p w14:paraId="7154D1C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具备法定的国家或行业资质；</w:t>
      </w:r>
    </w:p>
    <w:p w14:paraId="0D38ACD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具有良好的资信状况和履约能力。</w:t>
      </w:r>
    </w:p>
    <w:p w14:paraId="296CD46D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0" w:name="_Toc30445"/>
      <w:r>
        <w:rPr>
          <w:rFonts w:hint="default"/>
          <w:lang w:val="en-US" w:eastAsia="zh-CN"/>
        </w:rPr>
        <w:t>信息安全要求</w:t>
      </w:r>
      <w:bookmarkEnd w:id="10"/>
    </w:p>
    <w:p w14:paraId="210C218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公司须对供应商服务提出明确安全要求，并依据公司安全管理规定进行管理，具体包括：</w:t>
      </w:r>
    </w:p>
    <w:p w14:paraId="7EC80062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识别并记录允许访问公司信息的供应商类型（如IT服务、物流、金融等</w:t>
      </w:r>
      <w:r>
        <w:rPr>
          <w:rFonts w:hint="eastAsia"/>
          <w:lang w:val="en-US" w:eastAsia="zh-CN"/>
        </w:rPr>
        <w:t>），</w:t>
      </w:r>
      <w:r>
        <w:rPr>
          <w:rFonts w:hint="default"/>
          <w:lang w:val="en-US" w:eastAsia="zh-CN"/>
        </w:rPr>
        <w:t>根据供应商类型，定义其可访问的信息类型，并实施相应的监控与访问控制措施；</w:t>
      </w:r>
    </w:p>
    <w:p w14:paraId="09780438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遵循最小权限原则为供应商分配访问权限，并设定有效期，到期后须及时撤销；</w:t>
      </w:r>
    </w:p>
    <w:p w14:paraId="5BA2DA2C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对供应商的信息安全管理能力进行评估；</w:t>
      </w:r>
    </w:p>
    <w:p w14:paraId="73E02F3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对与供应商交互的公司内部人员开展安全意识培训，明确行为规范；</w:t>
      </w:r>
    </w:p>
    <w:p w14:paraId="6E2E4C6A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将关键信息安全要求与控制措施纳入合同或保密协议。</w:t>
      </w:r>
    </w:p>
    <w:p w14:paraId="18272F94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1" w:name="_Toc17891"/>
      <w:r>
        <w:rPr>
          <w:rFonts w:hint="default"/>
          <w:lang w:val="en-US" w:eastAsia="zh-CN"/>
        </w:rPr>
        <w:t>合同管理</w:t>
      </w:r>
      <w:bookmarkEnd w:id="11"/>
    </w:p>
    <w:p w14:paraId="6CF84FF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负责管理合同及协议，并维护《合格供应商名录》中的关系记录；</w:t>
      </w:r>
    </w:p>
    <w:p w14:paraId="19EF25B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所有合同签署前须经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审核确认；</w:t>
      </w:r>
    </w:p>
    <w:p w14:paraId="71C82AA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应每年至少进行一次合同符合性检查，确保业务需求与合同条款一致；</w:t>
      </w:r>
    </w:p>
    <w:p w14:paraId="170B402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所有合同变更需在满足客户需求的前提下进行；</w:t>
      </w:r>
    </w:p>
    <w:p w14:paraId="40D4B1C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发生合同纠纷时，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须按合同约定流程处理；</w:t>
      </w:r>
    </w:p>
    <w:p w14:paraId="4179136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遇服务结束、提前终止或转移时，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须按合同约定流程处理。</w:t>
      </w:r>
    </w:p>
    <w:p w14:paraId="1CE5CC85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13219"/>
      <w:r>
        <w:rPr>
          <w:rFonts w:hint="default"/>
          <w:lang w:val="en-US" w:eastAsia="zh-CN"/>
        </w:rPr>
        <w:t>供应商评价</w:t>
      </w:r>
      <w:bookmarkEnd w:id="12"/>
    </w:p>
    <w:p w14:paraId="0F3A3E9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每个服务周期初，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依据服务合同与协议，参照《合格供应商名录》，对供应商进行至少年度评审。评审应涵盖产品质量、技术支持、合同执行、质量保证及售后服务等方面，并根据结果对供应商进行分级。同时记录改进措施，作为服务改进计划的输入。</w:t>
      </w:r>
    </w:p>
    <w:p w14:paraId="61EB9C9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3" w:name="_Toc11180"/>
      <w:r>
        <w:rPr>
          <w:rFonts w:hint="default"/>
          <w:lang w:val="en-US" w:eastAsia="zh-CN"/>
        </w:rPr>
        <w:t>质量异常处理</w:t>
      </w:r>
      <w:bookmarkEnd w:id="13"/>
    </w:p>
    <w:p w14:paraId="2983EA2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当供应商供货质量出现波动时，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应组织进行现场工艺技术验证，分析原因并推动制定改善措施，相关结果须经双方书面确认。若发生重大质量事故造成损失，应依据质保金制度索赔。对整改不力、质量仍不稳定的供应商，应取消其合格供应商资格。</w:t>
      </w:r>
    </w:p>
    <w:p w14:paraId="75FD896A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9495"/>
      <w:r>
        <w:rPr>
          <w:rFonts w:hint="default"/>
          <w:lang w:val="en-US" w:eastAsia="zh-CN"/>
        </w:rPr>
        <w:t>供应商变更</w:t>
      </w:r>
      <w:bookmarkEnd w:id="14"/>
    </w:p>
    <w:p w14:paraId="69D6861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所有供应商服务的变更均需执行变更管理流程，并重新评估其对业务信息、系统及过程的风险影响。变更管理涵盖以下三个方面：</w:t>
      </w:r>
    </w:p>
    <w:p w14:paraId="1B2FEF9E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供应商协议的变更；</w:t>
      </w:r>
    </w:p>
    <w:p w14:paraId="0FCD336D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我公司发起的变更，包括：</w:t>
      </w:r>
    </w:p>
    <w:p w14:paraId="58CB94E1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对现有服务的增强；</w:t>
      </w:r>
    </w:p>
    <w:p w14:paraId="6BDE8723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新应用与系统的开发；</w:t>
      </w:r>
    </w:p>
    <w:p w14:paraId="4F2DA35E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组织策略与规程的更新；</w:t>
      </w:r>
    </w:p>
    <w:p w14:paraId="4A9C7F94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为应对安全事件或改进安全而采取的新控制措施；</w:t>
      </w:r>
    </w:p>
    <w:p w14:paraId="450A19D7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供应商发起的变更，包括：</w:t>
      </w:r>
    </w:p>
    <w:p w14:paraId="2579E9BB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网络变更与加强；</w:t>
      </w:r>
    </w:p>
    <w:p w14:paraId="7D8516DF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新技术的使用；</w:t>
      </w:r>
    </w:p>
    <w:p w14:paraId="6E79FBAA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新产品或版本的采用；</w:t>
      </w:r>
    </w:p>
    <w:p w14:paraId="60C5513E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开发工具与环境的变更；</w:t>
      </w:r>
    </w:p>
    <w:p w14:paraId="5ABE0F3E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服务设施地点的变更；</w:t>
      </w:r>
    </w:p>
    <w:p w14:paraId="3CB9F2AC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供应商主体变更；</w:t>
      </w:r>
    </w:p>
    <w:p w14:paraId="2BB9CFAA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分包给其他供应商。</w:t>
      </w:r>
    </w:p>
    <w:p w14:paraId="2AB9CD2C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15" w:name="bookmark3"/>
      <w:bookmarkEnd w:id="15"/>
      <w:bookmarkStart w:id="16" w:name="_Toc17424"/>
      <w:bookmarkStart w:id="17" w:name="_Toc11171"/>
      <w:r>
        <w:rPr>
          <w:rStyle w:val="38"/>
          <w:rFonts w:hint="eastAsia" w:eastAsia="宋体"/>
          <w:lang w:val="en-US" w:eastAsia="zh-CN"/>
        </w:rPr>
        <w:t>附则</w:t>
      </w:r>
      <w:bookmarkEnd w:id="16"/>
      <w:bookmarkEnd w:id="17"/>
    </w:p>
    <w:p w14:paraId="6F3AC611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采购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1A5D7A28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5DBD4E5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31325"/>
      <w:r>
        <w:rPr>
          <w:rFonts w:hint="eastAsia"/>
          <w:lang w:val="en-US" w:eastAsia="zh-CN"/>
        </w:rPr>
        <w:t>附件</w:t>
      </w:r>
      <w:bookmarkEnd w:id="19"/>
    </w:p>
    <w:p w14:paraId="6F387A2F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362E1F5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0" w:name="_Toc30419"/>
      <w:r>
        <w:rPr>
          <w:rFonts w:hint="eastAsia"/>
          <w:lang w:val="en-US" w:eastAsia="zh-CN"/>
        </w:rPr>
        <w:t>记录</w:t>
      </w:r>
      <w:bookmarkEnd w:id="20"/>
    </w:p>
    <w:p w14:paraId="129CDFB3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《合格供应商名录》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5618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7007B5"/>
    <w:multiLevelType w:val="singleLevel"/>
    <w:tmpl w:val="937007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F726D3"/>
    <w:multiLevelType w:val="singleLevel"/>
    <w:tmpl w:val="D2F726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7AC91D"/>
    <w:multiLevelType w:val="singleLevel"/>
    <w:tmpl w:val="DA7AC91D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475A80E"/>
    <w:multiLevelType w:val="singleLevel"/>
    <w:tmpl w:val="E475A8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C300126"/>
    <w:multiLevelType w:val="singleLevel"/>
    <w:tmpl w:val="FC30012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E2CEBEC"/>
    <w:multiLevelType w:val="singleLevel"/>
    <w:tmpl w:val="0E2CEB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B5AB892"/>
    <w:multiLevelType w:val="singleLevel"/>
    <w:tmpl w:val="1B5AB8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090B23"/>
    <w:rsid w:val="75FB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1752</Words>
  <Characters>1834</Characters>
  <Lines>0</Lines>
  <Paragraphs>0</Paragraphs>
  <TotalTime>0</TotalTime>
  <ScaleCrop>false</ScaleCrop>
  <LinksUpToDate>false</LinksUpToDate>
  <CharactersWithSpaces>1904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2026-08-24T05:35:57Z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