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6ADB5B">
      <w:pPr>
        <w:keepNext w:val="0"/>
        <w:keepLines w:val="0"/>
        <w:pageBreakBefore w:val="0"/>
        <w:widowControl w:val="0"/>
        <w:wordWrap/>
        <w:overflowPunct/>
        <w:topLinePunct w:val="0"/>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38915620">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23201B5B">
      <w:pPr>
        <w:pStyle w:val="25"/>
        <w:keepNext w:val="0"/>
        <w:keepLines w:val="0"/>
        <w:pageBreakBefore w:val="0"/>
        <w:widowControl w:val="0"/>
        <w:wordWrap/>
        <w:overflowPunct/>
        <w:topLinePunct w:val="0"/>
        <w:bidi w:val="0"/>
        <w:spacing w:after="1872"/>
        <w:rPr>
          <w:lang w:eastAsia="zh-CN"/>
        </w:rPr>
      </w:pPr>
      <w:bookmarkStart w:id="0" w:name="_Toc29390"/>
      <w:r>
        <w:rPr>
          <w:lang w:eastAsia="zh-CN"/>
        </w:rPr>
        <w:t>西安泽玺信息科技有限公司</w:t>
      </w:r>
      <w:bookmarkEnd w:id="0"/>
    </w:p>
    <w:p w14:paraId="66EA0E61">
      <w:pPr>
        <w:pStyle w:val="26"/>
        <w:keepNext w:val="0"/>
        <w:keepLines w:val="0"/>
        <w:pageBreakBefore w:val="0"/>
        <w:widowControl w:val="0"/>
        <w:wordWrap/>
        <w:overflowPunct/>
        <w:topLinePunct w:val="0"/>
        <w:bidi w:val="0"/>
        <w:spacing w:after="2808"/>
        <w:rPr>
          <w:rFonts w:hint="eastAsia"/>
          <w:sz w:val="36"/>
          <w:szCs w:val="36"/>
          <w:lang w:eastAsia="zh-CN"/>
        </w:rPr>
      </w:pPr>
      <w:bookmarkStart w:id="1" w:name="_Toc12008"/>
      <w:r>
        <w:rPr>
          <w:rFonts w:hint="eastAsia"/>
          <w:sz w:val="36"/>
          <w:szCs w:val="36"/>
          <w:lang w:eastAsia="zh-CN"/>
        </w:rPr>
        <w:t>银川输油气分公司2026年度桌面及信息网络综合运维技术服务项目数据清洗策略实施方案</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24A5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1F71F1E6">
            <w:pPr>
              <w:pStyle w:val="30"/>
              <w:keepNext w:val="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编制人:</w:t>
            </w:r>
            <w:r>
              <w:rPr>
                <w:rFonts w:hint="eastAsia" w:ascii="宋体" w:hAnsi="宋体" w:cs="宋体"/>
                <w:sz w:val="21"/>
                <w:u w:val="single"/>
                <w:lang w:val="en-US" w:eastAsia="zh-CN"/>
              </w:rPr>
              <w:t>丁嘉涛</w:t>
            </w:r>
          </w:p>
        </w:tc>
        <w:tc>
          <w:tcPr>
            <w:tcW w:w="4261" w:type="dxa"/>
          </w:tcPr>
          <w:p w14:paraId="6CF64F41">
            <w:pPr>
              <w:pStyle w:val="30"/>
              <w:keepNext w:val="0"/>
              <w:keepLines w:val="0"/>
              <w:pageBreakBefore w:val="0"/>
              <w:widowControl w:val="0"/>
              <w:wordWrap/>
              <w:overflowPunct/>
              <w:topLinePunct w:val="0"/>
              <w:bidi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2026.1.</w:t>
            </w:r>
            <w:r>
              <w:rPr>
                <w:rFonts w:hint="eastAsia"/>
                <w:sz w:val="21"/>
                <w:u w:val="single"/>
                <w:lang w:val="en-US" w:eastAsia="zh-CN"/>
              </w:rPr>
              <w:t>10</w:t>
            </w:r>
          </w:p>
        </w:tc>
      </w:tr>
      <w:tr w14:paraId="3B412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266C4158">
            <w:pPr>
              <w:pStyle w:val="30"/>
              <w:keepNext w:val="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审核人:</w:t>
            </w:r>
            <w:r>
              <w:rPr>
                <w:rFonts w:hint="eastAsia" w:ascii="宋体" w:hAnsi="宋体" w:cs="宋体"/>
                <w:sz w:val="21"/>
                <w:u w:val="single"/>
                <w:lang w:val="en-US" w:eastAsia="zh-CN"/>
              </w:rPr>
              <w:t>孙晓玲</w:t>
            </w:r>
          </w:p>
        </w:tc>
        <w:tc>
          <w:tcPr>
            <w:tcW w:w="4261" w:type="dxa"/>
          </w:tcPr>
          <w:p w14:paraId="3409518B">
            <w:pPr>
              <w:pStyle w:val="30"/>
              <w:keepNext w:val="0"/>
              <w:keepLines w:val="0"/>
              <w:pageBreakBefore w:val="0"/>
              <w:widowControl w:val="0"/>
              <w:wordWrap/>
              <w:overflowPunct/>
              <w:topLinePunct w:val="0"/>
              <w:bidi w:val="0"/>
              <w:ind w:firstLine="420"/>
              <w:jc w:val="both"/>
              <w:rPr>
                <w:rFonts w:hint="default" w:ascii="宋体" w:hAnsi="宋体" w:eastAsia="宋体" w:cs="宋体"/>
                <w:sz w:val="21"/>
                <w:lang w:val="en-US" w:eastAsia="zh-CN"/>
              </w:rPr>
            </w:pPr>
            <w:r>
              <w:rPr>
                <w:rFonts w:hint="eastAsia" w:ascii="宋体" w:hAnsi="宋体" w:cs="宋体"/>
                <w:sz w:val="21"/>
                <w:lang w:val="en-US" w:eastAsia="zh-CN"/>
              </w:rPr>
              <w:t>审核</w:t>
            </w:r>
            <w:r>
              <w:rPr>
                <w:rFonts w:hint="eastAsia" w:ascii="宋体" w:hAnsi="宋体" w:cs="宋体"/>
                <w:sz w:val="21"/>
              </w:rPr>
              <w:t>时间:</w:t>
            </w:r>
            <w:r>
              <w:rPr>
                <w:sz w:val="21"/>
                <w:u w:val="single"/>
              </w:rPr>
              <w:t>2026.1.</w:t>
            </w:r>
            <w:r>
              <w:rPr>
                <w:rFonts w:hint="eastAsia"/>
                <w:sz w:val="21"/>
                <w:u w:val="single"/>
                <w:lang w:val="en-US" w:eastAsia="zh-CN"/>
              </w:rPr>
              <w:t>10</w:t>
            </w:r>
          </w:p>
        </w:tc>
      </w:tr>
      <w:tr w14:paraId="3B68A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12C9C35">
            <w:pPr>
              <w:pStyle w:val="30"/>
              <w:keepNext w:val="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冯建东</w:t>
            </w:r>
          </w:p>
        </w:tc>
        <w:tc>
          <w:tcPr>
            <w:tcW w:w="4261" w:type="dxa"/>
          </w:tcPr>
          <w:p w14:paraId="3E7BCACA">
            <w:pPr>
              <w:pStyle w:val="30"/>
              <w:keepNext w:val="0"/>
              <w:keepLines w:val="0"/>
              <w:pageBreakBefore w:val="0"/>
              <w:widowControl w:val="0"/>
              <w:wordWrap/>
              <w:overflowPunct/>
              <w:topLinePunct w:val="0"/>
              <w:bidi w:val="0"/>
              <w:ind w:firstLine="420"/>
              <w:jc w:val="both"/>
              <w:rPr>
                <w:rFonts w:hint="default" w:ascii="宋体" w:hAnsi="宋体" w:eastAsia="宋体" w:cs="宋体"/>
                <w:sz w:val="21"/>
                <w:lang w:val="en-US" w:eastAsia="zh-CN"/>
              </w:rPr>
            </w:pPr>
            <w:r>
              <w:rPr>
                <w:rFonts w:hint="eastAsia" w:ascii="宋体" w:hAnsi="宋体" w:cs="宋体"/>
                <w:sz w:val="21"/>
              </w:rPr>
              <w:t>审批时间:</w:t>
            </w:r>
            <w:r>
              <w:rPr>
                <w:sz w:val="21"/>
                <w:u w:val="single"/>
              </w:rPr>
              <w:t>2026.1.</w:t>
            </w:r>
            <w:r>
              <w:rPr>
                <w:rFonts w:hint="eastAsia"/>
                <w:sz w:val="21"/>
                <w:u w:val="single"/>
                <w:lang w:val="en-US" w:eastAsia="zh-CN"/>
              </w:rPr>
              <w:t>10</w:t>
            </w:r>
          </w:p>
        </w:tc>
      </w:tr>
    </w:tbl>
    <w:p w14:paraId="3634C1A4">
      <w:pPr>
        <w:pStyle w:val="30"/>
        <w:keepNext w:val="0"/>
        <w:keepLines w:val="0"/>
        <w:pageBreakBefore w:val="0"/>
        <w:widowControl w:val="0"/>
        <w:wordWrap/>
        <w:overflowPunct/>
        <w:topLinePunct w:val="0"/>
        <w:bidi w:val="0"/>
        <w:ind w:firstLine="480"/>
      </w:pPr>
      <w:r>
        <w:br w:type="page"/>
      </w:r>
    </w:p>
    <w:p w14:paraId="63BBCBBF">
      <w:pPr>
        <w:keepNext w:val="0"/>
        <w:keepLines w:val="0"/>
        <w:pageBreakBefore w:val="0"/>
        <w:widowControl w:val="0"/>
        <w:wordWrap/>
        <w:overflowPunct/>
        <w:topLinePunct w:val="0"/>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DEB58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E71223A">
            <w:pPr>
              <w:keepNext w:val="0"/>
              <w:keepLines w:val="0"/>
              <w:pageBreakBefore w:val="0"/>
              <w:widowControl w:val="0"/>
              <w:wordWrap/>
              <w:overflowPunct/>
              <w:topLinePunct w:val="0"/>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41327848">
            <w:pPr>
              <w:keepNext w:val="0"/>
              <w:keepLines w:val="0"/>
              <w:pageBreakBefore w:val="0"/>
              <w:widowControl w:val="0"/>
              <w:wordWrap/>
              <w:overflowPunct/>
              <w:topLinePunct w:val="0"/>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3699A1FC">
            <w:pPr>
              <w:keepNext w:val="0"/>
              <w:keepLines w:val="0"/>
              <w:pageBreakBefore w:val="0"/>
              <w:widowControl w:val="0"/>
              <w:wordWrap/>
              <w:overflowPunct/>
              <w:topLinePunct w:val="0"/>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2FC59BE9">
            <w:pPr>
              <w:keepNext w:val="0"/>
              <w:keepLines w:val="0"/>
              <w:pageBreakBefore w:val="0"/>
              <w:widowControl w:val="0"/>
              <w:wordWrap/>
              <w:overflowPunct/>
              <w:topLinePunct w:val="0"/>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8F60DA6">
            <w:pPr>
              <w:keepNext w:val="0"/>
              <w:keepLines w:val="0"/>
              <w:pageBreakBefore w:val="0"/>
              <w:widowControl w:val="0"/>
              <w:wordWrap/>
              <w:overflowPunct/>
              <w:topLinePunct w:val="0"/>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1D99EBF7">
            <w:pPr>
              <w:keepNext w:val="0"/>
              <w:keepLines w:val="0"/>
              <w:pageBreakBefore w:val="0"/>
              <w:widowControl w:val="0"/>
              <w:wordWrap/>
              <w:overflowPunct/>
              <w:topLinePunct w:val="0"/>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22F7FA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E7385A8">
            <w:pPr>
              <w:keepNext w:val="0"/>
              <w:keepLines w:val="0"/>
              <w:pageBreakBefore w:val="0"/>
              <w:widowControl w:val="0"/>
              <w:wordWrap/>
              <w:overflowPunct/>
              <w:topLinePunct w:val="0"/>
              <w:bidi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2026.1.</w:t>
            </w:r>
            <w:r>
              <w:rPr>
                <w:rFonts w:hint="eastAsia" w:ascii="宋体" w:hAnsi="宋体" w:cs="宋体"/>
                <w:spacing w:val="3"/>
                <w:position w:val="1"/>
                <w:sz w:val="20"/>
                <w:szCs w:val="20"/>
                <w:lang w:eastAsia="zh-CN"/>
              </w:rPr>
              <w:t>10</w:t>
            </w:r>
          </w:p>
        </w:tc>
        <w:tc>
          <w:tcPr>
            <w:tcW w:w="919" w:type="dxa"/>
          </w:tcPr>
          <w:p w14:paraId="4DBA16A9">
            <w:pPr>
              <w:keepNext w:val="0"/>
              <w:keepLines w:val="0"/>
              <w:pageBreakBefore w:val="0"/>
              <w:widowControl w:val="0"/>
              <w:wordWrap/>
              <w:overflowPunct/>
              <w:topLinePunct w:val="0"/>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72E3A127">
            <w:pPr>
              <w:keepNext w:val="0"/>
              <w:keepLines w:val="0"/>
              <w:pageBreakBefore w:val="0"/>
              <w:widowControl w:val="0"/>
              <w:wordWrap/>
              <w:overflowPunct/>
              <w:topLinePunct w:val="0"/>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428DA8CB">
            <w:pPr>
              <w:keepNext w:val="0"/>
              <w:keepLines w:val="0"/>
              <w:pageBreakBefore w:val="0"/>
              <w:widowControl w:val="0"/>
              <w:wordWrap/>
              <w:overflowPunct/>
              <w:topLinePunct w:val="0"/>
              <w:bidi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0CAB37AD">
            <w:pPr>
              <w:keepNext w:val="0"/>
              <w:keepLines w:val="0"/>
              <w:pageBreakBefore w:val="0"/>
              <w:widowControl w:val="0"/>
              <w:wordWrap/>
              <w:overflowPunct/>
              <w:topLinePunct w:val="0"/>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5D838484">
            <w:pPr>
              <w:keepNext w:val="0"/>
              <w:keepLines w:val="0"/>
              <w:pageBreakBefore w:val="0"/>
              <w:widowControl w:val="0"/>
              <w:wordWrap/>
              <w:overflowPunct/>
              <w:topLinePunct w:val="0"/>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048D69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7C718F">
            <w:pPr>
              <w:pStyle w:val="28"/>
              <w:keepNext w:val="0"/>
              <w:keepLines w:val="0"/>
              <w:pageBreakBefore w:val="0"/>
              <w:widowControl w:val="0"/>
              <w:wordWrap/>
              <w:overflowPunct/>
              <w:topLinePunct w:val="0"/>
              <w:bidi w:val="0"/>
              <w:rPr>
                <w:rFonts w:hint="eastAsia"/>
              </w:rPr>
            </w:pPr>
          </w:p>
        </w:tc>
        <w:tc>
          <w:tcPr>
            <w:tcW w:w="919" w:type="dxa"/>
          </w:tcPr>
          <w:p w14:paraId="40E5C3B9">
            <w:pPr>
              <w:pStyle w:val="28"/>
              <w:keepNext w:val="0"/>
              <w:keepLines w:val="0"/>
              <w:pageBreakBefore w:val="0"/>
              <w:widowControl w:val="0"/>
              <w:wordWrap/>
              <w:overflowPunct/>
              <w:topLinePunct w:val="0"/>
              <w:bidi w:val="0"/>
              <w:rPr>
                <w:rFonts w:hint="eastAsia"/>
              </w:rPr>
            </w:pPr>
          </w:p>
        </w:tc>
        <w:tc>
          <w:tcPr>
            <w:tcW w:w="2289" w:type="dxa"/>
          </w:tcPr>
          <w:p w14:paraId="2B9625FD">
            <w:pPr>
              <w:pStyle w:val="28"/>
              <w:keepNext w:val="0"/>
              <w:keepLines w:val="0"/>
              <w:pageBreakBefore w:val="0"/>
              <w:widowControl w:val="0"/>
              <w:wordWrap/>
              <w:overflowPunct/>
              <w:topLinePunct w:val="0"/>
              <w:bidi w:val="0"/>
              <w:rPr>
                <w:rFonts w:hint="eastAsia"/>
              </w:rPr>
            </w:pPr>
          </w:p>
        </w:tc>
        <w:tc>
          <w:tcPr>
            <w:tcW w:w="1148" w:type="dxa"/>
          </w:tcPr>
          <w:p w14:paraId="0391FA4A">
            <w:pPr>
              <w:keepNext w:val="0"/>
              <w:keepLines w:val="0"/>
              <w:pageBreakBefore w:val="0"/>
              <w:widowControl w:val="0"/>
              <w:wordWrap/>
              <w:overflowPunct/>
              <w:topLinePunct w:val="0"/>
              <w:bidi w:val="0"/>
              <w:spacing w:before="172" w:line="228" w:lineRule="auto"/>
              <w:ind w:left="313"/>
            </w:pPr>
          </w:p>
        </w:tc>
        <w:tc>
          <w:tcPr>
            <w:tcW w:w="1150" w:type="dxa"/>
          </w:tcPr>
          <w:p w14:paraId="6EE789D1">
            <w:pPr>
              <w:keepNext w:val="0"/>
              <w:keepLines w:val="0"/>
              <w:pageBreakBefore w:val="0"/>
              <w:widowControl w:val="0"/>
              <w:wordWrap/>
              <w:overflowPunct/>
              <w:topLinePunct w:val="0"/>
              <w:bidi w:val="0"/>
              <w:spacing w:before="172" w:line="228" w:lineRule="auto"/>
              <w:ind w:left="313"/>
            </w:pPr>
          </w:p>
        </w:tc>
        <w:tc>
          <w:tcPr>
            <w:tcW w:w="1240" w:type="dxa"/>
          </w:tcPr>
          <w:p w14:paraId="1CBD3F48">
            <w:pPr>
              <w:pStyle w:val="28"/>
              <w:keepNext w:val="0"/>
              <w:keepLines w:val="0"/>
              <w:pageBreakBefore w:val="0"/>
              <w:widowControl w:val="0"/>
              <w:wordWrap/>
              <w:overflowPunct/>
              <w:topLinePunct w:val="0"/>
              <w:bidi w:val="0"/>
              <w:rPr>
                <w:rFonts w:hint="eastAsia"/>
              </w:rPr>
            </w:pPr>
          </w:p>
        </w:tc>
      </w:tr>
      <w:tr w14:paraId="1D2DF2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5E11A27">
            <w:pPr>
              <w:pStyle w:val="28"/>
              <w:keepNext w:val="0"/>
              <w:keepLines w:val="0"/>
              <w:pageBreakBefore w:val="0"/>
              <w:widowControl w:val="0"/>
              <w:wordWrap/>
              <w:overflowPunct/>
              <w:topLinePunct w:val="0"/>
              <w:bidi w:val="0"/>
              <w:rPr>
                <w:rFonts w:hint="eastAsia"/>
              </w:rPr>
            </w:pPr>
          </w:p>
        </w:tc>
        <w:tc>
          <w:tcPr>
            <w:tcW w:w="919" w:type="dxa"/>
          </w:tcPr>
          <w:p w14:paraId="6C34D42B">
            <w:pPr>
              <w:pStyle w:val="28"/>
              <w:keepNext w:val="0"/>
              <w:keepLines w:val="0"/>
              <w:pageBreakBefore w:val="0"/>
              <w:widowControl w:val="0"/>
              <w:wordWrap/>
              <w:overflowPunct/>
              <w:topLinePunct w:val="0"/>
              <w:bidi w:val="0"/>
              <w:rPr>
                <w:rFonts w:hint="eastAsia"/>
              </w:rPr>
            </w:pPr>
          </w:p>
        </w:tc>
        <w:tc>
          <w:tcPr>
            <w:tcW w:w="2289" w:type="dxa"/>
          </w:tcPr>
          <w:p w14:paraId="555EEF98">
            <w:pPr>
              <w:pStyle w:val="28"/>
              <w:keepNext w:val="0"/>
              <w:keepLines w:val="0"/>
              <w:pageBreakBefore w:val="0"/>
              <w:widowControl w:val="0"/>
              <w:wordWrap/>
              <w:overflowPunct/>
              <w:topLinePunct w:val="0"/>
              <w:bidi w:val="0"/>
              <w:rPr>
                <w:rFonts w:hint="eastAsia"/>
              </w:rPr>
            </w:pPr>
          </w:p>
        </w:tc>
        <w:tc>
          <w:tcPr>
            <w:tcW w:w="1148" w:type="dxa"/>
          </w:tcPr>
          <w:p w14:paraId="4A3C74CC">
            <w:pPr>
              <w:keepNext w:val="0"/>
              <w:keepLines w:val="0"/>
              <w:pageBreakBefore w:val="0"/>
              <w:widowControl w:val="0"/>
              <w:wordWrap/>
              <w:overflowPunct/>
              <w:topLinePunct w:val="0"/>
              <w:bidi w:val="0"/>
              <w:spacing w:before="173" w:line="229" w:lineRule="auto"/>
              <w:ind w:left="314"/>
            </w:pPr>
          </w:p>
        </w:tc>
        <w:tc>
          <w:tcPr>
            <w:tcW w:w="1150" w:type="dxa"/>
          </w:tcPr>
          <w:p w14:paraId="68F9AFC5">
            <w:pPr>
              <w:keepNext w:val="0"/>
              <w:keepLines w:val="0"/>
              <w:pageBreakBefore w:val="0"/>
              <w:widowControl w:val="0"/>
              <w:wordWrap/>
              <w:overflowPunct/>
              <w:topLinePunct w:val="0"/>
              <w:bidi w:val="0"/>
              <w:spacing w:before="173" w:line="229" w:lineRule="auto"/>
              <w:ind w:left="314"/>
            </w:pPr>
          </w:p>
        </w:tc>
        <w:tc>
          <w:tcPr>
            <w:tcW w:w="1240" w:type="dxa"/>
          </w:tcPr>
          <w:p w14:paraId="3FB0BF9C">
            <w:pPr>
              <w:pStyle w:val="28"/>
              <w:keepNext w:val="0"/>
              <w:keepLines w:val="0"/>
              <w:pageBreakBefore w:val="0"/>
              <w:widowControl w:val="0"/>
              <w:wordWrap/>
              <w:overflowPunct/>
              <w:topLinePunct w:val="0"/>
              <w:bidi w:val="0"/>
              <w:rPr>
                <w:rFonts w:hint="eastAsia"/>
              </w:rPr>
            </w:pPr>
          </w:p>
        </w:tc>
      </w:tr>
      <w:tr w14:paraId="0EDE29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03395742">
            <w:pPr>
              <w:pStyle w:val="28"/>
              <w:keepNext w:val="0"/>
              <w:keepLines w:val="0"/>
              <w:pageBreakBefore w:val="0"/>
              <w:widowControl w:val="0"/>
              <w:wordWrap/>
              <w:overflowPunct/>
              <w:topLinePunct w:val="0"/>
              <w:bidi w:val="0"/>
              <w:rPr>
                <w:rFonts w:hint="eastAsia"/>
              </w:rPr>
            </w:pPr>
          </w:p>
        </w:tc>
        <w:tc>
          <w:tcPr>
            <w:tcW w:w="919" w:type="dxa"/>
          </w:tcPr>
          <w:p w14:paraId="33556331">
            <w:pPr>
              <w:pStyle w:val="28"/>
              <w:keepNext w:val="0"/>
              <w:keepLines w:val="0"/>
              <w:pageBreakBefore w:val="0"/>
              <w:widowControl w:val="0"/>
              <w:wordWrap/>
              <w:overflowPunct/>
              <w:topLinePunct w:val="0"/>
              <w:bidi w:val="0"/>
              <w:rPr>
                <w:rFonts w:hint="eastAsia"/>
              </w:rPr>
            </w:pPr>
          </w:p>
        </w:tc>
        <w:tc>
          <w:tcPr>
            <w:tcW w:w="2289" w:type="dxa"/>
          </w:tcPr>
          <w:p w14:paraId="7C64C160">
            <w:pPr>
              <w:pStyle w:val="28"/>
              <w:keepNext w:val="0"/>
              <w:keepLines w:val="0"/>
              <w:pageBreakBefore w:val="0"/>
              <w:widowControl w:val="0"/>
              <w:wordWrap/>
              <w:overflowPunct/>
              <w:topLinePunct w:val="0"/>
              <w:bidi w:val="0"/>
              <w:rPr>
                <w:rFonts w:hint="eastAsia"/>
              </w:rPr>
            </w:pPr>
          </w:p>
        </w:tc>
        <w:tc>
          <w:tcPr>
            <w:tcW w:w="1148" w:type="dxa"/>
          </w:tcPr>
          <w:p w14:paraId="113AD9AD">
            <w:pPr>
              <w:pStyle w:val="28"/>
              <w:keepNext w:val="0"/>
              <w:keepLines w:val="0"/>
              <w:pageBreakBefore w:val="0"/>
              <w:widowControl w:val="0"/>
              <w:wordWrap/>
              <w:overflowPunct/>
              <w:topLinePunct w:val="0"/>
              <w:bidi w:val="0"/>
              <w:rPr>
                <w:rFonts w:hint="eastAsia"/>
              </w:rPr>
            </w:pPr>
          </w:p>
        </w:tc>
        <w:tc>
          <w:tcPr>
            <w:tcW w:w="1150" w:type="dxa"/>
          </w:tcPr>
          <w:p w14:paraId="3A32247C">
            <w:pPr>
              <w:pStyle w:val="28"/>
              <w:keepNext w:val="0"/>
              <w:keepLines w:val="0"/>
              <w:pageBreakBefore w:val="0"/>
              <w:widowControl w:val="0"/>
              <w:wordWrap/>
              <w:overflowPunct/>
              <w:topLinePunct w:val="0"/>
              <w:bidi w:val="0"/>
              <w:rPr>
                <w:rFonts w:hint="eastAsia"/>
              </w:rPr>
            </w:pPr>
          </w:p>
        </w:tc>
        <w:tc>
          <w:tcPr>
            <w:tcW w:w="1240" w:type="dxa"/>
          </w:tcPr>
          <w:p w14:paraId="448682EA">
            <w:pPr>
              <w:pStyle w:val="28"/>
              <w:keepNext w:val="0"/>
              <w:keepLines w:val="0"/>
              <w:pageBreakBefore w:val="0"/>
              <w:widowControl w:val="0"/>
              <w:wordWrap/>
              <w:overflowPunct/>
              <w:topLinePunct w:val="0"/>
              <w:bidi w:val="0"/>
              <w:rPr>
                <w:rFonts w:hint="eastAsia"/>
              </w:rPr>
            </w:pPr>
          </w:p>
        </w:tc>
      </w:tr>
      <w:tr w14:paraId="38EED7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A86B29B">
            <w:pPr>
              <w:pStyle w:val="28"/>
              <w:keepNext w:val="0"/>
              <w:keepLines w:val="0"/>
              <w:pageBreakBefore w:val="0"/>
              <w:widowControl w:val="0"/>
              <w:wordWrap/>
              <w:overflowPunct/>
              <w:topLinePunct w:val="0"/>
              <w:bidi w:val="0"/>
              <w:rPr>
                <w:rFonts w:hint="eastAsia"/>
              </w:rPr>
            </w:pPr>
          </w:p>
        </w:tc>
        <w:tc>
          <w:tcPr>
            <w:tcW w:w="919" w:type="dxa"/>
          </w:tcPr>
          <w:p w14:paraId="7FD6FEB0">
            <w:pPr>
              <w:pStyle w:val="28"/>
              <w:keepNext w:val="0"/>
              <w:keepLines w:val="0"/>
              <w:pageBreakBefore w:val="0"/>
              <w:widowControl w:val="0"/>
              <w:wordWrap/>
              <w:overflowPunct/>
              <w:topLinePunct w:val="0"/>
              <w:bidi w:val="0"/>
              <w:rPr>
                <w:rFonts w:hint="eastAsia"/>
              </w:rPr>
            </w:pPr>
          </w:p>
        </w:tc>
        <w:tc>
          <w:tcPr>
            <w:tcW w:w="2289" w:type="dxa"/>
          </w:tcPr>
          <w:p w14:paraId="217BA529">
            <w:pPr>
              <w:pStyle w:val="28"/>
              <w:keepNext w:val="0"/>
              <w:keepLines w:val="0"/>
              <w:pageBreakBefore w:val="0"/>
              <w:widowControl w:val="0"/>
              <w:wordWrap/>
              <w:overflowPunct/>
              <w:topLinePunct w:val="0"/>
              <w:bidi w:val="0"/>
              <w:rPr>
                <w:rFonts w:hint="eastAsia"/>
              </w:rPr>
            </w:pPr>
          </w:p>
        </w:tc>
        <w:tc>
          <w:tcPr>
            <w:tcW w:w="1148" w:type="dxa"/>
          </w:tcPr>
          <w:p w14:paraId="2B7A7BF6">
            <w:pPr>
              <w:pStyle w:val="28"/>
              <w:keepNext w:val="0"/>
              <w:keepLines w:val="0"/>
              <w:pageBreakBefore w:val="0"/>
              <w:widowControl w:val="0"/>
              <w:wordWrap/>
              <w:overflowPunct/>
              <w:topLinePunct w:val="0"/>
              <w:bidi w:val="0"/>
              <w:rPr>
                <w:rFonts w:hint="eastAsia"/>
              </w:rPr>
            </w:pPr>
          </w:p>
        </w:tc>
        <w:tc>
          <w:tcPr>
            <w:tcW w:w="1150" w:type="dxa"/>
          </w:tcPr>
          <w:p w14:paraId="5B11E2FD">
            <w:pPr>
              <w:pStyle w:val="28"/>
              <w:keepNext w:val="0"/>
              <w:keepLines w:val="0"/>
              <w:pageBreakBefore w:val="0"/>
              <w:widowControl w:val="0"/>
              <w:wordWrap/>
              <w:overflowPunct/>
              <w:topLinePunct w:val="0"/>
              <w:bidi w:val="0"/>
              <w:rPr>
                <w:rFonts w:hint="eastAsia"/>
              </w:rPr>
            </w:pPr>
          </w:p>
        </w:tc>
        <w:tc>
          <w:tcPr>
            <w:tcW w:w="1240" w:type="dxa"/>
          </w:tcPr>
          <w:p w14:paraId="688117A8">
            <w:pPr>
              <w:pStyle w:val="28"/>
              <w:keepNext w:val="0"/>
              <w:keepLines w:val="0"/>
              <w:pageBreakBefore w:val="0"/>
              <w:widowControl w:val="0"/>
              <w:wordWrap/>
              <w:overflowPunct/>
              <w:topLinePunct w:val="0"/>
              <w:bidi w:val="0"/>
              <w:rPr>
                <w:rFonts w:hint="eastAsia"/>
              </w:rPr>
            </w:pPr>
          </w:p>
        </w:tc>
      </w:tr>
      <w:tr w14:paraId="43ED4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EC13E38">
            <w:pPr>
              <w:pStyle w:val="28"/>
              <w:keepNext w:val="0"/>
              <w:keepLines w:val="0"/>
              <w:pageBreakBefore w:val="0"/>
              <w:widowControl w:val="0"/>
              <w:wordWrap/>
              <w:overflowPunct/>
              <w:topLinePunct w:val="0"/>
              <w:bidi w:val="0"/>
              <w:rPr>
                <w:rFonts w:hint="eastAsia"/>
              </w:rPr>
            </w:pPr>
          </w:p>
        </w:tc>
        <w:tc>
          <w:tcPr>
            <w:tcW w:w="919" w:type="dxa"/>
          </w:tcPr>
          <w:p w14:paraId="769206ED">
            <w:pPr>
              <w:pStyle w:val="28"/>
              <w:keepNext w:val="0"/>
              <w:keepLines w:val="0"/>
              <w:pageBreakBefore w:val="0"/>
              <w:widowControl w:val="0"/>
              <w:wordWrap/>
              <w:overflowPunct/>
              <w:topLinePunct w:val="0"/>
              <w:bidi w:val="0"/>
              <w:rPr>
                <w:rFonts w:hint="eastAsia"/>
              </w:rPr>
            </w:pPr>
          </w:p>
        </w:tc>
        <w:tc>
          <w:tcPr>
            <w:tcW w:w="2289" w:type="dxa"/>
          </w:tcPr>
          <w:p w14:paraId="3B44980B">
            <w:pPr>
              <w:pStyle w:val="28"/>
              <w:keepNext w:val="0"/>
              <w:keepLines w:val="0"/>
              <w:pageBreakBefore w:val="0"/>
              <w:widowControl w:val="0"/>
              <w:wordWrap/>
              <w:overflowPunct/>
              <w:topLinePunct w:val="0"/>
              <w:bidi w:val="0"/>
              <w:rPr>
                <w:rFonts w:hint="eastAsia"/>
              </w:rPr>
            </w:pPr>
          </w:p>
        </w:tc>
        <w:tc>
          <w:tcPr>
            <w:tcW w:w="1148" w:type="dxa"/>
          </w:tcPr>
          <w:p w14:paraId="7F19D78C">
            <w:pPr>
              <w:pStyle w:val="28"/>
              <w:keepNext w:val="0"/>
              <w:keepLines w:val="0"/>
              <w:pageBreakBefore w:val="0"/>
              <w:widowControl w:val="0"/>
              <w:wordWrap/>
              <w:overflowPunct/>
              <w:topLinePunct w:val="0"/>
              <w:bidi w:val="0"/>
              <w:rPr>
                <w:rFonts w:hint="eastAsia"/>
              </w:rPr>
            </w:pPr>
          </w:p>
        </w:tc>
        <w:tc>
          <w:tcPr>
            <w:tcW w:w="1150" w:type="dxa"/>
          </w:tcPr>
          <w:p w14:paraId="45F88D03">
            <w:pPr>
              <w:pStyle w:val="28"/>
              <w:keepNext w:val="0"/>
              <w:keepLines w:val="0"/>
              <w:pageBreakBefore w:val="0"/>
              <w:widowControl w:val="0"/>
              <w:wordWrap/>
              <w:overflowPunct/>
              <w:topLinePunct w:val="0"/>
              <w:bidi w:val="0"/>
              <w:rPr>
                <w:rFonts w:hint="eastAsia"/>
              </w:rPr>
            </w:pPr>
          </w:p>
        </w:tc>
        <w:tc>
          <w:tcPr>
            <w:tcW w:w="1240" w:type="dxa"/>
          </w:tcPr>
          <w:p w14:paraId="64E9F6A1">
            <w:pPr>
              <w:pStyle w:val="28"/>
              <w:keepNext w:val="0"/>
              <w:keepLines w:val="0"/>
              <w:pageBreakBefore w:val="0"/>
              <w:widowControl w:val="0"/>
              <w:wordWrap/>
              <w:overflowPunct/>
              <w:topLinePunct w:val="0"/>
              <w:bidi w:val="0"/>
              <w:rPr>
                <w:rFonts w:hint="eastAsia"/>
              </w:rPr>
            </w:pPr>
          </w:p>
        </w:tc>
      </w:tr>
    </w:tbl>
    <w:p w14:paraId="1EA42AAB">
      <w:pPr>
        <w:keepNext w:val="0"/>
        <w:keepLines w:val="0"/>
        <w:pageBreakBefore w:val="0"/>
        <w:widowControl w:val="0"/>
        <w:wordWrap/>
        <w:overflowPunct/>
        <w:topLinePunct w:val="0"/>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7F91F489">
          <w:pPr>
            <w:keepNext w:val="0"/>
            <w:keepLines w:val="0"/>
            <w:pageBreakBefore w:val="0"/>
            <w:widowControl w:val="0"/>
            <w:wordWrap/>
            <w:overflowPunct/>
            <w:topLinePunct w:val="0"/>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3587040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_Toc29390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_Toc29390 \h </w:instrText>
          </w:r>
          <w:r>
            <w:fldChar w:fldCharType="separate"/>
          </w:r>
          <w:r>
            <w:t>1</w:t>
          </w:r>
          <w:r>
            <w:fldChar w:fldCharType="end"/>
          </w:r>
          <w:r>
            <w:rPr>
              <w:rFonts w:hint="eastAsia" w:ascii="宋体" w:hAnsi="宋体" w:eastAsia="宋体" w:cs="宋体"/>
              <w:szCs w:val="24"/>
            </w:rPr>
            <w:fldChar w:fldCharType="end"/>
          </w:r>
        </w:p>
        <w:p w14:paraId="1B674B0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_Toc12008 </w:instrText>
          </w:r>
          <w:r>
            <w:rPr>
              <w:rFonts w:hint="eastAsia" w:ascii="宋体" w:hAnsi="宋体" w:cs="宋体"/>
              <w:szCs w:val="24"/>
            </w:rPr>
            <w:fldChar w:fldCharType="separate"/>
          </w:r>
          <w:r>
            <w:rPr>
              <w:rFonts w:hint="eastAsia"/>
              <w:szCs w:val="36"/>
              <w:lang w:eastAsia="zh-CN"/>
            </w:rPr>
            <w:t>银川输油气分公司2026年度桌面及信息网络综合运维技术服务项目数据清洗策略实施方案</w:t>
          </w:r>
          <w:r>
            <w:tab/>
          </w:r>
          <w:r>
            <w:fldChar w:fldCharType="begin"/>
          </w:r>
          <w:r>
            <w:instrText xml:space="preserve"> PAGEREF _Toc12008 \h </w:instrText>
          </w:r>
          <w:r>
            <w:fldChar w:fldCharType="separate"/>
          </w:r>
          <w:r>
            <w:t>1</w:t>
          </w:r>
          <w:r>
            <w:fldChar w:fldCharType="end"/>
          </w:r>
          <w:r>
            <w:rPr>
              <w:rFonts w:hint="eastAsia" w:ascii="宋体" w:hAnsi="宋体" w:cs="宋体"/>
              <w:szCs w:val="24"/>
            </w:rPr>
            <w:fldChar w:fldCharType="end"/>
          </w:r>
        </w:p>
        <w:p w14:paraId="599C1500">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_Toc32105 </w:instrText>
          </w:r>
          <w:r>
            <w:rPr>
              <w:rFonts w:hint="eastAsia" w:ascii="宋体" w:hAnsi="宋体" w:cs="宋体"/>
              <w:szCs w:val="24"/>
            </w:rPr>
            <w:fldChar w:fldCharType="separate"/>
          </w:r>
          <w:r>
            <w:rPr>
              <w:rFonts w:hint="default"/>
            </w:rPr>
            <w:t xml:space="preserve">1. </w:t>
          </w:r>
          <w:r>
            <w:t>总则</w:t>
          </w:r>
          <w:r>
            <w:tab/>
          </w:r>
          <w:r>
            <w:fldChar w:fldCharType="begin"/>
          </w:r>
          <w:r>
            <w:instrText xml:space="preserve"> PAGEREF _Toc32105 \h </w:instrText>
          </w:r>
          <w:r>
            <w:fldChar w:fldCharType="separate"/>
          </w:r>
          <w:r>
            <w:t>4</w:t>
          </w:r>
          <w:r>
            <w:fldChar w:fldCharType="end"/>
          </w:r>
          <w:r>
            <w:rPr>
              <w:rFonts w:hint="eastAsia" w:ascii="宋体" w:hAnsi="宋体" w:cs="宋体"/>
              <w:szCs w:val="24"/>
            </w:rPr>
            <w:fldChar w:fldCharType="end"/>
          </w:r>
        </w:p>
        <w:p w14:paraId="5AB0BB0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_Toc12133 </w:instrText>
          </w:r>
          <w:r>
            <w:rPr>
              <w:rFonts w:hint="eastAsia" w:ascii="宋体" w:hAnsi="宋体" w:cs="宋体"/>
              <w:szCs w:val="24"/>
            </w:rPr>
            <w:fldChar w:fldCharType="separate"/>
          </w:r>
          <w:r>
            <w:rPr>
              <w:rFonts w:hint="default"/>
            </w:rPr>
            <w:t xml:space="preserve">1.1. </w:t>
          </w:r>
          <w:r>
            <w:t>方案目的</w:t>
          </w:r>
          <w:r>
            <w:tab/>
          </w:r>
          <w:r>
            <w:fldChar w:fldCharType="begin"/>
          </w:r>
          <w:r>
            <w:instrText xml:space="preserve"> PAGEREF _Toc12133 \h </w:instrText>
          </w:r>
          <w:r>
            <w:fldChar w:fldCharType="separate"/>
          </w:r>
          <w:r>
            <w:t>4</w:t>
          </w:r>
          <w:r>
            <w:fldChar w:fldCharType="end"/>
          </w:r>
          <w:r>
            <w:rPr>
              <w:rFonts w:hint="eastAsia" w:ascii="宋体" w:hAnsi="宋体" w:cs="宋体"/>
              <w:szCs w:val="24"/>
            </w:rPr>
            <w:fldChar w:fldCharType="end"/>
          </w:r>
        </w:p>
        <w:p w14:paraId="44077E2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_Toc3881 </w:instrText>
          </w:r>
          <w:r>
            <w:rPr>
              <w:rFonts w:hint="eastAsia" w:ascii="宋体" w:hAnsi="宋体" w:cs="宋体"/>
              <w:szCs w:val="24"/>
            </w:rPr>
            <w:fldChar w:fldCharType="separate"/>
          </w:r>
          <w:r>
            <w:rPr>
              <w:rFonts w:hint="default"/>
            </w:rPr>
            <w:t xml:space="preserve">1.2. </w:t>
          </w:r>
          <w:r>
            <w:t>编制依据</w:t>
          </w:r>
          <w:r>
            <w:tab/>
          </w:r>
          <w:r>
            <w:fldChar w:fldCharType="begin"/>
          </w:r>
          <w:r>
            <w:instrText xml:space="preserve"> PAGEREF _Toc3881 \h </w:instrText>
          </w:r>
          <w:r>
            <w:fldChar w:fldCharType="separate"/>
          </w:r>
          <w:r>
            <w:t>4</w:t>
          </w:r>
          <w:r>
            <w:fldChar w:fldCharType="end"/>
          </w:r>
          <w:r>
            <w:rPr>
              <w:rFonts w:hint="eastAsia" w:ascii="宋体" w:hAnsi="宋体" w:cs="宋体"/>
              <w:szCs w:val="24"/>
            </w:rPr>
            <w:fldChar w:fldCharType="end"/>
          </w:r>
        </w:p>
        <w:p w14:paraId="59A7A16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_Toc25640 </w:instrText>
          </w:r>
          <w:r>
            <w:rPr>
              <w:rFonts w:hint="eastAsia" w:ascii="宋体" w:hAnsi="宋体" w:cs="宋体"/>
              <w:szCs w:val="24"/>
            </w:rPr>
            <w:fldChar w:fldCharType="separate"/>
          </w:r>
          <w:r>
            <w:rPr>
              <w:rFonts w:hint="default"/>
            </w:rPr>
            <w:t xml:space="preserve">1.3. </w:t>
          </w:r>
          <w:r>
            <w:t>总体目标</w:t>
          </w:r>
          <w:r>
            <w:tab/>
          </w:r>
          <w:r>
            <w:fldChar w:fldCharType="begin"/>
          </w:r>
          <w:r>
            <w:instrText xml:space="preserve"> PAGEREF _Toc25640 \h </w:instrText>
          </w:r>
          <w:r>
            <w:fldChar w:fldCharType="separate"/>
          </w:r>
          <w:r>
            <w:t>4</w:t>
          </w:r>
          <w:r>
            <w:fldChar w:fldCharType="end"/>
          </w:r>
          <w:r>
            <w:rPr>
              <w:rFonts w:hint="eastAsia" w:ascii="宋体" w:hAnsi="宋体" w:cs="宋体"/>
              <w:szCs w:val="24"/>
            </w:rPr>
            <w:fldChar w:fldCharType="end"/>
          </w:r>
        </w:p>
        <w:p w14:paraId="72AB2C4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_Toc18423 </w:instrText>
          </w:r>
          <w:r>
            <w:rPr>
              <w:rFonts w:hint="eastAsia" w:ascii="宋体" w:hAnsi="宋体" w:cs="宋体"/>
              <w:szCs w:val="24"/>
            </w:rPr>
            <w:fldChar w:fldCharType="separate"/>
          </w:r>
          <w:r>
            <w:rPr>
              <w:rFonts w:hint="default"/>
            </w:rPr>
            <w:t xml:space="preserve">2. </w:t>
          </w:r>
          <w:r>
            <w:t>数据清洗详细设计</w:t>
          </w:r>
          <w:r>
            <w:tab/>
          </w:r>
          <w:r>
            <w:fldChar w:fldCharType="begin"/>
          </w:r>
          <w:r>
            <w:instrText xml:space="preserve"> PAGEREF _Toc18423 \h </w:instrText>
          </w:r>
          <w:r>
            <w:fldChar w:fldCharType="separate"/>
          </w:r>
          <w:r>
            <w:t>4</w:t>
          </w:r>
          <w:r>
            <w:fldChar w:fldCharType="end"/>
          </w:r>
          <w:r>
            <w:rPr>
              <w:rFonts w:hint="eastAsia" w:ascii="宋体" w:hAnsi="宋体" w:cs="宋体"/>
              <w:szCs w:val="24"/>
            </w:rPr>
            <w:fldChar w:fldCharType="end"/>
          </w:r>
        </w:p>
        <w:p w14:paraId="65AB135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_Toc29976 </w:instrText>
          </w:r>
          <w:r>
            <w:rPr>
              <w:rFonts w:hint="eastAsia" w:ascii="宋体" w:hAnsi="宋体" w:cs="宋体"/>
              <w:szCs w:val="24"/>
            </w:rPr>
            <w:fldChar w:fldCharType="separate"/>
          </w:r>
          <w:r>
            <w:rPr>
              <w:rFonts w:hint="default"/>
            </w:rPr>
            <w:t xml:space="preserve">2.1. </w:t>
          </w:r>
          <w:r>
            <w:t>分域清洗策略</w:t>
          </w:r>
          <w:r>
            <w:tab/>
          </w:r>
          <w:r>
            <w:fldChar w:fldCharType="begin"/>
          </w:r>
          <w:r>
            <w:instrText xml:space="preserve"> PAGEREF _Toc29976 \h </w:instrText>
          </w:r>
          <w:r>
            <w:fldChar w:fldCharType="separate"/>
          </w:r>
          <w:r>
            <w:t>4</w:t>
          </w:r>
          <w:r>
            <w:fldChar w:fldCharType="end"/>
          </w:r>
          <w:r>
            <w:rPr>
              <w:rFonts w:hint="eastAsia" w:ascii="宋体" w:hAnsi="宋体" w:cs="宋体"/>
              <w:szCs w:val="24"/>
            </w:rPr>
            <w:fldChar w:fldCharType="end"/>
          </w:r>
        </w:p>
        <w:p w14:paraId="0B5DD58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_Toc8508 </w:instrText>
          </w:r>
          <w:r>
            <w:rPr>
              <w:rFonts w:hint="eastAsia" w:ascii="宋体" w:hAnsi="宋体" w:cs="宋体"/>
              <w:szCs w:val="24"/>
            </w:rPr>
            <w:fldChar w:fldCharType="separate"/>
          </w:r>
          <w:r>
            <w:rPr>
              <w:rFonts w:hint="default"/>
            </w:rPr>
            <w:t xml:space="preserve">2.1.1. </w:t>
          </w:r>
          <w:r>
            <w:t>运维服务计划数据域</w:t>
          </w:r>
          <w:r>
            <w:tab/>
          </w:r>
          <w:r>
            <w:fldChar w:fldCharType="begin"/>
          </w:r>
          <w:r>
            <w:instrText xml:space="preserve"> PAGEREF _Toc8508 \h </w:instrText>
          </w:r>
          <w:r>
            <w:fldChar w:fldCharType="separate"/>
          </w:r>
          <w:r>
            <w:t>4</w:t>
          </w:r>
          <w:r>
            <w:fldChar w:fldCharType="end"/>
          </w:r>
          <w:r>
            <w:rPr>
              <w:rFonts w:hint="eastAsia" w:ascii="宋体" w:hAnsi="宋体" w:cs="宋体"/>
              <w:szCs w:val="24"/>
            </w:rPr>
            <w:fldChar w:fldCharType="end"/>
          </w:r>
        </w:p>
        <w:p w14:paraId="09AAC7D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_Toc2730 </w:instrText>
          </w:r>
          <w:r>
            <w:rPr>
              <w:rFonts w:hint="eastAsia" w:ascii="宋体" w:hAnsi="宋体" w:cs="宋体"/>
              <w:szCs w:val="24"/>
            </w:rPr>
            <w:fldChar w:fldCharType="separate"/>
          </w:r>
          <w:r>
            <w:rPr>
              <w:rFonts w:hint="default"/>
            </w:rPr>
            <w:t xml:space="preserve">2.1.2. </w:t>
          </w:r>
          <w:r>
            <w:t>设备运行状态数据域</w:t>
          </w:r>
          <w:r>
            <w:tab/>
          </w:r>
          <w:r>
            <w:fldChar w:fldCharType="begin"/>
          </w:r>
          <w:r>
            <w:instrText xml:space="preserve"> PAGEREF _Toc2730 \h </w:instrText>
          </w:r>
          <w:r>
            <w:fldChar w:fldCharType="separate"/>
          </w:r>
          <w:r>
            <w:t>5</w:t>
          </w:r>
          <w:r>
            <w:fldChar w:fldCharType="end"/>
          </w:r>
          <w:r>
            <w:rPr>
              <w:rFonts w:hint="eastAsia" w:ascii="宋体" w:hAnsi="宋体" w:cs="宋体"/>
              <w:szCs w:val="24"/>
            </w:rPr>
            <w:fldChar w:fldCharType="end"/>
          </w:r>
        </w:p>
        <w:p w14:paraId="7A9BDFD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_Toc11138 </w:instrText>
          </w:r>
          <w:r>
            <w:rPr>
              <w:rFonts w:hint="eastAsia" w:ascii="宋体" w:hAnsi="宋体" w:cs="宋体"/>
              <w:szCs w:val="24"/>
            </w:rPr>
            <w:fldChar w:fldCharType="separate"/>
          </w:r>
          <w:r>
            <w:rPr>
              <w:rFonts w:hint="default"/>
            </w:rPr>
            <w:t xml:space="preserve">2.1.3. </w:t>
          </w:r>
          <w:r>
            <w:t>运维技术人员管理数据域</w:t>
          </w:r>
          <w:r>
            <w:tab/>
          </w:r>
          <w:r>
            <w:fldChar w:fldCharType="begin"/>
          </w:r>
          <w:r>
            <w:instrText xml:space="preserve"> PAGEREF _Toc11138 \h </w:instrText>
          </w:r>
          <w:r>
            <w:fldChar w:fldCharType="separate"/>
          </w:r>
          <w:r>
            <w:t>5</w:t>
          </w:r>
          <w:r>
            <w:fldChar w:fldCharType="end"/>
          </w:r>
          <w:r>
            <w:rPr>
              <w:rFonts w:hint="eastAsia" w:ascii="宋体" w:hAnsi="宋体" w:cs="宋体"/>
              <w:szCs w:val="24"/>
            </w:rPr>
            <w:fldChar w:fldCharType="end"/>
          </w:r>
        </w:p>
        <w:p w14:paraId="43B6FD1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_Toc32131 </w:instrText>
          </w:r>
          <w:r>
            <w:rPr>
              <w:rFonts w:hint="eastAsia" w:ascii="宋体" w:hAnsi="宋体" w:cs="宋体"/>
              <w:szCs w:val="24"/>
            </w:rPr>
            <w:fldChar w:fldCharType="separate"/>
          </w:r>
          <w:r>
            <w:rPr>
              <w:rFonts w:hint="default"/>
            </w:rPr>
            <w:t xml:space="preserve">2.1.4. </w:t>
          </w:r>
          <w:r>
            <w:t>设备运维数据域</w:t>
          </w:r>
          <w:r>
            <w:tab/>
          </w:r>
          <w:r>
            <w:fldChar w:fldCharType="begin"/>
          </w:r>
          <w:r>
            <w:instrText xml:space="preserve"> PAGEREF _Toc32131 \h </w:instrText>
          </w:r>
          <w:r>
            <w:fldChar w:fldCharType="separate"/>
          </w:r>
          <w:r>
            <w:t>6</w:t>
          </w:r>
          <w:r>
            <w:fldChar w:fldCharType="end"/>
          </w:r>
          <w:r>
            <w:rPr>
              <w:rFonts w:hint="eastAsia" w:ascii="宋体" w:hAnsi="宋体" w:cs="宋体"/>
              <w:szCs w:val="24"/>
            </w:rPr>
            <w:fldChar w:fldCharType="end"/>
          </w:r>
        </w:p>
        <w:p w14:paraId="3F39CEE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_Toc17940 </w:instrText>
          </w:r>
          <w:r>
            <w:rPr>
              <w:rFonts w:hint="eastAsia" w:ascii="宋体" w:hAnsi="宋体" w:cs="宋体"/>
              <w:szCs w:val="24"/>
            </w:rPr>
            <w:fldChar w:fldCharType="separate"/>
          </w:r>
          <w:r>
            <w:rPr>
              <w:rFonts w:hint="default"/>
            </w:rPr>
            <w:t xml:space="preserve">2.1.5. </w:t>
          </w:r>
          <w:r>
            <w:t>调度与资源数据域</w:t>
          </w:r>
          <w:r>
            <w:tab/>
          </w:r>
          <w:r>
            <w:fldChar w:fldCharType="begin"/>
          </w:r>
          <w:r>
            <w:instrText xml:space="preserve"> PAGEREF _Toc17940 \h </w:instrText>
          </w:r>
          <w:r>
            <w:fldChar w:fldCharType="separate"/>
          </w:r>
          <w:r>
            <w:t>6</w:t>
          </w:r>
          <w:r>
            <w:fldChar w:fldCharType="end"/>
          </w:r>
          <w:r>
            <w:rPr>
              <w:rFonts w:hint="eastAsia" w:ascii="宋体" w:hAnsi="宋体" w:cs="宋体"/>
              <w:szCs w:val="24"/>
            </w:rPr>
            <w:fldChar w:fldCharType="end"/>
          </w:r>
        </w:p>
        <w:p w14:paraId="7B24253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_Toc23572 </w:instrText>
          </w:r>
          <w:r>
            <w:rPr>
              <w:rFonts w:hint="eastAsia" w:ascii="宋体" w:hAnsi="宋体" w:cs="宋体"/>
              <w:szCs w:val="24"/>
            </w:rPr>
            <w:fldChar w:fldCharType="separate"/>
          </w:r>
          <w:r>
            <w:rPr>
              <w:rFonts w:hint="default"/>
            </w:rPr>
            <w:t xml:space="preserve">2.1.6. </w:t>
          </w:r>
          <w:r>
            <w:t>费用与结算数据域</w:t>
          </w:r>
          <w:r>
            <w:tab/>
          </w:r>
          <w:r>
            <w:fldChar w:fldCharType="begin"/>
          </w:r>
          <w:r>
            <w:instrText xml:space="preserve"> PAGEREF _Toc23572 \h </w:instrText>
          </w:r>
          <w:r>
            <w:fldChar w:fldCharType="separate"/>
          </w:r>
          <w:r>
            <w:t>7</w:t>
          </w:r>
          <w:r>
            <w:fldChar w:fldCharType="end"/>
          </w:r>
          <w:r>
            <w:rPr>
              <w:rFonts w:hint="eastAsia" w:ascii="宋体" w:hAnsi="宋体" w:cs="宋体"/>
              <w:szCs w:val="24"/>
            </w:rPr>
            <w:fldChar w:fldCharType="end"/>
          </w:r>
        </w:p>
        <w:p w14:paraId="37F38BB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_Toc2216 </w:instrText>
          </w:r>
          <w:r>
            <w:rPr>
              <w:rFonts w:hint="eastAsia" w:ascii="宋体" w:hAnsi="宋体" w:cs="宋体"/>
              <w:szCs w:val="24"/>
            </w:rPr>
            <w:fldChar w:fldCharType="separate"/>
          </w:r>
          <w:r>
            <w:rPr>
              <w:rFonts w:hint="default"/>
            </w:rPr>
            <w:t xml:space="preserve">2.1.7. </w:t>
          </w:r>
          <w:r>
            <w:t>系统日志与接口数据域</w:t>
          </w:r>
          <w:r>
            <w:tab/>
          </w:r>
          <w:r>
            <w:fldChar w:fldCharType="begin"/>
          </w:r>
          <w:r>
            <w:instrText xml:space="preserve"> PAGEREF _Toc2216 \h </w:instrText>
          </w:r>
          <w:r>
            <w:fldChar w:fldCharType="separate"/>
          </w:r>
          <w:r>
            <w:t>7</w:t>
          </w:r>
          <w:r>
            <w:fldChar w:fldCharType="end"/>
          </w:r>
          <w:r>
            <w:rPr>
              <w:rFonts w:hint="eastAsia" w:ascii="宋体" w:hAnsi="宋体" w:cs="宋体"/>
              <w:szCs w:val="24"/>
            </w:rPr>
            <w:fldChar w:fldCharType="end"/>
          </w:r>
        </w:p>
        <w:p w14:paraId="4B25784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_Toc15901 </w:instrText>
          </w:r>
          <w:r>
            <w:rPr>
              <w:rFonts w:hint="eastAsia" w:ascii="宋体" w:hAnsi="宋体" w:cs="宋体"/>
              <w:szCs w:val="24"/>
            </w:rPr>
            <w:fldChar w:fldCharType="separate"/>
          </w:r>
          <w:r>
            <w:rPr>
              <w:rFonts w:hint="default"/>
            </w:rPr>
            <w:t xml:space="preserve">2.2. </w:t>
          </w:r>
          <w:r>
            <w:t>技术架构与实施路径</w:t>
          </w:r>
          <w:r>
            <w:tab/>
          </w:r>
          <w:r>
            <w:fldChar w:fldCharType="begin"/>
          </w:r>
          <w:r>
            <w:instrText xml:space="preserve"> PAGEREF _Toc15901 \h </w:instrText>
          </w:r>
          <w:r>
            <w:fldChar w:fldCharType="separate"/>
          </w:r>
          <w:r>
            <w:t>7</w:t>
          </w:r>
          <w:r>
            <w:fldChar w:fldCharType="end"/>
          </w:r>
          <w:r>
            <w:rPr>
              <w:rFonts w:hint="eastAsia" w:ascii="宋体" w:hAnsi="宋体" w:cs="宋体"/>
              <w:szCs w:val="24"/>
            </w:rPr>
            <w:fldChar w:fldCharType="end"/>
          </w:r>
        </w:p>
        <w:p w14:paraId="718233D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_Toc5980 </w:instrText>
          </w:r>
          <w:r>
            <w:rPr>
              <w:rFonts w:hint="eastAsia" w:ascii="宋体" w:hAnsi="宋体" w:cs="宋体"/>
              <w:szCs w:val="24"/>
            </w:rPr>
            <w:fldChar w:fldCharType="separate"/>
          </w:r>
          <w:r>
            <w:rPr>
              <w:rFonts w:hint="default"/>
            </w:rPr>
            <w:t xml:space="preserve">3. </w:t>
          </w:r>
          <w:r>
            <w:t>实施与管理规划</w:t>
          </w:r>
          <w:r>
            <w:tab/>
          </w:r>
          <w:r>
            <w:fldChar w:fldCharType="begin"/>
          </w:r>
          <w:r>
            <w:instrText xml:space="preserve"> PAGEREF _Toc5980 \h </w:instrText>
          </w:r>
          <w:r>
            <w:fldChar w:fldCharType="separate"/>
          </w:r>
          <w:r>
            <w:t>8</w:t>
          </w:r>
          <w:r>
            <w:fldChar w:fldCharType="end"/>
          </w:r>
          <w:r>
            <w:rPr>
              <w:rFonts w:hint="eastAsia" w:ascii="宋体" w:hAnsi="宋体" w:cs="宋体"/>
              <w:szCs w:val="24"/>
            </w:rPr>
            <w:fldChar w:fldCharType="end"/>
          </w:r>
        </w:p>
        <w:p w14:paraId="495D35C3">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_Toc23865 </w:instrText>
          </w:r>
          <w:r>
            <w:rPr>
              <w:rFonts w:hint="eastAsia" w:ascii="宋体" w:hAnsi="宋体" w:cs="宋体"/>
              <w:szCs w:val="24"/>
            </w:rPr>
            <w:fldChar w:fldCharType="separate"/>
          </w:r>
          <w:r>
            <w:rPr>
              <w:rFonts w:hint="default"/>
            </w:rPr>
            <w:t xml:space="preserve">3.1. </w:t>
          </w:r>
          <w:r>
            <w:t>阶段化实施计划</w:t>
          </w:r>
          <w:r>
            <w:tab/>
          </w:r>
          <w:r>
            <w:fldChar w:fldCharType="begin"/>
          </w:r>
          <w:r>
            <w:instrText xml:space="preserve"> PAGEREF _Toc23865 \h </w:instrText>
          </w:r>
          <w:r>
            <w:fldChar w:fldCharType="separate"/>
          </w:r>
          <w:r>
            <w:t>8</w:t>
          </w:r>
          <w:r>
            <w:fldChar w:fldCharType="end"/>
          </w:r>
          <w:r>
            <w:rPr>
              <w:rFonts w:hint="eastAsia" w:ascii="宋体" w:hAnsi="宋体" w:cs="宋体"/>
              <w:szCs w:val="24"/>
            </w:rPr>
            <w:fldChar w:fldCharType="end"/>
          </w:r>
        </w:p>
        <w:p w14:paraId="4680925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_Toc7046 </w:instrText>
          </w:r>
          <w:r>
            <w:rPr>
              <w:rFonts w:hint="eastAsia" w:ascii="宋体" w:hAnsi="宋体" w:cs="宋体"/>
              <w:szCs w:val="24"/>
            </w:rPr>
            <w:fldChar w:fldCharType="separate"/>
          </w:r>
          <w:r>
            <w:rPr>
              <w:rFonts w:hint="default"/>
            </w:rPr>
            <w:t xml:space="preserve">3.2. </w:t>
          </w:r>
          <w:r>
            <w:t>组织与职责分工</w:t>
          </w:r>
          <w:r>
            <w:tab/>
          </w:r>
          <w:r>
            <w:fldChar w:fldCharType="begin"/>
          </w:r>
          <w:r>
            <w:instrText xml:space="preserve"> PAGEREF _Toc7046 \h </w:instrText>
          </w:r>
          <w:r>
            <w:fldChar w:fldCharType="separate"/>
          </w:r>
          <w:r>
            <w:t>8</w:t>
          </w:r>
          <w:r>
            <w:fldChar w:fldCharType="end"/>
          </w:r>
          <w:r>
            <w:rPr>
              <w:rFonts w:hint="eastAsia" w:ascii="宋体" w:hAnsi="宋体" w:cs="宋体"/>
              <w:szCs w:val="24"/>
            </w:rPr>
            <w:fldChar w:fldCharType="end"/>
          </w:r>
        </w:p>
        <w:p w14:paraId="673F545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_Toc25315 </w:instrText>
          </w:r>
          <w:r>
            <w:rPr>
              <w:rFonts w:hint="eastAsia" w:ascii="宋体" w:hAnsi="宋体" w:cs="宋体"/>
              <w:szCs w:val="24"/>
            </w:rPr>
            <w:fldChar w:fldCharType="separate"/>
          </w:r>
          <w:r>
            <w:rPr>
              <w:rFonts w:hint="default"/>
            </w:rPr>
            <w:t xml:space="preserve">3.3. </w:t>
          </w:r>
          <w:r>
            <w:t>关键交付物</w:t>
          </w:r>
          <w:r>
            <w:tab/>
          </w:r>
          <w:r>
            <w:fldChar w:fldCharType="begin"/>
          </w:r>
          <w:r>
            <w:instrText xml:space="preserve"> PAGEREF _Toc25315 \h </w:instrText>
          </w:r>
          <w:r>
            <w:fldChar w:fldCharType="separate"/>
          </w:r>
          <w:r>
            <w:t>9</w:t>
          </w:r>
          <w:r>
            <w:fldChar w:fldCharType="end"/>
          </w:r>
          <w:r>
            <w:rPr>
              <w:rFonts w:hint="eastAsia" w:ascii="宋体" w:hAnsi="宋体" w:cs="宋体"/>
              <w:szCs w:val="24"/>
            </w:rPr>
            <w:fldChar w:fldCharType="end"/>
          </w:r>
        </w:p>
        <w:p w14:paraId="6937C4B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_Toc12334 </w:instrText>
          </w:r>
          <w:r>
            <w:rPr>
              <w:rFonts w:hint="eastAsia" w:ascii="宋体" w:hAnsi="宋体" w:cs="宋体"/>
              <w:szCs w:val="24"/>
            </w:rPr>
            <w:fldChar w:fldCharType="separate"/>
          </w:r>
          <w:r>
            <w:rPr>
              <w:rFonts w:hint="default"/>
            </w:rPr>
            <w:t xml:space="preserve">4. </w:t>
          </w:r>
          <w:r>
            <w:t>验收标准</w:t>
          </w:r>
          <w:r>
            <w:tab/>
          </w:r>
          <w:r>
            <w:fldChar w:fldCharType="begin"/>
          </w:r>
          <w:r>
            <w:instrText xml:space="preserve"> PAGEREF _Toc12334 \h </w:instrText>
          </w:r>
          <w:r>
            <w:fldChar w:fldCharType="separate"/>
          </w:r>
          <w:r>
            <w:t>9</w:t>
          </w:r>
          <w:r>
            <w:fldChar w:fldCharType="end"/>
          </w:r>
          <w:r>
            <w:rPr>
              <w:rFonts w:hint="eastAsia" w:ascii="宋体" w:hAnsi="宋体" w:cs="宋体"/>
              <w:szCs w:val="24"/>
            </w:rPr>
            <w:fldChar w:fldCharType="end"/>
          </w:r>
        </w:p>
        <w:p w14:paraId="5676B3F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_Toc8088 </w:instrText>
          </w:r>
          <w:r>
            <w:rPr>
              <w:rFonts w:hint="eastAsia" w:ascii="宋体" w:hAnsi="宋体" w:cs="宋体"/>
              <w:szCs w:val="24"/>
            </w:rPr>
            <w:fldChar w:fldCharType="separate"/>
          </w:r>
          <w:r>
            <w:rPr>
              <w:rFonts w:hint="default"/>
            </w:rPr>
            <w:t xml:space="preserve">5. </w:t>
          </w:r>
          <w:r>
            <w:t>保障措施</w:t>
          </w:r>
          <w:r>
            <w:tab/>
          </w:r>
          <w:r>
            <w:fldChar w:fldCharType="begin"/>
          </w:r>
          <w:r>
            <w:instrText xml:space="preserve"> PAGEREF _Toc8088 \h </w:instrText>
          </w:r>
          <w:r>
            <w:fldChar w:fldCharType="separate"/>
          </w:r>
          <w:r>
            <w:t>10</w:t>
          </w:r>
          <w:r>
            <w:fldChar w:fldCharType="end"/>
          </w:r>
          <w:r>
            <w:rPr>
              <w:rFonts w:hint="eastAsia" w:ascii="宋体" w:hAnsi="宋体" w:cs="宋体"/>
              <w:szCs w:val="24"/>
            </w:rPr>
            <w:fldChar w:fldCharType="end"/>
          </w:r>
        </w:p>
        <w:p w14:paraId="001B374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_Toc18217 </w:instrText>
          </w:r>
          <w:r>
            <w:rPr>
              <w:rFonts w:hint="eastAsia" w:ascii="宋体" w:hAnsi="宋体" w:cs="宋体"/>
              <w:szCs w:val="24"/>
            </w:rPr>
            <w:fldChar w:fldCharType="separate"/>
          </w:r>
          <w:r>
            <w:rPr>
              <w:rFonts w:hint="default"/>
            </w:rPr>
            <w:t xml:space="preserve">6. </w:t>
          </w:r>
          <w:r>
            <w:t>附则</w:t>
          </w:r>
          <w:r>
            <w:tab/>
          </w:r>
          <w:r>
            <w:fldChar w:fldCharType="begin"/>
          </w:r>
          <w:r>
            <w:instrText xml:space="preserve"> PAGEREF _Toc18217 \h </w:instrText>
          </w:r>
          <w:r>
            <w:fldChar w:fldCharType="separate"/>
          </w:r>
          <w:r>
            <w:t>10</w:t>
          </w:r>
          <w:r>
            <w:fldChar w:fldCharType="end"/>
          </w:r>
          <w:r>
            <w:rPr>
              <w:rFonts w:hint="eastAsia" w:ascii="宋体" w:hAnsi="宋体" w:cs="宋体"/>
              <w:szCs w:val="24"/>
            </w:rPr>
            <w:fldChar w:fldCharType="end"/>
          </w:r>
        </w:p>
        <w:p w14:paraId="7D3075EE">
          <w:pPr>
            <w:keepNext w:val="0"/>
            <w:keepLines w:val="0"/>
            <w:pageBreakBefore w:val="0"/>
            <w:widowControl w:val="0"/>
            <w:wordWrap/>
            <w:overflowPunct/>
            <w:topLinePunct w:val="0"/>
            <w:bidi w:val="0"/>
            <w:rPr>
              <w:rFonts w:hint="eastAsia" w:ascii="宋体" w:hAnsi="宋体" w:cs="宋体"/>
              <w:sz w:val="24"/>
              <w:szCs w:val="24"/>
            </w:rPr>
          </w:pPr>
          <w:r>
            <w:rPr>
              <w:rFonts w:hint="eastAsia" w:ascii="宋体" w:hAnsi="宋体" w:cs="宋体"/>
              <w:szCs w:val="24"/>
            </w:rPr>
            <w:fldChar w:fldCharType="end"/>
          </w:r>
        </w:p>
      </w:sdtContent>
    </w:sdt>
    <w:p w14:paraId="3D33CCCF">
      <w:pPr>
        <w:keepNext w:val="0"/>
        <w:keepLines w:val="0"/>
        <w:pageBreakBefore w:val="0"/>
        <w:widowControl w:val="0"/>
        <w:wordWrap/>
        <w:overflowPunct/>
        <w:topLinePunct w:val="0"/>
        <w:bidi w:val="0"/>
        <w:rPr>
          <w:rFonts w:eastAsia="Arial"/>
        </w:rPr>
      </w:pPr>
      <w:r>
        <w:rPr>
          <w:rFonts w:eastAsia="Arial"/>
        </w:rPr>
        <w:br w:type="page"/>
      </w:r>
    </w:p>
    <w:p w14:paraId="6C8214C8">
      <w:pPr>
        <w:pStyle w:val="29"/>
        <w:keepNext w:val="0"/>
        <w:keepLines w:val="0"/>
        <w:pageBreakBefore w:val="0"/>
        <w:widowControl w:val="0"/>
        <w:wordWrap/>
        <w:overflowPunct/>
        <w:topLinePunct w:val="0"/>
        <w:bidi w:val="0"/>
      </w:pPr>
      <w:bookmarkStart w:id="2" w:name="heading_2"/>
      <w:bookmarkStart w:id="3" w:name="_Toc32105"/>
      <w:r>
        <w:t>总则</w:t>
      </w:r>
      <w:bookmarkEnd w:id="2"/>
      <w:bookmarkEnd w:id="3"/>
    </w:p>
    <w:p w14:paraId="335CF68D">
      <w:pPr>
        <w:pStyle w:val="31"/>
        <w:keepNext w:val="0"/>
        <w:keepLines w:val="0"/>
        <w:pageBreakBefore w:val="0"/>
        <w:widowControl w:val="0"/>
        <w:wordWrap/>
        <w:overflowPunct/>
        <w:topLinePunct w:val="0"/>
        <w:bidi w:val="0"/>
      </w:pPr>
      <w:bookmarkStart w:id="4" w:name="heading_3"/>
      <w:bookmarkStart w:id="5" w:name="_Toc12133"/>
      <w:r>
        <w:t>方案目的</w:t>
      </w:r>
      <w:bookmarkEnd w:id="4"/>
      <w:bookmarkEnd w:id="5"/>
    </w:p>
    <w:p w14:paraId="4FE1DA87">
      <w:pPr>
        <w:pStyle w:val="30"/>
        <w:keepNext w:val="0"/>
        <w:keepLines w:val="0"/>
        <w:pageBreakBefore w:val="0"/>
        <w:widowControl w:val="0"/>
        <w:wordWrap/>
        <w:overflowPunct/>
        <w:topLinePunct w:val="0"/>
        <w:bidi w:val="0"/>
      </w:pPr>
      <w:r>
        <w:t>为保障“银川输油气分公司2026年度桌面及信息网络综合运维技术服务项目”的数据质量与系统可靠性，特制定本数据清洗策略方案。本方案旨在系统性地规划与设计数据清洗工作，确保源自运维服务计划、设备运行状态、运维人员排班、设备运维、费用结算等业务系统的多源数据，在汇入核心平台前具备准确、完整、一致、及时的质量特征，从而支撑运维调度、资源分配、计费结算等核心业务实现预期价值。</w:t>
      </w:r>
    </w:p>
    <w:p w14:paraId="3814E7AC">
      <w:pPr>
        <w:pStyle w:val="31"/>
        <w:keepNext w:val="0"/>
        <w:keepLines w:val="0"/>
        <w:pageBreakBefore w:val="0"/>
        <w:widowControl w:val="0"/>
        <w:wordWrap/>
        <w:overflowPunct/>
        <w:topLinePunct w:val="0"/>
        <w:bidi w:val="0"/>
      </w:pPr>
      <w:bookmarkStart w:id="6" w:name="heading_4"/>
      <w:bookmarkStart w:id="7" w:name="_Toc3881"/>
      <w:r>
        <w:t>编制依据</w:t>
      </w:r>
      <w:bookmarkEnd w:id="6"/>
      <w:bookmarkEnd w:id="7"/>
    </w:p>
    <w:p w14:paraId="5E26DCD7">
      <w:pPr>
        <w:pStyle w:val="30"/>
        <w:keepNext w:val="0"/>
        <w:keepLines w:val="0"/>
        <w:pageBreakBefore w:val="0"/>
        <w:widowControl w:val="0"/>
        <w:wordWrap/>
        <w:overflowPunct/>
        <w:topLinePunct w:val="0"/>
        <w:bidi w:val="0"/>
      </w:pPr>
      <w:r>
        <w:t>本方案严格遵循《银川输油气分公司2026年度桌面及信息网络综合运维技术服务项目数据清洗策略需求分析报告》中提出的核心业务目标、质量要求与管理流程需求，是指导项目数据清洗工作实施的纲领性文件。</w:t>
      </w:r>
    </w:p>
    <w:p w14:paraId="07E262CB">
      <w:pPr>
        <w:pStyle w:val="31"/>
        <w:keepNext w:val="0"/>
        <w:keepLines w:val="0"/>
        <w:pageBreakBefore w:val="0"/>
        <w:widowControl w:val="0"/>
        <w:wordWrap/>
        <w:overflowPunct/>
        <w:topLinePunct w:val="0"/>
        <w:bidi w:val="0"/>
      </w:pPr>
      <w:bookmarkStart w:id="8" w:name="heading_5"/>
      <w:bookmarkStart w:id="9" w:name="_Toc25640"/>
      <w:r>
        <w:t>总体目标</w:t>
      </w:r>
      <w:bookmarkEnd w:id="8"/>
      <w:bookmarkEnd w:id="9"/>
    </w:p>
    <w:p w14:paraId="30266572">
      <w:pPr>
        <w:pStyle w:val="30"/>
        <w:keepNext w:val="0"/>
        <w:keepLines w:val="0"/>
        <w:pageBreakBefore w:val="0"/>
        <w:widowControl w:val="0"/>
        <w:wordWrap/>
        <w:overflowPunct/>
        <w:topLinePunct w:val="0"/>
        <w:bidi w:val="0"/>
      </w:pPr>
      <w:r>
        <w:t>本方案致力于达成三大目标：</w:t>
      </w:r>
    </w:p>
    <w:p w14:paraId="53F026F8">
      <w:pPr>
        <w:pStyle w:val="30"/>
        <w:keepNext w:val="0"/>
        <w:keepLines w:val="0"/>
        <w:pageBreakBefore w:val="0"/>
        <w:widowControl w:val="0"/>
        <w:wordWrap/>
        <w:overflowPunct/>
        <w:topLinePunct w:val="0"/>
        <w:bidi w:val="0"/>
      </w:pPr>
      <w:r>
        <w:t>1. 达成预设的数据质量关键绩效指标，满足运维作业安全规范及运维中心内部管理要求；</w:t>
      </w:r>
    </w:p>
    <w:p w14:paraId="077B9AB1">
      <w:pPr>
        <w:pStyle w:val="30"/>
        <w:keepNext w:val="0"/>
        <w:keepLines w:val="0"/>
        <w:pageBreakBefore w:val="0"/>
        <w:widowControl w:val="0"/>
        <w:wordWrap/>
        <w:overflowPunct/>
        <w:topLinePunct w:val="0"/>
        <w:bidi w:val="0"/>
      </w:pPr>
      <w:r>
        <w:t>2. 建立一套权责清晰、流程可控、持续改进的数据质量管理闭环；</w:t>
      </w:r>
    </w:p>
    <w:p w14:paraId="3607F60F">
      <w:pPr>
        <w:pStyle w:val="30"/>
        <w:keepNext w:val="0"/>
        <w:keepLines w:val="0"/>
        <w:pageBreakBefore w:val="0"/>
        <w:widowControl w:val="0"/>
        <w:wordWrap/>
        <w:overflowPunct/>
        <w:topLinePunct w:val="0"/>
        <w:bidi w:val="0"/>
      </w:pPr>
      <w:r>
        <w:t>3. 交付高质量的数据资产及配套的治理能力，确保项目长效运营。</w:t>
      </w:r>
    </w:p>
    <w:p w14:paraId="5CAEECF3">
      <w:pPr>
        <w:pStyle w:val="29"/>
        <w:keepNext w:val="0"/>
        <w:keepLines w:val="0"/>
        <w:pageBreakBefore w:val="0"/>
        <w:widowControl w:val="0"/>
        <w:wordWrap/>
        <w:overflowPunct/>
        <w:topLinePunct w:val="0"/>
        <w:bidi w:val="0"/>
      </w:pPr>
      <w:bookmarkStart w:id="10" w:name="heading_6"/>
      <w:bookmarkStart w:id="11" w:name="_Toc18423"/>
      <w:r>
        <w:t>数据清洗详细设计</w:t>
      </w:r>
      <w:bookmarkEnd w:id="10"/>
      <w:bookmarkEnd w:id="11"/>
    </w:p>
    <w:p w14:paraId="7808B90B">
      <w:pPr>
        <w:pStyle w:val="31"/>
        <w:keepNext w:val="0"/>
        <w:keepLines w:val="0"/>
        <w:pageBreakBefore w:val="0"/>
        <w:widowControl w:val="0"/>
        <w:wordWrap/>
        <w:overflowPunct/>
        <w:topLinePunct w:val="0"/>
        <w:bidi w:val="0"/>
      </w:pPr>
      <w:bookmarkStart w:id="12" w:name="heading_7"/>
      <w:bookmarkStart w:id="13" w:name="_Toc29976"/>
      <w:r>
        <w:t>分域清洗策略</w:t>
      </w:r>
      <w:bookmarkEnd w:id="12"/>
      <w:bookmarkEnd w:id="13"/>
    </w:p>
    <w:p w14:paraId="0918E274">
      <w:pPr>
        <w:pStyle w:val="30"/>
        <w:keepNext w:val="0"/>
        <w:keepLines w:val="0"/>
        <w:pageBreakBefore w:val="0"/>
        <w:widowControl w:val="0"/>
        <w:wordWrap/>
        <w:overflowPunct/>
        <w:topLinePunct w:val="0"/>
        <w:bidi w:val="0"/>
      </w:pPr>
      <w:r>
        <w:t>针对项目七大数据域的特征，实施差异化清洗。</w:t>
      </w:r>
    </w:p>
    <w:p w14:paraId="25D4745F">
      <w:pPr>
        <w:pStyle w:val="32"/>
        <w:keepNext w:val="0"/>
        <w:keepLines w:val="0"/>
        <w:pageBreakBefore w:val="0"/>
        <w:widowControl w:val="0"/>
        <w:wordWrap/>
        <w:overflowPunct/>
        <w:topLinePunct w:val="0"/>
        <w:bidi w:val="0"/>
      </w:pPr>
      <w:bookmarkStart w:id="14" w:name="heading_8"/>
      <w:bookmarkStart w:id="15" w:name="_Toc8508"/>
      <w:r>
        <w:t>运维服务计划数据域</w:t>
      </w:r>
      <w:bookmarkEnd w:id="14"/>
      <w:bookmarkEnd w:id="15"/>
    </w:p>
    <w:p w14:paraId="2D29A63B">
      <w:pPr>
        <w:pStyle w:val="30"/>
        <w:keepNext w:val="0"/>
        <w:keepLines w:val="0"/>
        <w:pageBreakBefore w:val="0"/>
        <w:widowControl w:val="0"/>
        <w:wordWrap/>
        <w:overflowPunct/>
        <w:topLinePunct w:val="0"/>
        <w:bidi w:val="0"/>
      </w:pPr>
      <w:r>
        <w:t>本域数据主要来源于运维申请、运维服务计划、运维工单、计划变更记录等，核心问题在于计划与执行脱节、变更记录缺失、运维时段冲突。</w:t>
      </w:r>
    </w:p>
    <w:p w14:paraId="61E4CC52">
      <w:pPr>
        <w:pStyle w:val="30"/>
        <w:keepNext w:val="0"/>
        <w:keepLines w:val="0"/>
        <w:pageBreakBefore w:val="0"/>
        <w:widowControl w:val="0"/>
        <w:wordWrap/>
        <w:overflowPunct/>
        <w:topLinePunct w:val="0"/>
        <w:bidi w:val="0"/>
      </w:pPr>
      <w:r>
        <w:t>清洗策略包括：</w:t>
      </w:r>
    </w:p>
    <w:p w14:paraId="06E934E4">
      <w:pPr>
        <w:pStyle w:val="30"/>
        <w:keepNext w:val="0"/>
        <w:keepLines w:val="0"/>
        <w:pageBreakBefore w:val="0"/>
        <w:widowControl w:val="0"/>
        <w:wordWrap/>
        <w:overflowPunct/>
        <w:topLinePunct w:val="0"/>
        <w:bidi w:val="0"/>
      </w:pPr>
      <w:r>
        <w:t>建立运维服务计划与设备运维监控轨迹的关联校验，识别并标记计划未执行或严重偏离的异常工单；</w:t>
      </w:r>
    </w:p>
    <w:p w14:paraId="6B1B5BA3">
      <w:pPr>
        <w:pStyle w:val="30"/>
        <w:keepNext w:val="0"/>
        <w:keepLines w:val="0"/>
        <w:pageBreakBefore w:val="0"/>
        <w:widowControl w:val="0"/>
        <w:wordWrap/>
        <w:overflowPunct/>
        <w:topLinePunct w:val="0"/>
        <w:bidi w:val="0"/>
      </w:pPr>
      <w:r>
        <w:t>对计划变更记录进行完整性校验，确保每次变更均有时间、原因、操作人记录；</w:t>
      </w:r>
    </w:p>
    <w:p w14:paraId="090FE94B">
      <w:pPr>
        <w:pStyle w:val="30"/>
        <w:keepNext w:val="0"/>
        <w:keepLines w:val="0"/>
        <w:pageBreakBefore w:val="0"/>
        <w:widowControl w:val="0"/>
        <w:wordWrap/>
        <w:overflowPunct/>
        <w:topLinePunct w:val="0"/>
        <w:bidi w:val="0"/>
      </w:pPr>
      <w:r>
        <w:t>检测同一运维技术人员或运维工具在重叠时段内的排班冲突，自动预警并触发人工复核；</w:t>
      </w:r>
    </w:p>
    <w:p w14:paraId="6782D2D4">
      <w:pPr>
        <w:pStyle w:val="30"/>
        <w:keepNext w:val="0"/>
        <w:keepLines w:val="0"/>
        <w:pageBreakBefore w:val="0"/>
        <w:widowControl w:val="0"/>
        <w:wordWrap/>
        <w:overflowPunct/>
        <w:topLinePunct w:val="0"/>
        <w:bidi w:val="0"/>
      </w:pPr>
      <w:r>
        <w:t>建立计划时间逻辑校验，确保运维开始时间、结束时间、前后作业衔接顺序合理。</w:t>
      </w:r>
    </w:p>
    <w:p w14:paraId="08488D11">
      <w:pPr>
        <w:pStyle w:val="32"/>
        <w:keepNext w:val="0"/>
        <w:keepLines w:val="0"/>
        <w:pageBreakBefore w:val="0"/>
        <w:widowControl w:val="0"/>
        <w:wordWrap/>
        <w:overflowPunct/>
        <w:topLinePunct w:val="0"/>
        <w:bidi w:val="0"/>
      </w:pPr>
      <w:bookmarkStart w:id="16" w:name="heading_9"/>
      <w:bookmarkStart w:id="17" w:name="_Toc2730"/>
      <w:r>
        <w:t>设备运行状态数据域</w:t>
      </w:r>
      <w:bookmarkEnd w:id="16"/>
      <w:bookmarkEnd w:id="17"/>
    </w:p>
    <w:p w14:paraId="5C4104B5">
      <w:pPr>
        <w:pStyle w:val="30"/>
        <w:keepNext w:val="0"/>
        <w:keepLines w:val="0"/>
        <w:pageBreakBefore w:val="0"/>
        <w:widowControl w:val="0"/>
        <w:wordWrap/>
        <w:overflowPunct/>
        <w:topLinePunct w:val="0"/>
        <w:bidi w:val="0"/>
      </w:pPr>
      <w:r>
        <w:t>本域数据包括设备数据、设备运行记录、设备档案、设备状态信息等，主要存在设备身份识别错误、状态信息延迟、设备名/编号不一致等问题。</w:t>
      </w:r>
    </w:p>
    <w:p w14:paraId="35ED4A52">
      <w:pPr>
        <w:pStyle w:val="30"/>
        <w:keepNext w:val="0"/>
        <w:keepLines w:val="0"/>
        <w:pageBreakBefore w:val="0"/>
        <w:widowControl w:val="0"/>
        <w:wordWrap/>
        <w:overflowPunct/>
        <w:topLinePunct w:val="0"/>
        <w:bidi w:val="0"/>
      </w:pPr>
      <w:r>
        <w:t>清洗策略包括：</w:t>
      </w:r>
    </w:p>
    <w:p w14:paraId="1B71B423">
      <w:pPr>
        <w:pStyle w:val="30"/>
        <w:keepNext w:val="0"/>
        <w:keepLines w:val="0"/>
        <w:pageBreakBefore w:val="0"/>
        <w:widowControl w:val="0"/>
        <w:wordWrap/>
        <w:overflowPunct/>
        <w:topLinePunct w:val="0"/>
        <w:bidi w:val="0"/>
      </w:pPr>
      <w:r>
        <w:t>建立设备主数据去重与匹配机制，基于设备识别码、设备资产编号、设备名等关键字段识别并合并重复档案；</w:t>
      </w:r>
    </w:p>
    <w:p w14:paraId="5947BA26">
      <w:pPr>
        <w:pStyle w:val="30"/>
        <w:keepNext w:val="0"/>
        <w:keepLines w:val="0"/>
        <w:pageBreakBefore w:val="0"/>
        <w:widowControl w:val="0"/>
        <w:wordWrap/>
        <w:overflowPunct/>
        <w:topLinePunct w:val="0"/>
        <w:bidi w:val="0"/>
      </w:pPr>
      <w:r>
        <w:t>对设备数据进行异常过滤，剔除数据异常、速度异常等明显错误数据；</w:t>
      </w:r>
    </w:p>
    <w:p w14:paraId="3C492472">
      <w:pPr>
        <w:pStyle w:val="30"/>
        <w:keepNext w:val="0"/>
        <w:keepLines w:val="0"/>
        <w:pageBreakBefore w:val="0"/>
        <w:widowControl w:val="0"/>
        <w:wordWrap/>
        <w:overflowPunct/>
        <w:topLinePunct w:val="0"/>
        <w:bidi w:val="0"/>
      </w:pPr>
      <w:r>
        <w:t>对设备运行状态时间戳进行校验，确保动态记录的时间顺序合理，延迟数据标记并触发补录；</w:t>
      </w:r>
    </w:p>
    <w:p w14:paraId="613FAED2">
      <w:pPr>
        <w:pStyle w:val="30"/>
        <w:keepNext w:val="0"/>
        <w:keepLines w:val="0"/>
        <w:pageBreakBefore w:val="0"/>
        <w:widowControl w:val="0"/>
        <w:wordWrap/>
        <w:overflowPunct/>
        <w:topLinePunct w:val="0"/>
        <w:bidi w:val="0"/>
      </w:pPr>
      <w:r>
        <w:t>统一设备识别标识规范，确保同一设备在不同数据源中的编码一致。</w:t>
      </w:r>
    </w:p>
    <w:p w14:paraId="4BB406C4">
      <w:pPr>
        <w:pStyle w:val="32"/>
        <w:keepNext w:val="0"/>
        <w:keepLines w:val="0"/>
        <w:pageBreakBefore w:val="0"/>
        <w:widowControl w:val="0"/>
        <w:wordWrap/>
        <w:overflowPunct/>
        <w:topLinePunct w:val="0"/>
        <w:bidi w:val="0"/>
      </w:pPr>
      <w:bookmarkStart w:id="18" w:name="heading_10"/>
      <w:bookmarkStart w:id="19" w:name="_Toc11138"/>
      <w:r>
        <w:t>运维技术人员管理数据域</w:t>
      </w:r>
      <w:bookmarkEnd w:id="18"/>
      <w:bookmarkEnd w:id="19"/>
    </w:p>
    <w:p w14:paraId="3824B347">
      <w:pPr>
        <w:pStyle w:val="30"/>
        <w:keepNext w:val="0"/>
        <w:keepLines w:val="0"/>
        <w:pageBreakBefore w:val="0"/>
        <w:widowControl w:val="0"/>
        <w:wordWrap/>
        <w:overflowPunct/>
        <w:topLinePunct w:val="0"/>
        <w:bidi w:val="0"/>
      </w:pPr>
      <w:r>
        <w:t>本域数据包括运维技术人员档案、资质证书、排班记录、考勤统计等，数据敏感性高，存在资质过期未更新、排班冲突与工时超限等问题。</w:t>
      </w:r>
    </w:p>
    <w:p w14:paraId="2704583D">
      <w:pPr>
        <w:pStyle w:val="30"/>
        <w:keepNext w:val="0"/>
        <w:keepLines w:val="0"/>
        <w:pageBreakBefore w:val="0"/>
        <w:widowControl w:val="0"/>
        <w:wordWrap/>
        <w:overflowPunct/>
        <w:topLinePunct w:val="0"/>
        <w:bidi w:val="0"/>
      </w:pPr>
      <w:r>
        <w:t>清洗策略包括：</w:t>
      </w:r>
    </w:p>
    <w:p w14:paraId="1EB5811F">
      <w:pPr>
        <w:pStyle w:val="30"/>
        <w:keepNext w:val="0"/>
        <w:keepLines w:val="0"/>
        <w:pageBreakBefore w:val="0"/>
        <w:widowControl w:val="0"/>
        <w:wordWrap/>
        <w:overflowPunct/>
        <w:topLinePunct w:val="0"/>
        <w:bidi w:val="0"/>
      </w:pPr>
      <w:r>
        <w:t>建立运维技术人员资质有效期监控机制，临近过期自动预警，过期未更新自动标记并限制排班；</w:t>
      </w:r>
    </w:p>
    <w:p w14:paraId="62724923">
      <w:pPr>
        <w:pStyle w:val="30"/>
        <w:keepNext w:val="0"/>
        <w:keepLines w:val="0"/>
        <w:pageBreakBefore w:val="0"/>
        <w:widowControl w:val="0"/>
        <w:wordWrap/>
        <w:overflowPunct/>
        <w:topLinePunct w:val="0"/>
        <w:bidi w:val="0"/>
      </w:pPr>
      <w:r>
        <w:t>对排班记录进行冲突检测，确保同一时段不安排多任务，且工时不超过规定上限；</w:t>
      </w:r>
    </w:p>
    <w:p w14:paraId="07317EBE">
      <w:pPr>
        <w:pStyle w:val="30"/>
        <w:keepNext w:val="0"/>
        <w:keepLines w:val="0"/>
        <w:pageBreakBefore w:val="0"/>
        <w:widowControl w:val="0"/>
        <w:wordWrap/>
        <w:overflowPunct/>
        <w:topLinePunct w:val="0"/>
        <w:bidi w:val="0"/>
      </w:pPr>
      <w:r>
        <w:t>对运维技术人员工号、姓名、证书编号进行一致性校验，与主数据比对，不一致的自动标记；</w:t>
      </w:r>
    </w:p>
    <w:p w14:paraId="54693369">
      <w:pPr>
        <w:pStyle w:val="30"/>
        <w:keepNext w:val="0"/>
        <w:keepLines w:val="0"/>
        <w:pageBreakBefore w:val="0"/>
        <w:widowControl w:val="0"/>
        <w:wordWrap/>
        <w:overflowPunct/>
        <w:topLinePunct w:val="0"/>
        <w:bidi w:val="0"/>
      </w:pPr>
      <w:r>
        <w:t>对考勤统计数据与排班计划进行交叉验证，识别异常签到或漏签情况。</w:t>
      </w:r>
    </w:p>
    <w:p w14:paraId="4FD4DADD">
      <w:pPr>
        <w:pStyle w:val="32"/>
        <w:keepNext w:val="0"/>
        <w:keepLines w:val="0"/>
        <w:pageBreakBefore w:val="0"/>
        <w:widowControl w:val="0"/>
        <w:wordWrap/>
        <w:overflowPunct/>
        <w:topLinePunct w:val="0"/>
        <w:bidi w:val="0"/>
      </w:pPr>
      <w:bookmarkStart w:id="20" w:name="heading_11"/>
      <w:bookmarkStart w:id="21" w:name="_Toc32131"/>
      <w:r>
        <w:t>设备运维数据域</w:t>
      </w:r>
      <w:bookmarkEnd w:id="20"/>
      <w:bookmarkEnd w:id="21"/>
    </w:p>
    <w:p w14:paraId="1A9C36EB">
      <w:pPr>
        <w:pStyle w:val="30"/>
        <w:keepNext w:val="0"/>
        <w:keepLines w:val="0"/>
        <w:pageBreakBefore w:val="0"/>
        <w:widowControl w:val="0"/>
        <w:wordWrap/>
        <w:overflowPunct/>
        <w:topLinePunct w:val="0"/>
        <w:bidi w:val="0"/>
      </w:pPr>
      <w:r>
        <w:t>本域数据包括设备台账、维修记录、保养计划、故障报修单、巡检记录等，数据格式多样，存在设备编码不统一、维修记录缺失、保养计划逾期未执行等问题。</w:t>
      </w:r>
    </w:p>
    <w:p w14:paraId="70FBE23B">
      <w:pPr>
        <w:pStyle w:val="30"/>
        <w:keepNext w:val="0"/>
        <w:keepLines w:val="0"/>
        <w:pageBreakBefore w:val="0"/>
        <w:widowControl w:val="0"/>
        <w:wordWrap/>
        <w:overflowPunct/>
        <w:topLinePunct w:val="0"/>
        <w:bidi w:val="0"/>
      </w:pPr>
      <w:r>
        <w:t>清洗策略包括：</w:t>
      </w:r>
    </w:p>
    <w:p w14:paraId="3E9A4B19">
      <w:pPr>
        <w:pStyle w:val="30"/>
        <w:keepNext w:val="0"/>
        <w:keepLines w:val="0"/>
        <w:pageBreakBefore w:val="0"/>
        <w:widowControl w:val="0"/>
        <w:wordWrap/>
        <w:overflowPunct/>
        <w:topLinePunct w:val="0"/>
        <w:bidi w:val="0"/>
      </w:pPr>
      <w:r>
        <w:t>建立设备主数据统一编码规范，确保同一设备在不同系统中的编码一致；</w:t>
      </w:r>
    </w:p>
    <w:p w14:paraId="6536F090">
      <w:pPr>
        <w:pStyle w:val="30"/>
        <w:keepNext w:val="0"/>
        <w:keepLines w:val="0"/>
        <w:pageBreakBefore w:val="0"/>
        <w:widowControl w:val="0"/>
        <w:wordWrap/>
        <w:overflowPunct/>
        <w:topLinePunct w:val="0"/>
        <w:bidi w:val="0"/>
      </w:pPr>
      <w:r>
        <w:t>对维修记录的关键字段（设备编码、故障现象、维修措施、维修时间、维修人员）进行完整性校验，缺失字段标记并触发补录；</w:t>
      </w:r>
    </w:p>
    <w:p w14:paraId="671D044C">
      <w:pPr>
        <w:pStyle w:val="30"/>
        <w:keepNext w:val="0"/>
        <w:keepLines w:val="0"/>
        <w:pageBreakBefore w:val="0"/>
        <w:widowControl w:val="0"/>
        <w:wordWrap/>
        <w:overflowPunct/>
        <w:topLinePunct w:val="0"/>
        <w:bidi w:val="0"/>
      </w:pPr>
      <w:r>
        <w:t>建立保养计划执行情况跟踪机制，对逾期未执行的保养计划自动预警并通知责任人；</w:t>
      </w:r>
    </w:p>
    <w:p w14:paraId="51B4404F">
      <w:pPr>
        <w:pStyle w:val="30"/>
        <w:keepNext w:val="0"/>
        <w:keepLines w:val="0"/>
        <w:pageBreakBefore w:val="0"/>
        <w:widowControl w:val="0"/>
        <w:wordWrap/>
        <w:overflowPunct/>
        <w:topLinePunct w:val="0"/>
        <w:bidi w:val="0"/>
      </w:pPr>
      <w:r>
        <w:t>对故障报修单进行分类归集，识别高频故障设备，为预防性维护提供数据支持；</w:t>
      </w:r>
    </w:p>
    <w:p w14:paraId="3D7622B6">
      <w:pPr>
        <w:pStyle w:val="30"/>
        <w:keepNext w:val="0"/>
        <w:keepLines w:val="0"/>
        <w:pageBreakBefore w:val="0"/>
        <w:widowControl w:val="0"/>
        <w:wordWrap/>
        <w:overflowPunct/>
        <w:topLinePunct w:val="0"/>
        <w:bidi w:val="0"/>
      </w:pPr>
      <w:r>
        <w:t>对巡检记录进行时序校验，确保巡检周期符合预设标准，遗漏巡检自动标记。</w:t>
      </w:r>
    </w:p>
    <w:p w14:paraId="4822EF95">
      <w:pPr>
        <w:pStyle w:val="32"/>
        <w:keepNext w:val="0"/>
        <w:keepLines w:val="0"/>
        <w:pageBreakBefore w:val="0"/>
        <w:widowControl w:val="0"/>
        <w:wordWrap/>
        <w:overflowPunct/>
        <w:topLinePunct w:val="0"/>
        <w:bidi w:val="0"/>
      </w:pPr>
      <w:bookmarkStart w:id="22" w:name="heading_12"/>
      <w:bookmarkStart w:id="23" w:name="_Toc17940"/>
      <w:r>
        <w:t>调度与资源数据域</w:t>
      </w:r>
      <w:bookmarkEnd w:id="22"/>
      <w:bookmarkEnd w:id="23"/>
    </w:p>
    <w:p w14:paraId="7070D2BE">
      <w:pPr>
        <w:pStyle w:val="30"/>
        <w:keepNext w:val="0"/>
        <w:keepLines w:val="0"/>
        <w:pageBreakBefore w:val="0"/>
        <w:widowControl w:val="0"/>
        <w:wordWrap/>
        <w:overflowPunct/>
        <w:topLinePunct w:val="0"/>
        <w:bidi w:val="0"/>
      </w:pPr>
      <w:r>
        <w:t>本域数据包括运维工具调度记录、运维资源分配、位置信息信息、网络通道状态等，存在资源冲突、调度指令与执行不一致、位置信息编码不统一等问题。</w:t>
      </w:r>
    </w:p>
    <w:p w14:paraId="03841F95">
      <w:pPr>
        <w:pStyle w:val="30"/>
        <w:keepNext w:val="0"/>
        <w:keepLines w:val="0"/>
        <w:pageBreakBefore w:val="0"/>
        <w:widowControl w:val="0"/>
        <w:wordWrap/>
        <w:overflowPunct/>
        <w:topLinePunct w:val="0"/>
        <w:bidi w:val="0"/>
      </w:pPr>
      <w:r>
        <w:t>清洗策略包括：</w:t>
      </w:r>
    </w:p>
    <w:p w14:paraId="0F439DAB">
      <w:pPr>
        <w:pStyle w:val="30"/>
        <w:keepNext w:val="0"/>
        <w:keepLines w:val="0"/>
        <w:pageBreakBefore w:val="0"/>
        <w:widowControl w:val="0"/>
        <w:wordWrap/>
        <w:overflowPunct/>
        <w:topLinePunct w:val="0"/>
        <w:bidi w:val="0"/>
      </w:pPr>
      <w:r>
        <w:t>建立运维工具与运维任务的资源分配校验规则，检测同一运维工具在重叠时段内的任务冲突；</w:t>
      </w:r>
    </w:p>
    <w:p w14:paraId="061D7500">
      <w:pPr>
        <w:pStyle w:val="30"/>
        <w:keepNext w:val="0"/>
        <w:keepLines w:val="0"/>
        <w:pageBreakBefore w:val="0"/>
        <w:widowControl w:val="0"/>
        <w:wordWrap/>
        <w:overflowPunct/>
        <w:topLinePunct w:val="0"/>
        <w:bidi w:val="0"/>
      </w:pPr>
      <w:r>
        <w:t>对调度指令与执行反馈进行比对，识别指令未执行、执行偏差等异常情况；</w:t>
      </w:r>
    </w:p>
    <w:p w14:paraId="1A26122D">
      <w:pPr>
        <w:pStyle w:val="30"/>
        <w:keepNext w:val="0"/>
        <w:keepLines w:val="0"/>
        <w:pageBreakBefore w:val="0"/>
        <w:widowControl w:val="0"/>
        <w:wordWrap/>
        <w:overflowPunct/>
        <w:topLinePunct w:val="0"/>
        <w:bidi w:val="0"/>
      </w:pPr>
      <w:r>
        <w:t>对网络通道状态变更记录进行完整性校验，确保状态变更有时间、原因、操作人记录。</w:t>
      </w:r>
    </w:p>
    <w:p w14:paraId="313E5BDC">
      <w:pPr>
        <w:pStyle w:val="32"/>
        <w:keepNext w:val="0"/>
        <w:keepLines w:val="0"/>
        <w:pageBreakBefore w:val="0"/>
        <w:widowControl w:val="0"/>
        <w:wordWrap/>
        <w:overflowPunct/>
        <w:topLinePunct w:val="0"/>
        <w:bidi w:val="0"/>
      </w:pPr>
      <w:bookmarkStart w:id="24" w:name="heading_13"/>
      <w:bookmarkStart w:id="25" w:name="_Toc23572"/>
      <w:r>
        <w:t>费用与结算数据域</w:t>
      </w:r>
      <w:bookmarkEnd w:id="24"/>
      <w:bookmarkEnd w:id="25"/>
    </w:p>
    <w:p w14:paraId="2F920EA2">
      <w:pPr>
        <w:pStyle w:val="30"/>
        <w:keepNext w:val="0"/>
        <w:keepLines w:val="0"/>
        <w:pageBreakBefore w:val="0"/>
        <w:widowControl w:val="0"/>
        <w:wordWrap/>
        <w:overflowPunct/>
        <w:topLinePunct w:val="0"/>
        <w:bidi w:val="0"/>
      </w:pPr>
      <w:r>
        <w:t>本域数据包括运维费收记录、结算凭证、应收账款、收费明细等，数据准确性要求极高，存在费率引用错误、计费项目不一致、结算凭证日期混乱等风险。</w:t>
      </w:r>
    </w:p>
    <w:p w14:paraId="1BD8B2B9">
      <w:pPr>
        <w:pStyle w:val="30"/>
        <w:keepNext w:val="0"/>
        <w:keepLines w:val="0"/>
        <w:pageBreakBefore w:val="0"/>
        <w:widowControl w:val="0"/>
        <w:wordWrap/>
        <w:overflowPunct/>
        <w:topLinePunct w:val="0"/>
        <w:bidi w:val="0"/>
      </w:pPr>
      <w:r>
        <w:t>清洗策略包括：</w:t>
      </w:r>
    </w:p>
    <w:p w14:paraId="0194BBBF">
      <w:pPr>
        <w:pStyle w:val="30"/>
        <w:keepNext w:val="0"/>
        <w:keepLines w:val="0"/>
        <w:pageBreakBefore w:val="0"/>
        <w:widowControl w:val="0"/>
        <w:wordWrap/>
        <w:overflowPunct/>
        <w:topLinePunct w:val="0"/>
        <w:bidi w:val="0"/>
      </w:pPr>
      <w:r>
        <w:t>建立费率引用校验规则，自动比对费收记录中的费率与标准费率表，差异超阈值标记；</w:t>
      </w:r>
    </w:p>
    <w:p w14:paraId="4A286BBF">
      <w:pPr>
        <w:pStyle w:val="30"/>
        <w:keepNext w:val="0"/>
        <w:keepLines w:val="0"/>
        <w:pageBreakBefore w:val="0"/>
        <w:widowControl w:val="0"/>
        <w:wordWrap/>
        <w:overflowPunct/>
        <w:topLinePunct w:val="0"/>
        <w:bidi w:val="0"/>
      </w:pPr>
      <w:r>
        <w:t>对计费项目进行合理性校验，与设备档案中的参考吨位对比，异常偏差自动预警；</w:t>
      </w:r>
    </w:p>
    <w:p w14:paraId="6DEA82AC">
      <w:pPr>
        <w:pStyle w:val="30"/>
        <w:keepNext w:val="0"/>
        <w:keepLines w:val="0"/>
        <w:pageBreakBefore w:val="0"/>
        <w:widowControl w:val="0"/>
        <w:wordWrap/>
        <w:overflowPunct/>
        <w:topLinePunct w:val="0"/>
        <w:bidi w:val="0"/>
      </w:pPr>
      <w:r>
        <w:t>建立凭证借贷平衡校验规则，不平凭证自动拦截并通知计费人员；</w:t>
      </w:r>
    </w:p>
    <w:p w14:paraId="7F33BA39">
      <w:pPr>
        <w:pStyle w:val="30"/>
        <w:keepNext w:val="0"/>
        <w:keepLines w:val="0"/>
        <w:pageBreakBefore w:val="0"/>
        <w:widowControl w:val="0"/>
        <w:wordWrap/>
        <w:overflowPunct/>
        <w:topLinePunct w:val="0"/>
        <w:bidi w:val="0"/>
      </w:pPr>
      <w:r>
        <w:t>对结算凭证日期进行逻辑校验，确保凭证日期不晚于当前日期，不早于设备作业日期；</w:t>
      </w:r>
    </w:p>
    <w:p w14:paraId="4E1758AF">
      <w:pPr>
        <w:pStyle w:val="30"/>
        <w:keepNext w:val="0"/>
        <w:keepLines w:val="0"/>
        <w:pageBreakBefore w:val="0"/>
        <w:widowControl w:val="0"/>
        <w:wordWrap/>
        <w:overflowPunct/>
        <w:topLinePunct w:val="0"/>
        <w:bidi w:val="0"/>
      </w:pPr>
      <w:r>
        <w:t>对收费明细与费收记录进行一致性校验，确保金额匹配、计算正确。</w:t>
      </w:r>
    </w:p>
    <w:p w14:paraId="2A0125B5">
      <w:pPr>
        <w:pStyle w:val="32"/>
        <w:keepNext w:val="0"/>
        <w:keepLines w:val="0"/>
        <w:pageBreakBefore w:val="0"/>
        <w:widowControl w:val="0"/>
        <w:wordWrap/>
        <w:overflowPunct/>
        <w:topLinePunct w:val="0"/>
        <w:bidi w:val="0"/>
      </w:pPr>
      <w:bookmarkStart w:id="26" w:name="heading_14"/>
      <w:bookmarkStart w:id="27" w:name="_Toc2216"/>
      <w:r>
        <w:t>系统日志与接口数据域</w:t>
      </w:r>
      <w:bookmarkEnd w:id="26"/>
      <w:bookmarkEnd w:id="27"/>
    </w:p>
    <w:p w14:paraId="373A3738">
      <w:pPr>
        <w:pStyle w:val="30"/>
        <w:keepNext w:val="0"/>
        <w:keepLines w:val="0"/>
        <w:pageBreakBefore w:val="0"/>
        <w:widowControl w:val="0"/>
        <w:wordWrap/>
        <w:overflowPunct/>
        <w:topLinePunct w:val="0"/>
        <w:bidi w:val="0"/>
      </w:pPr>
      <w:r>
        <w:t>本域数据来自各系统接口日志、数据库日志、用户操作日志等，数据体量大，关键告警易被淹没。</w:t>
      </w:r>
    </w:p>
    <w:p w14:paraId="532AFF93">
      <w:pPr>
        <w:pStyle w:val="30"/>
        <w:keepNext w:val="0"/>
        <w:keepLines w:val="0"/>
        <w:pageBreakBefore w:val="0"/>
        <w:widowControl w:val="0"/>
        <w:wordWrap/>
        <w:overflowPunct/>
        <w:topLinePunct w:val="0"/>
        <w:bidi w:val="0"/>
      </w:pPr>
      <w:r>
        <w:t>清洗策略包括：</w:t>
      </w:r>
    </w:p>
    <w:p w14:paraId="6E399140">
      <w:pPr>
        <w:pStyle w:val="30"/>
        <w:keepNext w:val="0"/>
        <w:keepLines w:val="0"/>
        <w:pageBreakBefore w:val="0"/>
        <w:widowControl w:val="0"/>
        <w:wordWrap/>
        <w:overflowPunct/>
        <w:topLinePunct w:val="0"/>
        <w:bidi w:val="0"/>
      </w:pPr>
      <w:r>
        <w:t>制定统一的日志解析规范，准确提取时间、接口名称、错误码、操作人等关键字段；</w:t>
      </w:r>
    </w:p>
    <w:p w14:paraId="23E61BB9">
      <w:pPr>
        <w:pStyle w:val="30"/>
        <w:keepNext w:val="0"/>
        <w:keepLines w:val="0"/>
        <w:pageBreakBefore w:val="0"/>
        <w:widowControl w:val="0"/>
        <w:wordWrap/>
        <w:overflowPunct/>
        <w:topLinePunct w:val="0"/>
        <w:bidi w:val="0"/>
      </w:pPr>
      <w:r>
        <w:t>建立规则引擎，从海量日志中实时过滤并归类错误、警告等关键事件；</w:t>
      </w:r>
    </w:p>
    <w:p w14:paraId="6C9F2437">
      <w:pPr>
        <w:pStyle w:val="30"/>
        <w:keepNext w:val="0"/>
        <w:keepLines w:val="0"/>
        <w:pageBreakBefore w:val="0"/>
        <w:widowControl w:val="0"/>
        <w:wordWrap/>
        <w:overflowPunct/>
        <w:topLinePunct w:val="0"/>
        <w:bidi w:val="0"/>
      </w:pPr>
      <w:r>
        <w:t>对监控接口、数据库连接等关键接口的调用失败、超时等情况进行统计和告警；</w:t>
      </w:r>
    </w:p>
    <w:p w14:paraId="1CD0A8B1">
      <w:pPr>
        <w:pStyle w:val="30"/>
        <w:keepNext w:val="0"/>
        <w:keepLines w:val="0"/>
        <w:pageBreakBefore w:val="0"/>
        <w:widowControl w:val="0"/>
        <w:wordWrap/>
        <w:overflowPunct/>
        <w:topLinePunct w:val="0"/>
        <w:bidi w:val="0"/>
      </w:pPr>
      <w:r>
        <w:t>对用户异常操作（如多次登录失败、非授权访问尝试）进行识别和标记。</w:t>
      </w:r>
    </w:p>
    <w:p w14:paraId="0DFB06EA">
      <w:pPr>
        <w:pStyle w:val="31"/>
        <w:keepNext w:val="0"/>
        <w:keepLines w:val="0"/>
        <w:pageBreakBefore w:val="0"/>
        <w:widowControl w:val="0"/>
        <w:wordWrap/>
        <w:overflowPunct/>
        <w:topLinePunct w:val="0"/>
        <w:bidi w:val="0"/>
      </w:pPr>
      <w:bookmarkStart w:id="28" w:name="heading_15"/>
      <w:bookmarkStart w:id="29" w:name="_Toc15901"/>
      <w:r>
        <w:t>技术架构与实施路径</w:t>
      </w:r>
      <w:bookmarkEnd w:id="28"/>
      <w:bookmarkEnd w:id="29"/>
    </w:p>
    <w:p w14:paraId="7BA95298">
      <w:pPr>
        <w:pStyle w:val="30"/>
        <w:keepNext w:val="0"/>
        <w:keepLines w:val="0"/>
        <w:pageBreakBefore w:val="0"/>
        <w:widowControl w:val="0"/>
        <w:wordWrap/>
        <w:overflowPunct/>
        <w:topLinePunct w:val="0"/>
        <w:bidi w:val="0"/>
      </w:pPr>
      <w:r>
        <w:t>采用“ETL批量清洗+实时校验”的混合架构：</w:t>
      </w:r>
    </w:p>
    <w:p w14:paraId="69EF66CA">
      <w:pPr>
        <w:pStyle w:val="30"/>
        <w:keepNext w:val="0"/>
        <w:keepLines w:val="0"/>
        <w:pageBreakBefore w:val="0"/>
        <w:widowControl w:val="0"/>
        <w:wordWrap/>
        <w:overflowPunct/>
        <w:topLinePunct w:val="0"/>
        <w:bidi w:val="0"/>
      </w:pPr>
      <w:r>
        <w:t>1. 批量清洗：使用Kettle/DataX等ETL工具，对运维服务计划、设备运维、费用结算等核心业务数据进行定时批量清洗，执行数据标准化、去重、补全等操作；</w:t>
      </w:r>
    </w:p>
    <w:p w14:paraId="2C0EE8BA">
      <w:pPr>
        <w:pStyle w:val="30"/>
        <w:keepNext w:val="0"/>
        <w:keepLines w:val="0"/>
        <w:pageBreakBefore w:val="0"/>
        <w:widowControl w:val="0"/>
        <w:wordWrap/>
        <w:overflowPunct/>
        <w:topLinePunct w:val="0"/>
        <w:bidi w:val="0"/>
      </w:pPr>
      <w:r>
        <w:t>2. 实时校验：在数据接入层部署轻量级校验规则，对实时性要求高的数据（如运维监控动态、运维工单状态变更）进行实时完整性校验；</w:t>
      </w:r>
    </w:p>
    <w:p w14:paraId="2284C31A">
      <w:pPr>
        <w:pStyle w:val="30"/>
        <w:keepNext w:val="0"/>
        <w:keepLines w:val="0"/>
        <w:pageBreakBefore w:val="0"/>
        <w:widowControl w:val="0"/>
        <w:wordWrap/>
        <w:overflowPunct/>
        <w:topLinePunct w:val="0"/>
        <w:bidi w:val="0"/>
      </w:pPr>
      <w:r>
        <w:t>3. 任务调度：通过Apache Airflow进行清洗任务调度，管理依赖关系和执行顺序；</w:t>
      </w:r>
    </w:p>
    <w:p w14:paraId="3E826186">
      <w:pPr>
        <w:pStyle w:val="30"/>
        <w:keepNext w:val="0"/>
        <w:keepLines w:val="0"/>
        <w:pageBreakBefore w:val="0"/>
        <w:widowControl w:val="0"/>
        <w:wordWrap/>
        <w:overflowPunct/>
        <w:topLinePunct w:val="0"/>
        <w:bidi w:val="0"/>
      </w:pPr>
      <w:r>
        <w:t>4. 监控看板：利用Grafana配置数据质量KPI看板，实时监控各项指标达成情况；</w:t>
      </w:r>
    </w:p>
    <w:p w14:paraId="775DF035">
      <w:pPr>
        <w:pStyle w:val="30"/>
        <w:keepNext w:val="0"/>
        <w:keepLines w:val="0"/>
        <w:pageBreakBefore w:val="0"/>
        <w:widowControl w:val="0"/>
        <w:wordWrap/>
        <w:overflowPunct/>
        <w:topLinePunct w:val="0"/>
        <w:bidi w:val="0"/>
      </w:pPr>
      <w:r>
        <w:t>5. 规则配置：清洗规则力求实现配置化管理，通过配置文件或规则引擎驱动，提升可维护性。</w:t>
      </w:r>
    </w:p>
    <w:p w14:paraId="452372EF">
      <w:pPr>
        <w:pStyle w:val="29"/>
        <w:keepNext w:val="0"/>
        <w:keepLines w:val="0"/>
        <w:pageBreakBefore w:val="0"/>
        <w:widowControl w:val="0"/>
        <w:wordWrap/>
        <w:overflowPunct/>
        <w:topLinePunct w:val="0"/>
        <w:bidi w:val="0"/>
      </w:pPr>
      <w:bookmarkStart w:id="30" w:name="heading_16"/>
      <w:bookmarkStart w:id="31" w:name="_Toc5980"/>
      <w:r>
        <w:t>实施与管理规划</w:t>
      </w:r>
      <w:bookmarkEnd w:id="30"/>
      <w:bookmarkEnd w:id="31"/>
    </w:p>
    <w:p w14:paraId="3D24080D">
      <w:pPr>
        <w:pStyle w:val="31"/>
        <w:keepNext w:val="0"/>
        <w:keepLines w:val="0"/>
        <w:pageBreakBefore w:val="0"/>
        <w:widowControl w:val="0"/>
        <w:wordWrap/>
        <w:overflowPunct/>
        <w:topLinePunct w:val="0"/>
        <w:bidi w:val="0"/>
      </w:pPr>
      <w:bookmarkStart w:id="32" w:name="heading_17"/>
      <w:bookmarkStart w:id="33" w:name="_Toc23865"/>
      <w:r>
        <w:t>阶段化实施计划</w:t>
      </w:r>
      <w:bookmarkEnd w:id="32"/>
      <w:bookmarkEnd w:id="33"/>
    </w:p>
    <w:p w14:paraId="3FA5A050">
      <w:pPr>
        <w:pStyle w:val="30"/>
        <w:keepNext w:val="0"/>
        <w:keepLines w:val="0"/>
        <w:pageBreakBefore w:val="0"/>
        <w:widowControl w:val="0"/>
        <w:wordWrap/>
        <w:overflowPunct/>
        <w:topLinePunct w:val="0"/>
        <w:bidi w:val="0"/>
      </w:pPr>
      <w:r>
        <w:t>数据清洗工作将完全融入项目90天的总建设周期，分四阶段推进。</w:t>
      </w:r>
    </w:p>
    <w:p w14:paraId="1522C0C4">
      <w:pPr>
        <w:pStyle w:val="30"/>
        <w:keepNext w:val="0"/>
        <w:keepLines w:val="0"/>
        <w:pageBreakBefore w:val="0"/>
        <w:widowControl w:val="0"/>
        <w:wordWrap/>
        <w:overflowPunct/>
        <w:topLinePunct w:val="0"/>
        <w:bidi w:val="0"/>
      </w:pPr>
      <w:r>
        <w:t>第一阶段（第1-30天）：规则设计与开发。完成各数据域清洗规则的详细设计、评审与核心代码开发。</w:t>
      </w:r>
    </w:p>
    <w:p w14:paraId="5FF7D424">
      <w:pPr>
        <w:pStyle w:val="30"/>
        <w:keepNext w:val="0"/>
        <w:keepLines w:val="0"/>
        <w:pageBreakBefore w:val="0"/>
        <w:widowControl w:val="0"/>
        <w:wordWrap/>
        <w:overflowPunct/>
        <w:topLinePunct w:val="0"/>
        <w:bidi w:val="0"/>
      </w:pPr>
      <w:r>
        <w:t>第二阶段（第31-60天）：集成联调与试运行。与各业务系统对接联调，利用历史数据进行全流程试运行并优化。</w:t>
      </w:r>
    </w:p>
    <w:p w14:paraId="09000665">
      <w:pPr>
        <w:pStyle w:val="30"/>
        <w:keepNext w:val="0"/>
        <w:keepLines w:val="0"/>
        <w:pageBreakBefore w:val="0"/>
        <w:widowControl w:val="0"/>
        <w:wordWrap/>
        <w:overflowPunct/>
        <w:topLinePunct w:val="0"/>
        <w:bidi w:val="0"/>
      </w:pPr>
      <w:r>
        <w:t>第三阶段（第61-75天）：全量上线与监控。随系统正式上线启动全量数据清洗，并开启全天候质量监控。</w:t>
      </w:r>
    </w:p>
    <w:p w14:paraId="35AF5FBF">
      <w:pPr>
        <w:pStyle w:val="30"/>
        <w:keepNext w:val="0"/>
        <w:keepLines w:val="0"/>
        <w:pageBreakBefore w:val="0"/>
        <w:widowControl w:val="0"/>
        <w:wordWrap/>
        <w:overflowPunct/>
        <w:topLinePunct w:val="0"/>
        <w:bidi w:val="0"/>
      </w:pPr>
      <w:r>
        <w:t>第四阶段（第76-90天）：验收与交付。进行稳定性考核，输出最终质量报告，完成专项验收。</w:t>
      </w:r>
    </w:p>
    <w:p w14:paraId="59E853CE">
      <w:pPr>
        <w:pStyle w:val="31"/>
        <w:keepNext w:val="0"/>
        <w:keepLines w:val="0"/>
        <w:pageBreakBefore w:val="0"/>
        <w:widowControl w:val="0"/>
        <w:wordWrap/>
        <w:overflowPunct/>
        <w:topLinePunct w:val="0"/>
        <w:bidi w:val="0"/>
      </w:pPr>
      <w:bookmarkStart w:id="34" w:name="heading_18"/>
      <w:bookmarkStart w:id="35" w:name="_Toc7046"/>
      <w:r>
        <w:t>组织与职责分工</w:t>
      </w:r>
      <w:bookmarkEnd w:id="34"/>
      <w:bookmarkEnd w:id="35"/>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63"/>
        <w:gridCol w:w="3151"/>
        <w:gridCol w:w="4108"/>
      </w:tblGrid>
      <w:tr w14:paraId="1B15A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263"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F9E40D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角色</w:t>
            </w:r>
          </w:p>
        </w:tc>
        <w:tc>
          <w:tcPr>
            <w:tcW w:w="315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33BDC7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单位</w:t>
            </w:r>
          </w:p>
        </w:tc>
        <w:tc>
          <w:tcPr>
            <w:tcW w:w="410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6A4EB6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职责</w:t>
            </w:r>
          </w:p>
        </w:tc>
      </w:tr>
      <w:tr w14:paraId="49554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6C3E9E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甲方业务负责人</w:t>
            </w:r>
          </w:p>
        </w:tc>
        <w:tc>
          <w:tcPr>
            <w:tcW w:w="315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A6028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银川输油气分公司</w:t>
            </w:r>
          </w:p>
        </w:tc>
        <w:tc>
          <w:tcPr>
            <w:tcW w:w="41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CC23F3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负责清洗规则所涉及业务逻辑的最终评审与确认；参与验收测试</w:t>
            </w:r>
          </w:p>
        </w:tc>
      </w:tr>
      <w:tr w14:paraId="300A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E1564A7">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甲方技术负责人</w:t>
            </w:r>
          </w:p>
        </w:tc>
        <w:tc>
          <w:tcPr>
            <w:tcW w:w="315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70A36D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银川输油</w:t>
            </w:r>
            <w:bookmarkStart w:id="44" w:name="_GoBack"/>
            <w:bookmarkEnd w:id="44"/>
            <w:r>
              <w:t>气分公司</w:t>
            </w:r>
          </w:p>
        </w:tc>
        <w:tc>
          <w:tcPr>
            <w:tcW w:w="41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6F9D7C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负责本方案及技术交付物的评审；监督实施质量与进度</w:t>
            </w:r>
          </w:p>
        </w:tc>
      </w:tr>
      <w:tr w14:paraId="2898A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2A96F9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乙方项目经理</w:t>
            </w:r>
          </w:p>
        </w:tc>
        <w:tc>
          <w:tcPr>
            <w:tcW w:w="315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2B87D7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西安泽玺信息科技有限公司</w:t>
            </w:r>
          </w:p>
        </w:tc>
        <w:tc>
          <w:tcPr>
            <w:tcW w:w="41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BE943FE">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负责方案整体推进，协调资源，定期汇报进展</w:t>
            </w:r>
          </w:p>
        </w:tc>
      </w:tr>
      <w:tr w14:paraId="06413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E36D2E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rFonts w:hint="default" w:eastAsia="宋体"/>
                <w:lang w:val="en-US" w:eastAsia="zh-CN"/>
              </w:rPr>
            </w:pPr>
            <w:r>
              <w:t>乙方</w:t>
            </w:r>
            <w:r>
              <w:rPr>
                <w:rFonts w:hint="eastAsia"/>
                <w:lang w:val="en-US" w:eastAsia="zh-CN"/>
              </w:rPr>
              <w:t>运维实施工程师</w:t>
            </w:r>
          </w:p>
        </w:tc>
        <w:tc>
          <w:tcPr>
            <w:tcW w:w="315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4C9A62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西安泽玺信息科技有限公司</w:t>
            </w:r>
          </w:p>
        </w:tc>
        <w:tc>
          <w:tcPr>
            <w:tcW w:w="410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5AB740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负责清洗规则的详细设计、代码开发、测试部署</w:t>
            </w:r>
          </w:p>
        </w:tc>
      </w:tr>
      <w:tr w14:paraId="3CC28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63"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4A56FC3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双方联合验收组</w:t>
            </w:r>
          </w:p>
        </w:tc>
        <w:tc>
          <w:tcPr>
            <w:tcW w:w="315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49F45C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双方</w:t>
            </w:r>
          </w:p>
        </w:tc>
        <w:tc>
          <w:tcPr>
            <w:tcW w:w="410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D83B00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负责最终验收测试，确认KPI达成情况</w:t>
            </w:r>
          </w:p>
        </w:tc>
      </w:tr>
    </w:tbl>
    <w:p w14:paraId="77497013">
      <w:pPr>
        <w:pStyle w:val="31"/>
        <w:keepNext w:val="0"/>
        <w:keepLines w:val="0"/>
        <w:pageBreakBefore w:val="0"/>
        <w:widowControl w:val="0"/>
        <w:wordWrap/>
        <w:overflowPunct/>
        <w:topLinePunct w:val="0"/>
        <w:bidi w:val="0"/>
      </w:pPr>
      <w:bookmarkStart w:id="36" w:name="heading_19"/>
      <w:bookmarkStart w:id="37" w:name="_Toc25315"/>
      <w:r>
        <w:t>关键交付物</w:t>
      </w:r>
      <w:bookmarkEnd w:id="36"/>
      <w:bookmarkEnd w:id="37"/>
    </w:p>
    <w:p w14:paraId="18FF251C">
      <w:pPr>
        <w:pStyle w:val="30"/>
        <w:keepNext w:val="0"/>
        <w:keepLines w:val="0"/>
        <w:pageBreakBefore w:val="0"/>
        <w:widowControl w:val="0"/>
        <w:wordWrap/>
        <w:overflowPunct/>
        <w:topLinePunct w:val="0"/>
        <w:bidi w:val="0"/>
      </w:pPr>
      <w:r>
        <w:t>实施方需按阶段提交以下交付物：</w:t>
      </w:r>
    </w:p>
    <w:p w14:paraId="755E0908">
      <w:pPr>
        <w:pStyle w:val="30"/>
        <w:keepNext w:val="0"/>
        <w:keepLines w:val="0"/>
        <w:pageBreakBefore w:val="0"/>
        <w:widowControl w:val="0"/>
        <w:wordWrap/>
        <w:overflowPunct/>
        <w:topLinePunct w:val="0"/>
        <w:bidi w:val="0"/>
      </w:pPr>
      <w:r>
        <w:t>1. 《详细数据清洗规则设计说明书》</w:t>
      </w:r>
    </w:p>
    <w:p w14:paraId="6E3E452B">
      <w:pPr>
        <w:pStyle w:val="30"/>
        <w:keepNext w:val="0"/>
        <w:keepLines w:val="0"/>
        <w:pageBreakBefore w:val="0"/>
        <w:widowControl w:val="0"/>
        <w:wordWrap/>
        <w:overflowPunct/>
        <w:topLinePunct w:val="0"/>
        <w:bidi w:val="0"/>
      </w:pPr>
      <w:r>
        <w:t>2. 《数据清洗模块测试报告》</w:t>
      </w:r>
    </w:p>
    <w:p w14:paraId="54F4B859">
      <w:pPr>
        <w:pStyle w:val="30"/>
        <w:keepNext w:val="0"/>
        <w:keepLines w:val="0"/>
        <w:pageBreakBefore w:val="0"/>
        <w:widowControl w:val="0"/>
        <w:wordWrap/>
        <w:overflowPunct/>
        <w:topLinePunct w:val="0"/>
        <w:bidi w:val="0"/>
      </w:pPr>
      <w:r>
        <w:t>3. 《数据质量监控平台操作手册》</w:t>
      </w:r>
    </w:p>
    <w:p w14:paraId="58257ADA">
      <w:pPr>
        <w:pStyle w:val="30"/>
        <w:keepNext w:val="0"/>
        <w:keepLines w:val="0"/>
        <w:pageBreakBefore w:val="0"/>
        <w:widowControl w:val="0"/>
        <w:wordWrap/>
        <w:overflowPunct/>
        <w:topLinePunct w:val="0"/>
        <w:bidi w:val="0"/>
      </w:pPr>
      <w:r>
        <w:t>4. 《周期性数据质量分析报告》</w:t>
      </w:r>
    </w:p>
    <w:p w14:paraId="55C8B610">
      <w:pPr>
        <w:pStyle w:val="30"/>
        <w:keepNext w:val="0"/>
        <w:keepLines w:val="0"/>
        <w:pageBreakBefore w:val="0"/>
        <w:widowControl w:val="0"/>
        <w:wordWrap/>
        <w:overflowPunct/>
        <w:topLinePunct w:val="0"/>
        <w:bidi w:val="0"/>
      </w:pPr>
      <w:r>
        <w:t>5. 《数据清洗专项竣工报告》</w:t>
      </w:r>
    </w:p>
    <w:p w14:paraId="53B8E777">
      <w:pPr>
        <w:pStyle w:val="30"/>
        <w:keepNext w:val="0"/>
        <w:keepLines w:val="0"/>
        <w:pageBreakBefore w:val="0"/>
        <w:widowControl w:val="0"/>
        <w:wordWrap/>
        <w:overflowPunct/>
        <w:topLinePunct w:val="0"/>
        <w:bidi w:val="0"/>
      </w:pPr>
      <w:r>
        <w:t>6. 《数据清洗规则库》</w:t>
      </w:r>
    </w:p>
    <w:p w14:paraId="1F848E82">
      <w:pPr>
        <w:pStyle w:val="30"/>
        <w:keepNext w:val="0"/>
        <w:keepLines w:val="0"/>
        <w:pageBreakBefore w:val="0"/>
        <w:widowControl w:val="0"/>
        <w:wordWrap/>
        <w:overflowPunct/>
        <w:topLinePunct w:val="0"/>
        <w:bidi w:val="0"/>
      </w:pPr>
      <w:r>
        <w:t>7. 《数据质量日报/周报》</w:t>
      </w:r>
    </w:p>
    <w:p w14:paraId="68BE20D5">
      <w:pPr>
        <w:pStyle w:val="30"/>
        <w:keepNext w:val="0"/>
        <w:keepLines w:val="0"/>
        <w:pageBreakBefore w:val="0"/>
        <w:widowControl w:val="0"/>
        <w:wordWrap/>
        <w:overflowPunct/>
        <w:topLinePunct w:val="0"/>
        <w:bidi w:val="0"/>
      </w:pPr>
      <w:r>
        <w:t>8. 《清洗过程审计日志》</w:t>
      </w:r>
    </w:p>
    <w:p w14:paraId="433C3FA2">
      <w:pPr>
        <w:pStyle w:val="29"/>
        <w:keepNext w:val="0"/>
        <w:keepLines w:val="0"/>
        <w:pageBreakBefore w:val="0"/>
        <w:widowControl w:val="0"/>
        <w:wordWrap/>
        <w:overflowPunct/>
        <w:topLinePunct w:val="0"/>
        <w:bidi w:val="0"/>
      </w:pPr>
      <w:bookmarkStart w:id="38" w:name="heading_20"/>
      <w:bookmarkStart w:id="39" w:name="_Toc12334"/>
      <w:r>
        <w:t>验收标准</w:t>
      </w:r>
      <w:bookmarkEnd w:id="38"/>
      <w:bookmarkEnd w:id="39"/>
    </w:p>
    <w:p w14:paraId="2E688CBC">
      <w:pPr>
        <w:pStyle w:val="30"/>
        <w:keepNext w:val="0"/>
        <w:keepLines w:val="0"/>
        <w:pageBreakBefore w:val="0"/>
        <w:widowControl w:val="0"/>
        <w:wordWrap/>
        <w:overflowPunct/>
        <w:topLinePunct w:val="0"/>
        <w:bidi w:val="0"/>
      </w:pPr>
      <w:r>
        <w:t>数据清洗工作的验收以可量化、可验证的关键绩效指标为核心标准。在项目最终验收前，需提供连续15天的稳定运行数据，证明以下核心指标已持续达标：</w:t>
      </w:r>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99"/>
        <w:gridCol w:w="4995"/>
        <w:gridCol w:w="1628"/>
      </w:tblGrid>
      <w:tr w14:paraId="6DB0F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89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67508D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指标类别</w:t>
            </w:r>
          </w:p>
        </w:tc>
        <w:tc>
          <w:tcPr>
            <w:tcW w:w="499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B79A95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验收标准</w:t>
            </w:r>
          </w:p>
        </w:tc>
        <w:tc>
          <w:tcPr>
            <w:tcW w:w="162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25B770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rPr>
                <w:b/>
              </w:rPr>
            </w:pPr>
            <w:r>
              <w:rPr>
                <w:b/>
              </w:rPr>
              <w:t>数据来源</w:t>
            </w:r>
          </w:p>
        </w:tc>
      </w:tr>
      <w:tr w14:paraId="3823A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BB4A4F1">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清洗有效性</w:t>
            </w:r>
          </w:p>
        </w:tc>
        <w:tc>
          <w:tcPr>
            <w:tcW w:w="49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6DE1A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核心业务字段填充率 ≥ 99%</w:t>
            </w:r>
          </w:p>
        </w:tc>
        <w:tc>
          <w:tcPr>
            <w:tcW w:w="16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11A667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系统统计</w:t>
            </w:r>
          </w:p>
        </w:tc>
      </w:tr>
      <w:tr w14:paraId="2C6F6A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7F4C2EB">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清洗有效性</w:t>
            </w:r>
          </w:p>
        </w:tc>
        <w:tc>
          <w:tcPr>
            <w:tcW w:w="49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A49E959">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关键业务数据准确率 ≥ 95%</w:t>
            </w:r>
          </w:p>
        </w:tc>
        <w:tc>
          <w:tcPr>
            <w:tcW w:w="16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A92B6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抽样复核</w:t>
            </w:r>
          </w:p>
        </w:tc>
      </w:tr>
      <w:tr w14:paraId="53D99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D816E2A">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处理时效性</w:t>
            </w:r>
          </w:p>
        </w:tc>
        <w:tc>
          <w:tcPr>
            <w:tcW w:w="49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6AD1E8">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95%的数据记录端到端清洗延迟 ≤ 10秒</w:t>
            </w:r>
          </w:p>
        </w:tc>
        <w:tc>
          <w:tcPr>
            <w:tcW w:w="16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A7DD40">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监控平台</w:t>
            </w:r>
          </w:p>
        </w:tc>
      </w:tr>
      <w:tr w14:paraId="3A8AB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EFAEF72">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系统可靠性</w:t>
            </w:r>
          </w:p>
        </w:tc>
        <w:tc>
          <w:tcPr>
            <w:tcW w:w="49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A3C2AE5">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数据清洗任务执行成功率 ≥ 99.9%</w:t>
            </w:r>
          </w:p>
        </w:tc>
        <w:tc>
          <w:tcPr>
            <w:tcW w:w="16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4DE2C7F">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Airflow日志</w:t>
            </w:r>
          </w:p>
        </w:tc>
      </w:tr>
      <w:tr w14:paraId="19973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124853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过程可追溯</w:t>
            </w:r>
          </w:p>
        </w:tc>
        <w:tc>
          <w:tcPr>
            <w:tcW w:w="49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307BB5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清洗过程日志完整率 100%</w:t>
            </w:r>
          </w:p>
        </w:tc>
        <w:tc>
          <w:tcPr>
            <w:tcW w:w="16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B2308E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日志审计</w:t>
            </w:r>
          </w:p>
        </w:tc>
      </w:tr>
      <w:tr w14:paraId="20406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89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C9E5CDC">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流程可管理性</w:t>
            </w:r>
          </w:p>
        </w:tc>
        <w:tc>
          <w:tcPr>
            <w:tcW w:w="499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9E2CE83">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center"/>
            </w:pPr>
            <w:r>
              <w:t>80%以上清洗规则可通过配置界面管理</w:t>
            </w:r>
          </w:p>
        </w:tc>
        <w:tc>
          <w:tcPr>
            <w:tcW w:w="162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2A9475D">
            <w:pPr>
              <w:pStyle w:val="30"/>
              <w:keepNext w:val="0"/>
              <w:keepLines w:val="0"/>
              <w:pageBreakBefore w:val="0"/>
              <w:widowControl w:val="0"/>
              <w:wordWrap/>
              <w:overflowPunct/>
              <w:topLinePunct w:val="0"/>
              <w:bidi w:val="0"/>
              <w:snapToGrid w:val="0"/>
              <w:spacing w:line="240" w:lineRule="auto"/>
              <w:ind w:left="0" w:leftChars="0" w:right="0" w:rightChars="0" w:firstLine="0" w:firstLineChars="0"/>
              <w:jc w:val="left"/>
            </w:pPr>
            <w:r>
              <w:t>系统验证</w:t>
            </w:r>
          </w:p>
        </w:tc>
      </w:tr>
    </w:tbl>
    <w:p w14:paraId="3FD5660A">
      <w:pPr>
        <w:pStyle w:val="29"/>
        <w:keepNext w:val="0"/>
        <w:keepLines w:val="0"/>
        <w:pageBreakBefore w:val="0"/>
        <w:widowControl w:val="0"/>
        <w:wordWrap/>
        <w:overflowPunct/>
        <w:topLinePunct w:val="0"/>
        <w:bidi w:val="0"/>
      </w:pPr>
      <w:bookmarkStart w:id="40" w:name="heading_21"/>
      <w:bookmarkStart w:id="41" w:name="_Toc8088"/>
      <w:r>
        <w:t>保障措施</w:t>
      </w:r>
      <w:bookmarkEnd w:id="40"/>
      <w:bookmarkEnd w:id="41"/>
    </w:p>
    <w:p w14:paraId="311660FF">
      <w:pPr>
        <w:pStyle w:val="30"/>
        <w:keepNext w:val="0"/>
        <w:keepLines w:val="0"/>
        <w:pageBreakBefore w:val="0"/>
        <w:widowControl w:val="0"/>
        <w:wordWrap/>
        <w:overflowPunct/>
        <w:topLinePunct w:val="0"/>
        <w:bidi w:val="0"/>
      </w:pPr>
      <w:r>
        <w:t>规则变更管理：为应对业务规则变化，建立《数据清洗规则变更管理流程》，任何清洗规则的变更需经甲方业务负责人书面审批，并在测试环境验证后方可上线。</w:t>
      </w:r>
    </w:p>
    <w:p w14:paraId="54B4F347">
      <w:pPr>
        <w:pStyle w:val="30"/>
        <w:keepNext w:val="0"/>
        <w:keepLines w:val="0"/>
        <w:pageBreakBefore w:val="0"/>
        <w:widowControl w:val="0"/>
        <w:wordWrap/>
        <w:overflowPunct/>
        <w:topLinePunct w:val="0"/>
        <w:bidi w:val="0"/>
      </w:pPr>
      <w:r>
        <w:t>数据可追溯：所有数据处理环节必须记录完整的数据血缘日志，确保从清洗后数据可追溯到原始数据，满足运维中心内部审计要求。</w:t>
      </w:r>
    </w:p>
    <w:p w14:paraId="74A7B1A1">
      <w:pPr>
        <w:pStyle w:val="30"/>
        <w:keepNext w:val="0"/>
        <w:keepLines w:val="0"/>
        <w:pageBreakBefore w:val="0"/>
        <w:widowControl w:val="0"/>
        <w:wordWrap/>
        <w:overflowPunct/>
        <w:topLinePunct w:val="0"/>
        <w:bidi w:val="0"/>
      </w:pPr>
      <w:r>
        <w:t>性能保障：清洗平台需通过高于当前数据峰值50%的压力测试，确保业务增长期仍能稳定运行。</w:t>
      </w:r>
    </w:p>
    <w:p w14:paraId="577B2B0A">
      <w:pPr>
        <w:pStyle w:val="30"/>
        <w:keepNext w:val="0"/>
        <w:keepLines w:val="0"/>
        <w:pageBreakBefore w:val="0"/>
        <w:widowControl w:val="0"/>
        <w:wordWrap/>
        <w:overflowPunct/>
        <w:topLinePunct w:val="0"/>
        <w:bidi w:val="0"/>
      </w:pPr>
      <w:r>
        <w:t>沟通机制：建立双周数据质量例会制度，由双方项目组共同参与，及时同步问题、评审报告并决策优化方向。</w:t>
      </w:r>
    </w:p>
    <w:p w14:paraId="7D784BAA">
      <w:pPr>
        <w:pStyle w:val="30"/>
        <w:keepNext w:val="0"/>
        <w:keepLines w:val="0"/>
        <w:pageBreakBefore w:val="0"/>
        <w:widowControl w:val="0"/>
        <w:wordWrap/>
        <w:overflowPunct/>
        <w:topLinePunct w:val="0"/>
        <w:bidi w:val="0"/>
      </w:pPr>
      <w:r>
        <w:t>应急预案：制定清洗系统故障应急预案，明确故障发现、上报、处置、恢复的完整流程，确保故障发生时业务影响最小化。</w:t>
      </w:r>
    </w:p>
    <w:p w14:paraId="001DF484">
      <w:pPr>
        <w:pStyle w:val="29"/>
        <w:keepNext w:val="0"/>
        <w:keepLines w:val="0"/>
        <w:pageBreakBefore w:val="0"/>
        <w:widowControl w:val="0"/>
        <w:wordWrap/>
        <w:overflowPunct/>
        <w:topLinePunct w:val="0"/>
        <w:bidi w:val="0"/>
      </w:pPr>
      <w:bookmarkStart w:id="42" w:name="heading_22"/>
      <w:bookmarkStart w:id="43" w:name="_Toc18217"/>
      <w:r>
        <w:t>附则</w:t>
      </w:r>
      <w:bookmarkEnd w:id="42"/>
      <w:bookmarkEnd w:id="43"/>
    </w:p>
    <w:p w14:paraId="445D3B1F">
      <w:pPr>
        <w:pStyle w:val="30"/>
        <w:keepNext w:val="0"/>
        <w:keepLines w:val="0"/>
        <w:pageBreakBefore w:val="0"/>
        <w:widowControl w:val="0"/>
        <w:wordWrap/>
        <w:overflowPunct/>
        <w:topLinePunct w:val="0"/>
        <w:bidi w:val="0"/>
      </w:pPr>
      <w:r>
        <w:t>本方案经甲方项目指导委员会评审通过后生效，即成为本项目数据清洗工作的最高执行依据。方案所有附件与本方案正文具有同等效力。</w:t>
      </w:r>
    </w:p>
    <w:p w14:paraId="0A0993A0">
      <w:pPr>
        <w:pStyle w:val="30"/>
        <w:keepNext w:val="0"/>
        <w:keepLines w:val="0"/>
        <w:pageBreakBefore w:val="0"/>
        <w:widowControl w:val="0"/>
        <w:wordWrap/>
        <w:overflowPunct/>
        <w:topLinePunct w:val="0"/>
        <w:bidi w:val="0"/>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573E5">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0E3004"/>
    <w:rsid w:val="225307F6"/>
    <w:rsid w:val="370C3FF8"/>
    <w:rsid w:val="604B7CD1"/>
    <w:rsid w:val="62B04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3352</Words>
  <Characters>3556</Characters>
  <Lines>135</Lines>
  <Paragraphs>122</Paragraphs>
  <TotalTime>2</TotalTime>
  <ScaleCrop>false</ScaleCrop>
  <LinksUpToDate>false</LinksUpToDate>
  <CharactersWithSpaces>3619</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2026-08-24T05:56:30Z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